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B1C857" w14:textId="77777777" w:rsidR="00224360" w:rsidRDefault="00AB5AEF" w:rsidP="00AB5AEF">
      <w:pPr>
        <w:jc w:val="center"/>
        <w:rPr>
          <w:rFonts w:ascii="Times New Roman" w:hAnsi="Times New Roman" w:cs="Times New Roman"/>
          <w:b/>
          <w:bCs/>
          <w:sz w:val="32"/>
          <w:szCs w:val="32"/>
        </w:rPr>
      </w:pPr>
      <w:bookmarkStart w:id="0" w:name="_Toc392019490"/>
      <w:bookmarkStart w:id="1" w:name="_Toc358496411"/>
      <w:bookmarkStart w:id="2" w:name="_Toc355021991"/>
      <w:bookmarkStart w:id="3" w:name="_GoBack"/>
      <w:bookmarkEnd w:id="3"/>
      <w:r w:rsidRPr="00AB5AEF">
        <w:rPr>
          <w:rFonts w:ascii="Times New Roman" w:hAnsi="Times New Roman" w:cs="Times New Roman"/>
          <w:b/>
          <w:bCs/>
          <w:sz w:val="32"/>
          <w:szCs w:val="32"/>
        </w:rPr>
        <w:t>Evaluation of</w:t>
      </w:r>
      <w:r>
        <w:rPr>
          <w:rFonts w:ascii="Times New Roman" w:hAnsi="Times New Roman" w:cs="Times New Roman"/>
          <w:b/>
          <w:bCs/>
          <w:sz w:val="32"/>
          <w:szCs w:val="32"/>
        </w:rPr>
        <w:t xml:space="preserve"> Portfolio-Level Liquidity Adjusted Value at</w:t>
      </w:r>
      <w:r w:rsidR="00224360" w:rsidRPr="00AB5AEF">
        <w:rPr>
          <w:rFonts w:ascii="Times New Roman" w:hAnsi="Times New Roman" w:cs="Times New Roman"/>
          <w:b/>
          <w:bCs/>
          <w:sz w:val="32"/>
          <w:szCs w:val="32"/>
        </w:rPr>
        <w:t xml:space="preserve"> Risk Model Formulated By Accounting </w:t>
      </w:r>
      <w:r w:rsidRPr="00AB5AEF">
        <w:rPr>
          <w:rFonts w:ascii="Times New Roman" w:hAnsi="Times New Roman" w:cs="Times New Roman"/>
          <w:b/>
          <w:bCs/>
          <w:sz w:val="32"/>
          <w:szCs w:val="32"/>
        </w:rPr>
        <w:t>for</w:t>
      </w:r>
      <w:r w:rsidR="00224360" w:rsidRPr="00AB5AEF">
        <w:rPr>
          <w:rFonts w:ascii="Times New Roman" w:hAnsi="Times New Roman" w:cs="Times New Roman"/>
          <w:b/>
          <w:bCs/>
          <w:sz w:val="32"/>
          <w:szCs w:val="32"/>
        </w:rPr>
        <w:t xml:space="preserve"> Non-Normality </w:t>
      </w:r>
      <w:r w:rsidRPr="00AB5AEF">
        <w:rPr>
          <w:rFonts w:ascii="Times New Roman" w:hAnsi="Times New Roman" w:cs="Times New Roman"/>
          <w:b/>
          <w:bCs/>
          <w:sz w:val="32"/>
          <w:szCs w:val="32"/>
        </w:rPr>
        <w:t>in</w:t>
      </w:r>
      <w:r w:rsidR="00224360" w:rsidRPr="00AB5AEF">
        <w:rPr>
          <w:rFonts w:ascii="Times New Roman" w:hAnsi="Times New Roman" w:cs="Times New Roman"/>
          <w:b/>
          <w:bCs/>
          <w:sz w:val="32"/>
          <w:szCs w:val="32"/>
        </w:rPr>
        <w:t xml:space="preserve"> Liquidity Risk</w:t>
      </w:r>
    </w:p>
    <w:p w14:paraId="695F74D0" w14:textId="77777777" w:rsidR="00AB5AEF" w:rsidRPr="00AB5AEF" w:rsidRDefault="00AB5AEF" w:rsidP="00AB5AEF">
      <w:pPr>
        <w:jc w:val="center"/>
        <w:rPr>
          <w:rFonts w:ascii="Times New Roman" w:hAnsi="Times New Roman" w:cs="Times New Roman"/>
          <w:bCs/>
          <w:i/>
          <w:iCs/>
          <w:sz w:val="28"/>
          <w:szCs w:val="28"/>
        </w:rPr>
      </w:pPr>
      <w:r w:rsidRPr="00AB5AEF">
        <w:rPr>
          <w:rFonts w:ascii="Times New Roman" w:hAnsi="Times New Roman" w:cs="Times New Roman"/>
          <w:sz w:val="28"/>
          <w:szCs w:val="28"/>
        </w:rPr>
        <w:t>Vandana Rao Daka</w:t>
      </w:r>
      <w:r w:rsidRPr="00AB5AEF">
        <w:rPr>
          <w:rStyle w:val="FootnoteReference"/>
          <w:rFonts w:ascii="Times New Roman" w:hAnsi="Times New Roman"/>
          <w:sz w:val="28"/>
          <w:szCs w:val="28"/>
        </w:rPr>
        <w:footnoteReference w:id="1"/>
      </w:r>
      <w:r w:rsidRPr="00AB5AEF">
        <w:rPr>
          <w:rFonts w:ascii="Times New Roman" w:hAnsi="Times New Roman" w:cs="Times New Roman"/>
          <w:bCs/>
          <w:sz w:val="28"/>
          <w:szCs w:val="28"/>
        </w:rPr>
        <w:t xml:space="preserve">and </w:t>
      </w:r>
      <w:r w:rsidRPr="00AB5AEF">
        <w:rPr>
          <w:rFonts w:ascii="Times New Roman" w:hAnsi="Times New Roman" w:cs="Times New Roman"/>
          <w:sz w:val="28"/>
          <w:szCs w:val="28"/>
        </w:rPr>
        <w:t>Sankarshan Basu</w:t>
      </w:r>
      <w:r w:rsidRPr="00AB5AEF">
        <w:rPr>
          <w:rStyle w:val="FootnoteReference"/>
          <w:rFonts w:ascii="Times New Roman" w:hAnsi="Times New Roman"/>
          <w:bCs/>
          <w:i/>
          <w:iCs/>
          <w:sz w:val="28"/>
          <w:szCs w:val="28"/>
        </w:rPr>
        <w:footnoteReference w:id="2"/>
      </w:r>
    </w:p>
    <w:p w14:paraId="0E114D25" w14:textId="77777777" w:rsidR="00AB5AEF" w:rsidRPr="00AB5AEF" w:rsidRDefault="00AB5AEF" w:rsidP="00AB5AEF">
      <w:pPr>
        <w:rPr>
          <w:rFonts w:ascii="Times New Roman" w:hAnsi="Times New Roman" w:cs="Times New Roman"/>
          <w:b/>
          <w:bCs/>
          <w:i/>
          <w:iCs/>
          <w:sz w:val="20"/>
        </w:rPr>
      </w:pPr>
    </w:p>
    <w:p w14:paraId="48C94867" w14:textId="77777777" w:rsidR="00AB5AEF" w:rsidRPr="00AB5AEF" w:rsidRDefault="00AB5AEF" w:rsidP="00AB5AEF">
      <w:pPr>
        <w:pStyle w:val="PlainText"/>
        <w:ind w:left="1418" w:right="1559"/>
        <w:jc w:val="both"/>
        <w:rPr>
          <w:rFonts w:ascii="Times New Roman" w:hAnsi="Times New Roman" w:cs="Times New Roman"/>
          <w:i/>
          <w:iCs/>
          <w:sz w:val="24"/>
          <w:szCs w:val="24"/>
        </w:rPr>
      </w:pPr>
      <w:r w:rsidRPr="00AB5AEF">
        <w:rPr>
          <w:rFonts w:ascii="Times New Roman" w:hAnsi="Times New Roman" w:cs="Times New Roman"/>
          <w:i/>
          <w:iCs/>
          <w:sz w:val="24"/>
          <w:szCs w:val="24"/>
        </w:rPr>
        <w:t xml:space="preserve">In this paper, a portfolio-level Liquidity Adjusted Value at Risk model is formulated by using the adapted approach based on the Cornish-Fisher expansion technique to account for </w:t>
      </w:r>
      <w:r w:rsidR="00FB27C6">
        <w:rPr>
          <w:rFonts w:ascii="Times New Roman" w:hAnsi="Times New Roman" w:cs="Times New Roman"/>
          <w:i/>
          <w:iCs/>
          <w:sz w:val="24"/>
          <w:szCs w:val="24"/>
        </w:rPr>
        <w:t xml:space="preserve">non-normality in liquidity risk. </w:t>
      </w:r>
      <w:r w:rsidR="00FB27C6" w:rsidRPr="00FB27C6">
        <w:rPr>
          <w:rFonts w:ascii="Times New Roman" w:hAnsi="Times New Roman" w:cs="Times New Roman"/>
          <w:i/>
          <w:iCs/>
          <w:sz w:val="24"/>
          <w:szCs w:val="24"/>
        </w:rPr>
        <w:t>Prior studies have analyzed the importance of liquidity risk using a comprehensive liquidity measure in a Value at Risk framework. Nevertheless, most models ignore the fact that liquidity costs which measure market liquidity are non-normally distributed and this leads to a severe un</w:t>
      </w:r>
      <w:r w:rsidR="00FB27C6">
        <w:rPr>
          <w:rFonts w:ascii="Times New Roman" w:hAnsi="Times New Roman" w:cs="Times New Roman"/>
          <w:i/>
          <w:iCs/>
          <w:sz w:val="24"/>
          <w:szCs w:val="24"/>
        </w:rPr>
        <w:t xml:space="preserve">derestimation of the total risk. </w:t>
      </w:r>
      <w:r w:rsidRPr="00AB5AEF">
        <w:rPr>
          <w:rFonts w:ascii="Times New Roman" w:hAnsi="Times New Roman" w:cs="Times New Roman"/>
          <w:i/>
          <w:iCs/>
          <w:sz w:val="24"/>
          <w:szCs w:val="24"/>
        </w:rPr>
        <w:t>The empirical evidence obtained in this study shows that accounting for non-normality at portfolio level and using the modified approach produces much more accurate results than alternative risk estimation methodologies. The model is tested using emerging markets’ data as research on liquidity that primarily focuses on emerging markets yield particularly powerful tests and useful independent evidence since liquidity premium is an important feature of these data.</w:t>
      </w:r>
    </w:p>
    <w:p w14:paraId="6CEB6797" w14:textId="77777777" w:rsidR="00AB5AEF" w:rsidRPr="00AB5AEF" w:rsidRDefault="00AB5AEF" w:rsidP="00AB5AEF">
      <w:pPr>
        <w:pStyle w:val="Footer"/>
        <w:tabs>
          <w:tab w:val="left" w:pos="720"/>
        </w:tabs>
        <w:spacing w:line="360" w:lineRule="auto"/>
        <w:rPr>
          <w:rFonts w:ascii="Times New Roman" w:hAnsi="Times New Roman" w:cs="Times New Roman"/>
          <w:sz w:val="20"/>
        </w:rPr>
      </w:pPr>
    </w:p>
    <w:p w14:paraId="1DF1F355" w14:textId="77777777" w:rsidR="00AB6E81" w:rsidRPr="00AB5AEF" w:rsidRDefault="00AB6E81" w:rsidP="00AB5AEF">
      <w:pPr>
        <w:pStyle w:val="Footer"/>
        <w:tabs>
          <w:tab w:val="left" w:pos="720"/>
        </w:tabs>
        <w:spacing w:line="360" w:lineRule="auto"/>
        <w:rPr>
          <w:rFonts w:ascii="Times New Roman" w:hAnsi="Times New Roman" w:cs="Times New Roman"/>
          <w:b/>
        </w:rPr>
      </w:pPr>
      <w:bookmarkStart w:id="4" w:name="_Toc392019491"/>
      <w:bookmarkStart w:id="5" w:name="_Toc431418247"/>
      <w:bookmarkEnd w:id="0"/>
      <w:r w:rsidRPr="00AB5AEF">
        <w:rPr>
          <w:rFonts w:ascii="Times New Roman" w:hAnsi="Times New Roman" w:cs="Times New Roman"/>
          <w:b/>
        </w:rPr>
        <w:t xml:space="preserve">Keywords: </w:t>
      </w:r>
      <w:r w:rsidRPr="00AB5AEF">
        <w:rPr>
          <w:rFonts w:ascii="Times New Roman" w:hAnsi="Times New Roman" w:cs="Times New Roman"/>
        </w:rPr>
        <w:t>Value at Risk, Liquidity Costs</w:t>
      </w:r>
      <w:r w:rsidR="00AD3A41" w:rsidRPr="00AB5AEF">
        <w:rPr>
          <w:rFonts w:ascii="Times New Roman" w:hAnsi="Times New Roman" w:cs="Times New Roman"/>
        </w:rPr>
        <w:t>,</w:t>
      </w:r>
      <w:r w:rsidRPr="00AB5AEF">
        <w:rPr>
          <w:rFonts w:ascii="Times New Roman" w:hAnsi="Times New Roman" w:cs="Times New Roman"/>
        </w:rPr>
        <w:t xml:space="preserve"> Non-normality, Emerging Markets</w:t>
      </w:r>
    </w:p>
    <w:p w14:paraId="6610D7DF" w14:textId="77777777" w:rsidR="00AB6E81" w:rsidRPr="00AB5AEF" w:rsidRDefault="00AB6E81" w:rsidP="00AB5AEF">
      <w:pPr>
        <w:pStyle w:val="Footer"/>
        <w:tabs>
          <w:tab w:val="left" w:pos="720"/>
        </w:tabs>
        <w:spacing w:line="360" w:lineRule="auto"/>
        <w:rPr>
          <w:rFonts w:ascii="Times New Roman" w:hAnsi="Times New Roman" w:cs="Times New Roman"/>
          <w:b/>
        </w:rPr>
      </w:pPr>
      <w:r w:rsidRPr="00AB5AEF">
        <w:rPr>
          <w:rFonts w:ascii="Times New Roman" w:hAnsi="Times New Roman" w:cs="Times New Roman"/>
          <w:b/>
        </w:rPr>
        <w:t xml:space="preserve">JEL Codes: </w:t>
      </w:r>
      <w:r w:rsidRPr="00AB5AEF">
        <w:rPr>
          <w:rFonts w:ascii="Times New Roman" w:hAnsi="Times New Roman" w:cs="Times New Roman"/>
        </w:rPr>
        <w:t>G11, G32</w:t>
      </w:r>
    </w:p>
    <w:p w14:paraId="2F36779B" w14:textId="77777777" w:rsidR="00AB6E81" w:rsidRDefault="00AB6E81" w:rsidP="00224360">
      <w:pPr>
        <w:spacing w:line="360" w:lineRule="auto"/>
        <w:jc w:val="both"/>
        <w:rPr>
          <w:rFonts w:ascii="Times New Roman" w:hAnsi="Times New Roman" w:cs="Times New Roman"/>
          <w:b/>
          <w:bCs/>
          <w:kern w:val="32"/>
          <w:sz w:val="24"/>
          <w:szCs w:val="24"/>
        </w:rPr>
      </w:pPr>
    </w:p>
    <w:p w14:paraId="579736DF" w14:textId="77777777" w:rsidR="002A6E0B" w:rsidRDefault="00657A1C" w:rsidP="00826AF6">
      <w:pPr>
        <w:pStyle w:val="Heading1"/>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Introduction</w:t>
      </w:r>
      <w:bookmarkEnd w:id="1"/>
      <w:bookmarkEnd w:id="2"/>
      <w:bookmarkEnd w:id="4"/>
      <w:bookmarkEnd w:id="5"/>
    </w:p>
    <w:p w14:paraId="5F20E060" w14:textId="77777777" w:rsidR="00115D01" w:rsidRPr="00115D01" w:rsidRDefault="00115D01" w:rsidP="00115D01">
      <w:pPr>
        <w:spacing w:line="480" w:lineRule="auto"/>
        <w:jc w:val="both"/>
        <w:rPr>
          <w:rFonts w:ascii="Times New Roman" w:hAnsi="Times New Roman" w:cs="Times New Roman"/>
          <w:sz w:val="24"/>
          <w:szCs w:val="24"/>
        </w:rPr>
      </w:pPr>
      <w:bookmarkStart w:id="6" w:name="_Toc355021992"/>
      <w:r w:rsidRPr="00115D01">
        <w:rPr>
          <w:rFonts w:ascii="Times New Roman" w:hAnsi="Times New Roman" w:cs="Times New Roman"/>
          <w:sz w:val="24"/>
          <w:szCs w:val="24"/>
        </w:rPr>
        <w:t xml:space="preserve">The last decade has seen considerable amount of research work directed towards managing liquidity risk. </w:t>
      </w:r>
      <w:r w:rsidR="00955D39">
        <w:rPr>
          <w:rFonts w:ascii="Times New Roman" w:hAnsi="Times New Roman" w:cs="Times New Roman"/>
          <w:sz w:val="24"/>
          <w:szCs w:val="24"/>
        </w:rPr>
        <w:t>The financial crisis and the subsequent global recession of 2008-2012 have demonstrated how “a complete evaporation of liquidity”</w:t>
      </w:r>
      <w:r w:rsidR="00955D39">
        <w:rPr>
          <w:rStyle w:val="FootnoteReference"/>
          <w:rFonts w:ascii="Times New Roman" w:hAnsi="Times New Roman"/>
          <w:sz w:val="24"/>
          <w:szCs w:val="24"/>
        </w:rPr>
        <w:footnoteReference w:id="3"/>
      </w:r>
      <w:r w:rsidR="00955D39">
        <w:rPr>
          <w:rFonts w:ascii="Times New Roman" w:hAnsi="Times New Roman" w:cs="Times New Roman"/>
          <w:sz w:val="24"/>
          <w:szCs w:val="24"/>
        </w:rPr>
        <w:t xml:space="preserve"> can cause the collapse of many financial institutions.</w:t>
      </w:r>
      <w:r w:rsidR="00955D39" w:rsidRPr="00645176">
        <w:rPr>
          <w:rFonts w:ascii="Times New Roman" w:hAnsi="Times New Roman" w:cs="Times New Roman"/>
          <w:sz w:val="24"/>
          <w:szCs w:val="24"/>
        </w:rPr>
        <w:t xml:space="preserve"> </w:t>
      </w:r>
      <w:r w:rsidRPr="00115D01">
        <w:rPr>
          <w:rFonts w:ascii="Times New Roman" w:hAnsi="Times New Roman" w:cs="Times New Roman"/>
          <w:sz w:val="24"/>
          <w:szCs w:val="24"/>
        </w:rPr>
        <w:t xml:space="preserve">Large and random security price movements during financial crises </w:t>
      </w:r>
      <w:r w:rsidRPr="00115D01">
        <w:rPr>
          <w:rFonts w:ascii="Times New Roman" w:hAnsi="Times New Roman" w:cs="Times New Roman"/>
          <w:sz w:val="24"/>
          <w:szCs w:val="24"/>
        </w:rPr>
        <w:lastRenderedPageBreak/>
        <w:t xml:space="preserve">cause liquidity gaps and most hedging strategies tend to fail when these crises occur. Various hedging strategies have been proposed to mitigate the risk of sudden jump in security prices (He et al. 2006, Kennedy et al. 2009, Carr et al. 1998, Carr and Wu 2013). However, the hedging errors from both the static and the dynamic strategies become larger when the maturity of the target call/security increases, indicating that the availability and liquidity of the relevant option contracts is an important risk factor affecting option prices. Existing literature shows that investors should worry about a security’s performance and tradability both in market downturns and when liquidity “dries up” (Amihud 2002, Chordia et al. 2001, Acharya and Pedersen 2005, Bekaert et al. 2007). There are many alternative measures of liquidity in the literature such as quoted bid-ask spreads, effective bid-ask spreads, turnover, the ratio of absolute returns-to-volume, and adverse-selection and market-making cost components of price impact (Korajczyk and Sadka 2008). </w:t>
      </w:r>
    </w:p>
    <w:p w14:paraId="0B4CBB23" w14:textId="77777777" w:rsidR="00115D01" w:rsidRPr="00115D01" w:rsidRDefault="00115D01" w:rsidP="00115D01">
      <w:pPr>
        <w:spacing w:line="480" w:lineRule="auto"/>
        <w:jc w:val="both"/>
        <w:rPr>
          <w:rFonts w:ascii="Times New Roman" w:hAnsi="Times New Roman" w:cs="Times New Roman"/>
          <w:sz w:val="24"/>
          <w:szCs w:val="24"/>
        </w:rPr>
      </w:pPr>
      <w:r w:rsidRPr="00115D01">
        <w:rPr>
          <w:rFonts w:ascii="Times New Roman" w:hAnsi="Times New Roman" w:cs="Times New Roman"/>
          <w:sz w:val="24"/>
          <w:szCs w:val="24"/>
        </w:rPr>
        <w:t>Prior studies have analyzed the importance of liquidity risk using a comprehensive liquidity measure in a Value</w:t>
      </w:r>
      <w:r w:rsidRPr="00115D01">
        <w:rPr>
          <w:rFonts w:ascii="Cambria Math" w:hAnsi="Cambria Math" w:cs="Cambria Math"/>
          <w:sz w:val="24"/>
          <w:szCs w:val="24"/>
        </w:rPr>
        <w:t>‐</w:t>
      </w:r>
      <w:r w:rsidRPr="00115D01">
        <w:rPr>
          <w:rFonts w:ascii="Times New Roman" w:hAnsi="Times New Roman" w:cs="Times New Roman"/>
          <w:sz w:val="24"/>
          <w:szCs w:val="24"/>
        </w:rPr>
        <w:t>at</w:t>
      </w:r>
      <w:r w:rsidRPr="00115D01">
        <w:rPr>
          <w:rFonts w:ascii="Cambria Math" w:hAnsi="Cambria Math" w:cs="Cambria Math"/>
          <w:sz w:val="24"/>
          <w:szCs w:val="24"/>
        </w:rPr>
        <w:t>‐</w:t>
      </w:r>
      <w:r w:rsidRPr="00115D01">
        <w:rPr>
          <w:rFonts w:ascii="Times New Roman" w:hAnsi="Times New Roman" w:cs="Times New Roman"/>
          <w:sz w:val="24"/>
          <w:szCs w:val="24"/>
        </w:rPr>
        <w:t>Risk (VaR) framework (Jarrow and Subramaniam 1997, Bangia et al. 2002, Angelidis and Benos 2006, Stange and Kaserer 2011). However, most LVaR models ignore the fact that liquidity costs, which measure market liquidity, are non-normally distributed displaying fat tails and skewness. Many studies show that the assumption of normally distributed returns is rejected for most financial time series, including those for individual stocks, stock indexes, exchange rates and precious metals. The argument of non-normality holds equally for liquidity costs. Stange and Kaserer</w:t>
      </w:r>
      <w:r w:rsidRPr="00115D01">
        <w:rPr>
          <w:rFonts w:ascii="Times New Roman" w:hAnsi="Times New Roman" w:cs="Times New Roman"/>
          <w:b/>
          <w:sz w:val="24"/>
          <w:szCs w:val="24"/>
        </w:rPr>
        <w:t xml:space="preserve"> </w:t>
      </w:r>
      <w:r w:rsidRPr="00115D01">
        <w:rPr>
          <w:rFonts w:ascii="Times New Roman" w:hAnsi="Times New Roman" w:cs="Times New Roman"/>
          <w:sz w:val="24"/>
          <w:szCs w:val="24"/>
        </w:rPr>
        <w:t xml:space="preserve">(2008) analyze the distributional properties of liquidity costs and show that they are heavily skewed and fat-tailed. Ernst et al. (2012) suggest a parametric approach based on the Cornish–Fisher approximation to account for non-normality in liquidity risk. </w:t>
      </w:r>
    </w:p>
    <w:p w14:paraId="19B3F5A6" w14:textId="77777777" w:rsidR="0090400C" w:rsidRDefault="0090400C" w:rsidP="0090400C">
      <w:pPr>
        <w:spacing w:line="480" w:lineRule="auto"/>
        <w:jc w:val="both"/>
        <w:rPr>
          <w:rFonts w:ascii="Times New Roman" w:hAnsi="Times New Roman" w:cs="Times New Roman"/>
          <w:sz w:val="24"/>
          <w:szCs w:val="24"/>
        </w:rPr>
      </w:pPr>
      <w:r>
        <w:rPr>
          <w:rFonts w:ascii="Times New Roman" w:hAnsi="Times New Roman" w:cs="Times New Roman"/>
          <w:sz w:val="24"/>
          <w:szCs w:val="24"/>
        </w:rPr>
        <w:t>The goal of this paper is to extend the concept of including liquidity measure in centralized risk in a Value</w:t>
      </w:r>
      <w:r>
        <w:rPr>
          <w:rFonts w:ascii="Cambria Math" w:hAnsi="Cambria Math" w:cs="Cambria Math"/>
          <w:sz w:val="24"/>
          <w:szCs w:val="24"/>
        </w:rPr>
        <w:t>‐</w:t>
      </w:r>
      <w:r>
        <w:rPr>
          <w:rFonts w:ascii="Times New Roman" w:hAnsi="Times New Roman" w:cs="Times New Roman"/>
          <w:sz w:val="24"/>
          <w:szCs w:val="24"/>
        </w:rPr>
        <w:t>at</w:t>
      </w:r>
      <w:r>
        <w:rPr>
          <w:rFonts w:ascii="Cambria Math" w:hAnsi="Cambria Math" w:cs="Cambria Math"/>
          <w:sz w:val="24"/>
          <w:szCs w:val="24"/>
        </w:rPr>
        <w:t>‐</w:t>
      </w:r>
      <w:r>
        <w:rPr>
          <w:rFonts w:ascii="Times New Roman" w:hAnsi="Times New Roman" w:cs="Times New Roman"/>
          <w:sz w:val="24"/>
          <w:szCs w:val="24"/>
        </w:rPr>
        <w:t xml:space="preserve">Risk framework in order to formulate a portfolio-level Liquidity Adjusted </w:t>
      </w:r>
      <w:r>
        <w:rPr>
          <w:rFonts w:ascii="Times New Roman" w:hAnsi="Times New Roman" w:cs="Times New Roman"/>
          <w:sz w:val="24"/>
          <w:szCs w:val="24"/>
        </w:rPr>
        <w:lastRenderedPageBreak/>
        <w:t xml:space="preserve">Value at Risk model. The Cornish-Fisher expansion technique, as proposed by prior studies is used for correcting the percentiles of a standard normal distribution for non-normality and is simple to implement in practice. Indian stocks belonging to diverse sectors are selected for the analysis based on data availability in the period from January 2010 to December 2014. </w:t>
      </w:r>
    </w:p>
    <w:p w14:paraId="27E3A32B" w14:textId="77777777" w:rsidR="0090400C" w:rsidRDefault="0090400C" w:rsidP="0090400C">
      <w:pPr>
        <w:spacing w:line="480" w:lineRule="auto"/>
        <w:jc w:val="both"/>
        <w:rPr>
          <w:rFonts w:ascii="Times New Roman" w:hAnsi="Times New Roman" w:cs="Times New Roman"/>
          <w:sz w:val="24"/>
          <w:szCs w:val="24"/>
        </w:rPr>
      </w:pPr>
      <w:r>
        <w:rPr>
          <w:rFonts w:ascii="Times New Roman" w:hAnsi="Times New Roman" w:cs="Times New Roman"/>
          <w:sz w:val="24"/>
          <w:szCs w:val="24"/>
        </w:rPr>
        <w:t>In recent years, many financial institutions have seen growth in their emerging markets trading activity due to higher margins. A risk-adjusted view of performance in those markets should account for liquidity risk as it is usually found to be higher in emerging markets due to lower volumes. Thus, research on liquidity that primarily focuses on emerging markets yield particularly powerful tests and useful independent evidence as the liquidity premium is an important feature of these data (Bekaert et al. 2007).</w:t>
      </w:r>
    </w:p>
    <w:p w14:paraId="62F7757F" w14:textId="77777777" w:rsidR="00115D01" w:rsidRDefault="00115D01" w:rsidP="00115D01">
      <w:pPr>
        <w:spacing w:line="480" w:lineRule="auto"/>
        <w:jc w:val="both"/>
        <w:rPr>
          <w:rFonts w:ascii="Times New Roman" w:hAnsi="Times New Roman" w:cs="Times New Roman"/>
          <w:sz w:val="24"/>
          <w:szCs w:val="24"/>
        </w:rPr>
      </w:pPr>
      <w:r w:rsidRPr="00115D01">
        <w:rPr>
          <w:rFonts w:ascii="Times New Roman" w:hAnsi="Times New Roman" w:cs="Times New Roman"/>
          <w:sz w:val="24"/>
          <w:szCs w:val="24"/>
        </w:rPr>
        <w:t xml:space="preserve">The </w:t>
      </w:r>
      <w:r w:rsidR="00C21CBD">
        <w:rPr>
          <w:rFonts w:ascii="Times New Roman" w:hAnsi="Times New Roman" w:cs="Times New Roman"/>
          <w:sz w:val="24"/>
          <w:szCs w:val="24"/>
        </w:rPr>
        <w:t>paper is</w:t>
      </w:r>
      <w:r w:rsidRPr="00115D01">
        <w:rPr>
          <w:rFonts w:ascii="Times New Roman" w:hAnsi="Times New Roman" w:cs="Times New Roman"/>
          <w:sz w:val="24"/>
          <w:szCs w:val="24"/>
        </w:rPr>
        <w:t xml:space="preserve"> organized as follows; </w:t>
      </w:r>
      <w:r w:rsidR="00C21CBD">
        <w:rPr>
          <w:rFonts w:ascii="Times New Roman" w:hAnsi="Times New Roman" w:cs="Times New Roman"/>
          <w:sz w:val="24"/>
          <w:szCs w:val="24"/>
        </w:rPr>
        <w:t>Section 2 provides a comprehensive literature review</w:t>
      </w:r>
      <w:r w:rsidR="00C21CBD" w:rsidRPr="0008102C">
        <w:rPr>
          <w:rFonts w:ascii="Times New Roman" w:hAnsi="Times New Roman" w:cs="Times New Roman"/>
          <w:sz w:val="24"/>
          <w:szCs w:val="24"/>
        </w:rPr>
        <w:t xml:space="preserve"> o</w:t>
      </w:r>
      <w:r w:rsidR="003D59D4">
        <w:rPr>
          <w:rFonts w:ascii="Times New Roman" w:hAnsi="Times New Roman" w:cs="Times New Roman"/>
          <w:sz w:val="24"/>
          <w:szCs w:val="24"/>
        </w:rPr>
        <w:t>n various hedging methodologies and</w:t>
      </w:r>
      <w:r w:rsidR="00C21CBD" w:rsidRPr="0008102C">
        <w:rPr>
          <w:rFonts w:ascii="Times New Roman" w:hAnsi="Times New Roman" w:cs="Times New Roman"/>
          <w:sz w:val="24"/>
          <w:szCs w:val="24"/>
        </w:rPr>
        <w:t xml:space="preserve"> the relevance of including the liquidity risk component in pricing models</w:t>
      </w:r>
      <w:r w:rsidR="00C21CBD" w:rsidRPr="00115D01">
        <w:rPr>
          <w:rFonts w:ascii="Times New Roman" w:hAnsi="Times New Roman" w:cs="Times New Roman"/>
          <w:sz w:val="24"/>
          <w:szCs w:val="24"/>
        </w:rPr>
        <w:t xml:space="preserve"> </w:t>
      </w:r>
      <w:r w:rsidRPr="00115D01">
        <w:rPr>
          <w:rFonts w:ascii="Times New Roman" w:hAnsi="Times New Roman" w:cs="Times New Roman"/>
          <w:sz w:val="24"/>
          <w:szCs w:val="24"/>
        </w:rPr>
        <w:t xml:space="preserve">Section </w:t>
      </w:r>
      <w:r w:rsidR="00C21CBD">
        <w:rPr>
          <w:rFonts w:ascii="Times New Roman" w:hAnsi="Times New Roman" w:cs="Times New Roman"/>
          <w:sz w:val="24"/>
          <w:szCs w:val="24"/>
        </w:rPr>
        <w:t>3</w:t>
      </w:r>
      <w:r w:rsidRPr="00115D01">
        <w:rPr>
          <w:rFonts w:ascii="Times New Roman" w:hAnsi="Times New Roman" w:cs="Times New Roman"/>
          <w:sz w:val="24"/>
          <w:szCs w:val="24"/>
        </w:rPr>
        <w:t xml:space="preserve"> </w:t>
      </w:r>
      <w:r w:rsidR="006C5F9D">
        <w:rPr>
          <w:rFonts w:ascii="Times New Roman" w:hAnsi="Times New Roman" w:cs="Times New Roman"/>
          <w:sz w:val="24"/>
          <w:szCs w:val="24"/>
        </w:rPr>
        <w:t>discusses</w:t>
      </w:r>
      <w:r w:rsidRPr="00115D01">
        <w:rPr>
          <w:rFonts w:ascii="Times New Roman" w:hAnsi="Times New Roman" w:cs="Times New Roman"/>
          <w:sz w:val="24"/>
          <w:szCs w:val="24"/>
        </w:rPr>
        <w:t xml:space="preserve"> the research methodology, Section </w:t>
      </w:r>
      <w:r w:rsidR="00C21CBD">
        <w:rPr>
          <w:rFonts w:ascii="Times New Roman" w:hAnsi="Times New Roman" w:cs="Times New Roman"/>
          <w:sz w:val="24"/>
          <w:szCs w:val="24"/>
        </w:rPr>
        <w:t>4</w:t>
      </w:r>
      <w:r w:rsidRPr="00115D01">
        <w:rPr>
          <w:rFonts w:ascii="Times New Roman" w:hAnsi="Times New Roman" w:cs="Times New Roman"/>
          <w:sz w:val="24"/>
          <w:szCs w:val="24"/>
        </w:rPr>
        <w:t xml:space="preserve"> describes the data, Section </w:t>
      </w:r>
      <w:r w:rsidR="00C21CBD">
        <w:rPr>
          <w:rFonts w:ascii="Times New Roman" w:hAnsi="Times New Roman" w:cs="Times New Roman"/>
          <w:sz w:val="24"/>
          <w:szCs w:val="24"/>
        </w:rPr>
        <w:t>5</w:t>
      </w:r>
      <w:r w:rsidRPr="00115D01">
        <w:rPr>
          <w:rFonts w:ascii="Times New Roman" w:hAnsi="Times New Roman" w:cs="Times New Roman"/>
          <w:sz w:val="24"/>
          <w:szCs w:val="24"/>
        </w:rPr>
        <w:t xml:space="preserve"> discusses the </w:t>
      </w:r>
      <w:r w:rsidR="006C5F9D" w:rsidRPr="00115D01">
        <w:rPr>
          <w:rFonts w:ascii="Times New Roman" w:hAnsi="Times New Roman" w:cs="Times New Roman"/>
          <w:sz w:val="24"/>
          <w:szCs w:val="24"/>
        </w:rPr>
        <w:t xml:space="preserve">empirical performance of the modified </w:t>
      </w:r>
      <w:r w:rsidR="006C5F9D">
        <w:rPr>
          <w:rFonts w:ascii="Times New Roman" w:hAnsi="Times New Roman" w:cs="Times New Roman"/>
          <w:sz w:val="24"/>
          <w:szCs w:val="24"/>
        </w:rPr>
        <w:t>LVaR</w:t>
      </w:r>
      <w:r w:rsidR="006C5F9D" w:rsidRPr="00115D01">
        <w:rPr>
          <w:rFonts w:ascii="Times New Roman" w:hAnsi="Times New Roman" w:cs="Times New Roman"/>
          <w:sz w:val="24"/>
          <w:szCs w:val="24"/>
        </w:rPr>
        <w:t xml:space="preserve"> model at the portfolio level</w:t>
      </w:r>
      <w:r w:rsidRPr="00115D01">
        <w:rPr>
          <w:rFonts w:ascii="Times New Roman" w:hAnsi="Times New Roman" w:cs="Times New Roman"/>
          <w:sz w:val="24"/>
          <w:szCs w:val="24"/>
        </w:rPr>
        <w:t xml:space="preserve">, Section </w:t>
      </w:r>
      <w:r w:rsidR="00C21CBD">
        <w:rPr>
          <w:rFonts w:ascii="Times New Roman" w:hAnsi="Times New Roman" w:cs="Times New Roman"/>
          <w:sz w:val="24"/>
          <w:szCs w:val="24"/>
        </w:rPr>
        <w:t>6</w:t>
      </w:r>
      <w:r w:rsidRPr="00115D01">
        <w:rPr>
          <w:rFonts w:ascii="Times New Roman" w:hAnsi="Times New Roman" w:cs="Times New Roman"/>
          <w:sz w:val="24"/>
          <w:szCs w:val="24"/>
        </w:rPr>
        <w:t xml:space="preserve"> presents </w:t>
      </w:r>
      <w:r w:rsidR="006C5F9D" w:rsidRPr="00115D01">
        <w:rPr>
          <w:rFonts w:ascii="Times New Roman" w:hAnsi="Times New Roman" w:cs="Times New Roman"/>
          <w:sz w:val="24"/>
          <w:szCs w:val="24"/>
        </w:rPr>
        <w:t>robustness checks</w:t>
      </w:r>
      <w:r w:rsidR="006C5F9D">
        <w:rPr>
          <w:rFonts w:ascii="Times New Roman" w:hAnsi="Times New Roman" w:cs="Times New Roman"/>
          <w:sz w:val="24"/>
          <w:szCs w:val="24"/>
        </w:rPr>
        <w:t xml:space="preserve"> and </w:t>
      </w:r>
      <w:r w:rsidR="00C21CBD">
        <w:rPr>
          <w:rFonts w:ascii="Times New Roman" w:hAnsi="Times New Roman" w:cs="Times New Roman"/>
          <w:sz w:val="24"/>
          <w:szCs w:val="24"/>
        </w:rPr>
        <w:t>Section 7 concludes.</w:t>
      </w:r>
    </w:p>
    <w:p w14:paraId="4A6370E9" w14:textId="77777777" w:rsidR="00554FEC" w:rsidRDefault="00554FEC" w:rsidP="00115D01">
      <w:pPr>
        <w:spacing w:line="480" w:lineRule="auto"/>
        <w:jc w:val="both"/>
        <w:rPr>
          <w:rFonts w:ascii="Times New Roman" w:hAnsi="Times New Roman" w:cs="Times New Roman"/>
          <w:sz w:val="24"/>
          <w:szCs w:val="24"/>
        </w:rPr>
      </w:pPr>
    </w:p>
    <w:p w14:paraId="63EF8A70" w14:textId="77777777" w:rsidR="002A6E0B" w:rsidRDefault="00657A1C" w:rsidP="00115D01">
      <w:pPr>
        <w:pStyle w:val="Heading1"/>
        <w:numPr>
          <w:ilvl w:val="0"/>
          <w:numId w:val="5"/>
        </w:numPr>
        <w:spacing w:line="480" w:lineRule="auto"/>
        <w:jc w:val="both"/>
        <w:rPr>
          <w:rFonts w:ascii="Times New Roman" w:hAnsi="Times New Roman" w:cs="Times New Roman"/>
          <w:sz w:val="24"/>
          <w:szCs w:val="24"/>
        </w:rPr>
      </w:pPr>
      <w:bookmarkStart w:id="7" w:name="_Toc392019495"/>
      <w:bookmarkStart w:id="8" w:name="_Toc431418248"/>
      <w:bookmarkEnd w:id="6"/>
      <w:r>
        <w:rPr>
          <w:rFonts w:ascii="Times New Roman" w:hAnsi="Times New Roman" w:cs="Times New Roman"/>
          <w:sz w:val="24"/>
          <w:szCs w:val="24"/>
        </w:rPr>
        <w:t>Literature Review</w:t>
      </w:r>
      <w:bookmarkEnd w:id="7"/>
      <w:bookmarkEnd w:id="8"/>
    </w:p>
    <w:p w14:paraId="779EC4D3" w14:textId="77777777" w:rsidR="002A6E0B" w:rsidRPr="00982AB9" w:rsidRDefault="002A6E0B" w:rsidP="00C65F2F">
      <w:pPr>
        <w:pStyle w:val="ListParagraph"/>
        <w:keepNext/>
        <w:keepLines/>
        <w:numPr>
          <w:ilvl w:val="0"/>
          <w:numId w:val="1"/>
        </w:numPr>
        <w:spacing w:before="200" w:after="0" w:line="480" w:lineRule="auto"/>
        <w:contextualSpacing w:val="0"/>
        <w:outlineLvl w:val="1"/>
        <w:rPr>
          <w:rFonts w:asciiTheme="majorHAnsi" w:eastAsiaTheme="majorEastAsia" w:hAnsiTheme="majorHAnsi" w:cstheme="majorBidi"/>
          <w:b/>
          <w:bCs/>
          <w:vanish/>
          <w:sz w:val="26"/>
          <w:szCs w:val="26"/>
        </w:rPr>
      </w:pPr>
      <w:bookmarkStart w:id="9" w:name="_Toc391909518"/>
      <w:bookmarkStart w:id="10" w:name="_Toc391911948"/>
      <w:bookmarkStart w:id="11" w:name="_Toc391997174"/>
      <w:bookmarkStart w:id="12" w:name="_Toc391997715"/>
      <w:bookmarkStart w:id="13" w:name="_Toc392019496"/>
      <w:bookmarkStart w:id="14" w:name="_Toc393101617"/>
      <w:bookmarkStart w:id="15" w:name="_Toc402631353"/>
      <w:bookmarkStart w:id="16" w:name="_Toc402631998"/>
      <w:bookmarkStart w:id="17" w:name="_Toc410046401"/>
      <w:bookmarkStart w:id="18" w:name="_Toc410046474"/>
      <w:bookmarkStart w:id="19" w:name="_Toc410054103"/>
      <w:bookmarkStart w:id="20" w:name="_Toc410054173"/>
      <w:bookmarkStart w:id="21" w:name="_Toc410056040"/>
      <w:bookmarkStart w:id="22" w:name="_Toc410077874"/>
      <w:bookmarkStart w:id="23" w:name="_Toc410078004"/>
      <w:bookmarkStart w:id="24" w:name="_Toc410078976"/>
      <w:bookmarkStart w:id="25" w:name="_Toc418702850"/>
      <w:bookmarkStart w:id="26" w:name="_Toc418702879"/>
      <w:bookmarkStart w:id="27" w:name="_Toc418964787"/>
      <w:bookmarkStart w:id="28" w:name="_Toc418976676"/>
      <w:bookmarkStart w:id="29" w:name="_Toc419306914"/>
      <w:bookmarkStart w:id="30" w:name="_Toc422154314"/>
      <w:bookmarkStart w:id="31" w:name="_Toc422154343"/>
      <w:bookmarkStart w:id="32" w:name="_Toc424310372"/>
      <w:bookmarkStart w:id="33" w:name="_Toc425516417"/>
      <w:bookmarkStart w:id="34" w:name="_Toc426385242"/>
      <w:bookmarkStart w:id="35" w:name="_Toc427511227"/>
      <w:bookmarkStart w:id="36" w:name="_Toc427769146"/>
      <w:bookmarkStart w:id="37" w:name="_Toc427782095"/>
      <w:bookmarkStart w:id="38" w:name="_Toc427858269"/>
      <w:bookmarkStart w:id="39" w:name="_Toc427858304"/>
      <w:bookmarkStart w:id="40" w:name="_Toc428044200"/>
      <w:bookmarkStart w:id="41" w:name="_Toc428055557"/>
      <w:bookmarkStart w:id="42" w:name="_Toc431408589"/>
      <w:bookmarkStart w:id="43" w:name="_Toc431408877"/>
      <w:bookmarkStart w:id="44" w:name="_Toc431409499"/>
      <w:bookmarkStart w:id="45" w:name="_Toc431409646"/>
      <w:bookmarkStart w:id="46" w:name="_Toc431418249"/>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p w14:paraId="20F1C033" w14:textId="77777777" w:rsidR="002A6E0B" w:rsidRPr="00657A1C" w:rsidRDefault="008F2A6B" w:rsidP="00115D01">
      <w:pPr>
        <w:pStyle w:val="Heading2"/>
        <w:numPr>
          <w:ilvl w:val="1"/>
          <w:numId w:val="6"/>
        </w:numPr>
        <w:spacing w:line="480" w:lineRule="auto"/>
        <w:rPr>
          <w:rFonts w:ascii="Times New Roman" w:hAnsi="Times New Roman" w:cs="Times New Roman"/>
          <w:color w:val="auto"/>
          <w:sz w:val="24"/>
          <w:szCs w:val="24"/>
        </w:rPr>
      </w:pPr>
      <w:bookmarkStart w:id="47" w:name="_Toc431418250"/>
      <w:r w:rsidRPr="00657A1C">
        <w:rPr>
          <w:rFonts w:ascii="Times New Roman" w:hAnsi="Times New Roman" w:cs="Times New Roman"/>
          <w:color w:val="auto"/>
          <w:sz w:val="24"/>
          <w:szCs w:val="24"/>
        </w:rPr>
        <w:t>Efficient Hedging M</w:t>
      </w:r>
      <w:r w:rsidR="009E25BD" w:rsidRPr="00657A1C">
        <w:rPr>
          <w:rFonts w:ascii="Times New Roman" w:hAnsi="Times New Roman" w:cs="Times New Roman"/>
          <w:color w:val="auto"/>
          <w:sz w:val="24"/>
          <w:szCs w:val="24"/>
        </w:rPr>
        <w:t>ethods</w:t>
      </w:r>
      <w:bookmarkEnd w:id="47"/>
    </w:p>
    <w:p w14:paraId="75672D94" w14:textId="77777777" w:rsidR="00606B8A" w:rsidRDefault="007D3A69" w:rsidP="00C65F2F">
      <w:pPr>
        <w:spacing w:line="480" w:lineRule="auto"/>
        <w:jc w:val="both"/>
        <w:rPr>
          <w:rFonts w:ascii="Times New Roman" w:hAnsi="Times New Roman" w:cs="Times New Roman"/>
          <w:sz w:val="24"/>
          <w:szCs w:val="24"/>
        </w:rPr>
      </w:pPr>
      <w:r>
        <w:rPr>
          <w:rFonts w:ascii="Times New Roman" w:hAnsi="Times New Roman" w:cs="Times New Roman"/>
          <w:sz w:val="24"/>
          <w:szCs w:val="24"/>
        </w:rPr>
        <w:t>A</w:t>
      </w:r>
      <w:r w:rsidR="00E51756" w:rsidRPr="00E51756">
        <w:rPr>
          <w:rFonts w:ascii="Times New Roman" w:hAnsi="Times New Roman" w:cs="Times New Roman"/>
          <w:sz w:val="24"/>
          <w:szCs w:val="24"/>
        </w:rPr>
        <w:t xml:space="preserve"> number of hedging </w:t>
      </w:r>
      <w:r w:rsidR="000B4AAE">
        <w:rPr>
          <w:rFonts w:ascii="Times New Roman" w:hAnsi="Times New Roman" w:cs="Times New Roman"/>
          <w:sz w:val="24"/>
          <w:szCs w:val="24"/>
        </w:rPr>
        <w:t>strategies</w:t>
      </w:r>
      <w:r w:rsidR="00E51756" w:rsidRPr="00E51756">
        <w:rPr>
          <w:rFonts w:ascii="Times New Roman" w:hAnsi="Times New Roman" w:cs="Times New Roman"/>
          <w:sz w:val="24"/>
          <w:szCs w:val="24"/>
        </w:rPr>
        <w:t xml:space="preserve"> such as delta or dynamic hedging, static hedging and semi-static hedging have been developed over the years</w:t>
      </w:r>
      <w:r>
        <w:rPr>
          <w:rFonts w:ascii="Times New Roman" w:hAnsi="Times New Roman" w:cs="Times New Roman"/>
          <w:sz w:val="24"/>
          <w:szCs w:val="24"/>
        </w:rPr>
        <w:t xml:space="preserve"> though firms generally do not give enough details about the types of hedging methods used in their annual reports</w:t>
      </w:r>
      <w:r w:rsidR="00E51756" w:rsidRPr="00E51756">
        <w:rPr>
          <w:rFonts w:ascii="Times New Roman" w:hAnsi="Times New Roman" w:cs="Times New Roman"/>
          <w:sz w:val="24"/>
          <w:szCs w:val="24"/>
        </w:rPr>
        <w:t xml:space="preserve">. Delta </w:t>
      </w:r>
      <w:r w:rsidR="00E51756" w:rsidRPr="00E51756">
        <w:rPr>
          <w:rFonts w:ascii="Times New Roman" w:hAnsi="Times New Roman" w:cs="Times New Roman"/>
          <w:sz w:val="24"/>
          <w:szCs w:val="24"/>
        </w:rPr>
        <w:lastRenderedPageBreak/>
        <w:t>hedging or dynamic hedging is the process of keeping the delta</w:t>
      </w:r>
      <w:r w:rsidR="00E51756">
        <w:rPr>
          <w:rStyle w:val="FootnoteReference"/>
          <w:rFonts w:ascii="Times New Roman" w:hAnsi="Times New Roman"/>
          <w:sz w:val="24"/>
          <w:szCs w:val="24"/>
        </w:rPr>
        <w:footnoteReference w:id="4"/>
      </w:r>
      <w:r w:rsidR="00E51756" w:rsidRPr="00E51756">
        <w:rPr>
          <w:rFonts w:ascii="Times New Roman" w:hAnsi="Times New Roman" w:cs="Times New Roman"/>
          <w:sz w:val="24"/>
          <w:szCs w:val="24"/>
        </w:rPr>
        <w:t xml:space="preserve"> of a portfolio as close to zero as possible. The existence of a delta neutral</w:t>
      </w:r>
      <w:r w:rsidR="00E51756">
        <w:rPr>
          <w:rStyle w:val="FootnoteReference"/>
          <w:rFonts w:ascii="Times New Roman" w:hAnsi="Times New Roman"/>
          <w:sz w:val="24"/>
          <w:szCs w:val="24"/>
        </w:rPr>
        <w:footnoteReference w:id="5"/>
      </w:r>
      <w:r w:rsidR="00E51756" w:rsidRPr="00E51756">
        <w:rPr>
          <w:rFonts w:ascii="Times New Roman" w:hAnsi="Times New Roman" w:cs="Times New Roman"/>
          <w:sz w:val="24"/>
          <w:szCs w:val="24"/>
        </w:rPr>
        <w:t xml:space="preserve"> portfolio was first shown as a part of the original proof of the option pricing formula </w:t>
      </w:r>
      <w:r w:rsidR="00E51756" w:rsidRPr="00C65F2F">
        <w:rPr>
          <w:rFonts w:ascii="Times New Roman" w:hAnsi="Times New Roman" w:cs="Times New Roman"/>
          <w:sz w:val="24"/>
          <w:szCs w:val="24"/>
        </w:rPr>
        <w:t>developed by Black-Scholes (1973) in</w:t>
      </w:r>
      <w:r w:rsidR="00E51756" w:rsidRPr="00E51756">
        <w:rPr>
          <w:rFonts w:ascii="Times New Roman" w:hAnsi="Times New Roman" w:cs="Times New Roman"/>
          <w:sz w:val="24"/>
          <w:szCs w:val="24"/>
        </w:rPr>
        <w:t xml:space="preserve"> which the option’s payoff is replicated by a continuously-adjusted hedge portfolio composed of the underlying asset and short-term bonds. The key distributional assumption of the formula is that the price of the asset on which the option is written follows a lognormal diffusion, the instantaneous variance of which depends at most upon the asset price and time.</w:t>
      </w:r>
      <w:r w:rsidR="006A00B0">
        <w:rPr>
          <w:rFonts w:ascii="Times New Roman" w:hAnsi="Times New Roman" w:cs="Times New Roman"/>
          <w:sz w:val="24"/>
          <w:szCs w:val="24"/>
        </w:rPr>
        <w:t xml:space="preserve"> In an ideal setting or under the complete market scenario, the price of the underlying asset moves continuously (such as in a diffusion with known instantaneous </w:t>
      </w:r>
      <w:r w:rsidR="0062157C" w:rsidRPr="00E51756">
        <w:rPr>
          <w:rFonts w:ascii="Times New Roman" w:hAnsi="Times New Roman" w:cs="Times New Roman"/>
          <w:sz w:val="24"/>
          <w:szCs w:val="24"/>
        </w:rPr>
        <w:t>variance</w:t>
      </w:r>
      <w:r w:rsidR="006A00B0">
        <w:rPr>
          <w:rFonts w:ascii="Times New Roman" w:hAnsi="Times New Roman" w:cs="Times New Roman"/>
          <w:sz w:val="24"/>
          <w:szCs w:val="24"/>
        </w:rPr>
        <w:t xml:space="preserve">) or with fixed and known size steps and the risks inherent in the derivatives position can be eliminated via frequent trading in small number of securities. </w:t>
      </w:r>
      <w:r w:rsidR="00E51756" w:rsidRPr="00E51756">
        <w:rPr>
          <w:rFonts w:ascii="Times New Roman" w:hAnsi="Times New Roman" w:cs="Times New Roman"/>
          <w:sz w:val="24"/>
          <w:szCs w:val="24"/>
        </w:rPr>
        <w:t>In reality, however, markets are incomplete and large random price movements (jumps) happen much more often than typically assumed in the ideal settings</w:t>
      </w:r>
      <w:r w:rsidR="00BD169A">
        <w:rPr>
          <w:rFonts w:ascii="Times New Roman" w:hAnsi="Times New Roman" w:cs="Times New Roman"/>
          <w:sz w:val="24"/>
          <w:szCs w:val="24"/>
        </w:rPr>
        <w:t xml:space="preserve"> and</w:t>
      </w:r>
      <w:r w:rsidR="00E51756" w:rsidRPr="00E51756">
        <w:rPr>
          <w:rFonts w:ascii="Times New Roman" w:hAnsi="Times New Roman" w:cs="Times New Roman"/>
          <w:sz w:val="24"/>
          <w:szCs w:val="24"/>
        </w:rPr>
        <w:t xml:space="preserve"> a dynamic hedging strategy based on small or fixed size movements often breaks down. </w:t>
      </w:r>
    </w:p>
    <w:p w14:paraId="124C8ACB" w14:textId="77777777" w:rsidR="00E51756" w:rsidRPr="00C65F2F" w:rsidRDefault="00E51756" w:rsidP="00C65F2F">
      <w:pPr>
        <w:spacing w:line="480" w:lineRule="auto"/>
        <w:jc w:val="both"/>
        <w:rPr>
          <w:rFonts w:ascii="Times New Roman" w:hAnsi="Times New Roman" w:cs="Times New Roman"/>
          <w:sz w:val="24"/>
          <w:szCs w:val="24"/>
        </w:rPr>
      </w:pPr>
      <w:r w:rsidRPr="00C65F2F">
        <w:rPr>
          <w:rFonts w:ascii="Times New Roman" w:hAnsi="Times New Roman" w:cs="Times New Roman"/>
          <w:sz w:val="24"/>
          <w:szCs w:val="24"/>
        </w:rPr>
        <w:t xml:space="preserve">In response to these deficiencies of dynamic hedging, Breeden and Litzenberger (1978) pioneered an alternative approach called static hedging.  This strategy (static hedging) shows that a path-independent payoff can be hedged using a portfolio of standard options maturing with the claim. It is effective even in the presence of jumps of random size and can be used to avoid the high costs of frequent trading. It is completely robust to model misspecification but cannot deal with path-dependent options. Carr et al. (1998) focus on path-dependent options that change characteristics at one or more critical price levels, for example, barrier and look-back options and their extensions. Put-call symmetry (PCS) </w:t>
      </w:r>
      <w:r w:rsidRPr="00C65F2F">
        <w:rPr>
          <w:rFonts w:ascii="Times New Roman" w:hAnsi="Times New Roman" w:cs="Times New Roman"/>
          <w:sz w:val="24"/>
          <w:szCs w:val="24"/>
        </w:rPr>
        <w:lastRenderedPageBreak/>
        <w:t xml:space="preserve">which is both an extension and a restriction of the widely known put-call parity result is used to develop a method for valuation and static hedging of exotic options. Simple portfolios are engineered to mimic the values of standard options along barriers using PCS. Static positions in standard options are invariant to volatility, interest rates and dividends, bypassing the need to estimate them (unlike dynamic hedging). The only real drawback of this strategy is that the class of claims it can hedge is fairly narrow. </w:t>
      </w:r>
    </w:p>
    <w:p w14:paraId="1D754352" w14:textId="77777777" w:rsidR="00195747" w:rsidRDefault="0062157C" w:rsidP="00C65F2F">
      <w:pPr>
        <w:spacing w:line="480" w:lineRule="auto"/>
        <w:jc w:val="both"/>
        <w:rPr>
          <w:rFonts w:ascii="Times New Roman" w:hAnsi="Times New Roman" w:cs="Times New Roman"/>
          <w:sz w:val="24"/>
          <w:szCs w:val="24"/>
        </w:rPr>
      </w:pPr>
      <w:r w:rsidRPr="00C65F2F">
        <w:rPr>
          <w:rFonts w:ascii="Times New Roman" w:hAnsi="Times New Roman" w:cs="Times New Roman"/>
          <w:sz w:val="24"/>
          <w:szCs w:val="24"/>
        </w:rPr>
        <w:t>A dynamic hedging strategy that can be used under a jump d</w:t>
      </w:r>
      <w:r w:rsidR="00F23685" w:rsidRPr="00C65F2F">
        <w:rPr>
          <w:rFonts w:ascii="Times New Roman" w:hAnsi="Times New Roman" w:cs="Times New Roman"/>
          <w:sz w:val="24"/>
          <w:szCs w:val="24"/>
        </w:rPr>
        <w:t>iff</w:t>
      </w:r>
      <w:r w:rsidRPr="00C65F2F">
        <w:rPr>
          <w:rFonts w:ascii="Times New Roman" w:hAnsi="Times New Roman" w:cs="Times New Roman"/>
          <w:sz w:val="24"/>
          <w:szCs w:val="24"/>
        </w:rPr>
        <w:t>usion model was explored in He et al. (2006). This method seeks to mitigate the jump risk by holding instruments in the hedge portfolio that protect against a sudden, extreme movement in the stock price. The strategy handles contracts with path dependent features better but in the presence of transaction costs, the cumulative expense of the necessary updates generally become large as the rebalancing frequency increases. Kennedy et al. (2009) devise a dynamic hedging strategy that protects against the diffusion and jump risk while not costing too much to maintain. The objective function in the dynamic strategy of He et al. (2006) is augmented to include a component that takes into account transaction costs and a multi-objective optimization problem is defined. The results of the hedging simulations of this procedure indicate that the dynamic hedging strategy provides sufficient protection against the diffusion and jump risk while not incurring large transaction costs</w:t>
      </w:r>
      <w:r w:rsidRPr="00E51756">
        <w:rPr>
          <w:rFonts w:ascii="Times New Roman" w:hAnsi="Times New Roman" w:cs="Times New Roman"/>
          <w:sz w:val="24"/>
          <w:szCs w:val="24"/>
        </w:rPr>
        <w:t>.</w:t>
      </w:r>
      <w:r>
        <w:rPr>
          <w:rFonts w:ascii="Times New Roman" w:hAnsi="Times New Roman" w:cs="Times New Roman"/>
          <w:sz w:val="24"/>
          <w:szCs w:val="24"/>
        </w:rPr>
        <w:t xml:space="preserve"> </w:t>
      </w:r>
      <w:r w:rsidR="00C65F2F" w:rsidRPr="00C65F2F">
        <w:rPr>
          <w:rFonts w:ascii="Times New Roman" w:hAnsi="Times New Roman" w:cs="Times New Roman"/>
          <w:sz w:val="24"/>
          <w:szCs w:val="24"/>
        </w:rPr>
        <w:t>Carr and Wu (2013</w:t>
      </w:r>
      <w:r w:rsidR="00E51756" w:rsidRPr="00C65F2F">
        <w:rPr>
          <w:rFonts w:ascii="Times New Roman" w:hAnsi="Times New Roman" w:cs="Times New Roman"/>
          <w:sz w:val="24"/>
          <w:szCs w:val="24"/>
        </w:rPr>
        <w:t>) propose a semi-static</w:t>
      </w:r>
      <w:r w:rsidR="00E51756" w:rsidRPr="00C65F2F">
        <w:rPr>
          <w:rStyle w:val="FootnoteReference"/>
          <w:rFonts w:ascii="Times New Roman" w:hAnsi="Times New Roman"/>
          <w:sz w:val="24"/>
          <w:szCs w:val="24"/>
        </w:rPr>
        <w:footnoteReference w:id="6"/>
      </w:r>
      <w:r w:rsidR="00E51756" w:rsidRPr="00C65F2F">
        <w:rPr>
          <w:rFonts w:ascii="Times New Roman" w:hAnsi="Times New Roman" w:cs="Times New Roman"/>
          <w:sz w:val="24"/>
          <w:szCs w:val="24"/>
        </w:rPr>
        <w:t xml:space="preserve"> approach for hedging derivative securities; it lies between</w:t>
      </w:r>
      <w:r w:rsidR="00E51756" w:rsidRPr="00E51756">
        <w:rPr>
          <w:rFonts w:ascii="Times New Roman" w:hAnsi="Times New Roman" w:cs="Times New Roman"/>
          <w:sz w:val="24"/>
          <w:szCs w:val="24"/>
        </w:rPr>
        <w:t xml:space="preserve"> dynamic hedging and static hedging in terms of both range and robustness. It is found that </w:t>
      </w:r>
      <w:r w:rsidR="00F5569A" w:rsidRPr="00F5569A">
        <w:rPr>
          <w:rFonts w:ascii="Times New Roman" w:hAnsi="Times New Roman" w:cs="Times New Roman"/>
          <w:sz w:val="24"/>
          <w:szCs w:val="24"/>
        </w:rPr>
        <w:t>under purely continuous price dynamics, discretized static hedges</w:t>
      </w:r>
      <w:r w:rsidR="00F5569A">
        <w:rPr>
          <w:rFonts w:ascii="Times New Roman" w:hAnsi="Times New Roman" w:cs="Times New Roman"/>
          <w:sz w:val="24"/>
          <w:szCs w:val="24"/>
        </w:rPr>
        <w:t xml:space="preserve"> </w:t>
      </w:r>
      <w:r w:rsidR="00F5569A" w:rsidRPr="00F5569A">
        <w:rPr>
          <w:rFonts w:ascii="Times New Roman" w:hAnsi="Times New Roman" w:cs="Times New Roman"/>
          <w:sz w:val="24"/>
          <w:szCs w:val="24"/>
        </w:rPr>
        <w:t>with as few as three to five options perform comparably to the dynamic delta hedge with the</w:t>
      </w:r>
      <w:r w:rsidR="00F5569A">
        <w:rPr>
          <w:rFonts w:ascii="Times New Roman" w:hAnsi="Times New Roman" w:cs="Times New Roman"/>
          <w:sz w:val="24"/>
          <w:szCs w:val="24"/>
        </w:rPr>
        <w:t xml:space="preserve"> </w:t>
      </w:r>
      <w:r w:rsidR="00F5569A" w:rsidRPr="00F5569A">
        <w:rPr>
          <w:rFonts w:ascii="Times New Roman" w:hAnsi="Times New Roman" w:cs="Times New Roman"/>
          <w:sz w:val="24"/>
          <w:szCs w:val="24"/>
        </w:rPr>
        <w:t>underlying futures and daily updating, but the static hedges strongly outperform the daily delta</w:t>
      </w:r>
      <w:r w:rsidR="00F5569A">
        <w:rPr>
          <w:rFonts w:ascii="Times New Roman" w:hAnsi="Times New Roman" w:cs="Times New Roman"/>
          <w:sz w:val="24"/>
          <w:szCs w:val="24"/>
        </w:rPr>
        <w:t xml:space="preserve"> </w:t>
      </w:r>
      <w:r w:rsidR="00F5569A" w:rsidRPr="00F5569A">
        <w:rPr>
          <w:rFonts w:ascii="Times New Roman" w:hAnsi="Times New Roman" w:cs="Times New Roman"/>
          <w:sz w:val="24"/>
          <w:szCs w:val="24"/>
        </w:rPr>
        <w:t>hedge when the underlying price process contains random jumps.</w:t>
      </w:r>
      <w:r w:rsidR="00F5569A">
        <w:rPr>
          <w:rFonts w:ascii="Times New Roman" w:hAnsi="Times New Roman" w:cs="Times New Roman"/>
          <w:sz w:val="24"/>
          <w:szCs w:val="24"/>
        </w:rPr>
        <w:t xml:space="preserve"> </w:t>
      </w:r>
      <w:r w:rsidR="00C65F2F" w:rsidRPr="00C65F2F">
        <w:rPr>
          <w:rFonts w:ascii="Times New Roman" w:hAnsi="Times New Roman" w:cs="Times New Roman"/>
          <w:sz w:val="24"/>
          <w:szCs w:val="24"/>
        </w:rPr>
        <w:t xml:space="preserve">A historical analysis using over 13 years </w:t>
      </w:r>
      <w:r w:rsidR="00C65F2F" w:rsidRPr="00C65F2F">
        <w:rPr>
          <w:rFonts w:ascii="Times New Roman" w:hAnsi="Times New Roman" w:cs="Times New Roman"/>
          <w:sz w:val="24"/>
          <w:szCs w:val="24"/>
        </w:rPr>
        <w:lastRenderedPageBreak/>
        <w:t>of data on S&amp;P 500 index options further validates the superior performance of the static hedging strategy in practical situations</w:t>
      </w:r>
      <w:r w:rsidR="00C65F2F">
        <w:rPr>
          <w:rFonts w:ascii="Times New Roman" w:hAnsi="Times New Roman" w:cs="Times New Roman"/>
          <w:sz w:val="24"/>
          <w:szCs w:val="24"/>
        </w:rPr>
        <w:t xml:space="preserve">. </w:t>
      </w:r>
    </w:p>
    <w:p w14:paraId="36A475C2" w14:textId="77777777" w:rsidR="00195747" w:rsidRDefault="00E51756" w:rsidP="00195747">
      <w:pPr>
        <w:spacing w:line="480" w:lineRule="auto"/>
        <w:jc w:val="both"/>
        <w:rPr>
          <w:rFonts w:ascii="Times New Roman" w:hAnsi="Times New Roman" w:cs="Times New Roman"/>
          <w:sz w:val="24"/>
          <w:szCs w:val="24"/>
        </w:rPr>
      </w:pPr>
      <w:r w:rsidRPr="00E51756">
        <w:rPr>
          <w:rFonts w:ascii="Times New Roman" w:hAnsi="Times New Roman" w:cs="Times New Roman"/>
          <w:sz w:val="24"/>
          <w:szCs w:val="24"/>
        </w:rPr>
        <w:t>However, the hedging errors from both the static and the dynamic strategies become larger when the maturity of the target call increases, indicating the potential existence of additional risk factors affecting option prices. Availability and liquidity of the relevant option contracts is one such important risk factor affecting option prices.</w:t>
      </w:r>
      <w:r w:rsidR="008F2A6B">
        <w:rPr>
          <w:rFonts w:ascii="Times New Roman" w:hAnsi="Times New Roman" w:cs="Times New Roman"/>
          <w:sz w:val="24"/>
          <w:szCs w:val="24"/>
        </w:rPr>
        <w:t xml:space="preserve"> </w:t>
      </w:r>
      <w:r w:rsidR="00195747" w:rsidRPr="00177770">
        <w:rPr>
          <w:rFonts w:ascii="Times New Roman" w:hAnsi="Times New Roman" w:cs="Times New Roman"/>
          <w:sz w:val="24"/>
          <w:szCs w:val="24"/>
        </w:rPr>
        <w:t>Bongaerts et al. (2011) generate interaction effects between hedging demand and liquidi</w:t>
      </w:r>
      <w:r w:rsidR="00195747">
        <w:rPr>
          <w:rFonts w:ascii="Times New Roman" w:hAnsi="Times New Roman" w:cs="Times New Roman"/>
          <w:sz w:val="24"/>
          <w:szCs w:val="24"/>
        </w:rPr>
        <w:t xml:space="preserve">ty premia. It is shown that, on one hand, increased hedging demand implies that some investors will short hedge assets for hedging purposes, but that on the other hand, this hedging pressure pushes up expected returns, which increases the speculative demand of investors. </w:t>
      </w:r>
    </w:p>
    <w:p w14:paraId="5E466C91" w14:textId="77777777" w:rsidR="0083330B" w:rsidRPr="00657A1C" w:rsidRDefault="0083330B" w:rsidP="00115D01">
      <w:pPr>
        <w:pStyle w:val="Heading2"/>
        <w:numPr>
          <w:ilvl w:val="1"/>
          <w:numId w:val="6"/>
        </w:numPr>
        <w:spacing w:line="480" w:lineRule="auto"/>
        <w:rPr>
          <w:rFonts w:ascii="Times New Roman" w:hAnsi="Times New Roman" w:cs="Times New Roman"/>
          <w:color w:val="auto"/>
          <w:sz w:val="24"/>
          <w:szCs w:val="24"/>
        </w:rPr>
      </w:pPr>
      <w:bookmarkStart w:id="48" w:name="_Toc392019500"/>
      <w:bookmarkStart w:id="49" w:name="_Toc431418251"/>
      <w:r w:rsidRPr="00657A1C">
        <w:rPr>
          <w:rFonts w:ascii="Times New Roman" w:hAnsi="Times New Roman" w:cs="Times New Roman"/>
          <w:color w:val="auto"/>
          <w:sz w:val="24"/>
          <w:szCs w:val="24"/>
        </w:rPr>
        <w:t>Liquidity Risk</w:t>
      </w:r>
      <w:bookmarkEnd w:id="48"/>
      <w:bookmarkEnd w:id="49"/>
      <w:r w:rsidRPr="00657A1C">
        <w:rPr>
          <w:rFonts w:ascii="Times New Roman" w:hAnsi="Times New Roman" w:cs="Times New Roman"/>
          <w:color w:val="auto"/>
          <w:sz w:val="24"/>
          <w:szCs w:val="24"/>
        </w:rPr>
        <w:t xml:space="preserve">  </w:t>
      </w:r>
    </w:p>
    <w:p w14:paraId="4EBFCF64" w14:textId="77777777" w:rsidR="0083330B" w:rsidRDefault="0083330B" w:rsidP="0083330B">
      <w:pPr>
        <w:spacing w:line="480" w:lineRule="auto"/>
        <w:jc w:val="both"/>
        <w:rPr>
          <w:rFonts w:ascii="Times New Roman" w:hAnsi="Times New Roman" w:cs="Times New Roman"/>
          <w:sz w:val="24"/>
          <w:szCs w:val="24"/>
        </w:rPr>
      </w:pPr>
      <w:r w:rsidRPr="00B40F53">
        <w:rPr>
          <w:rFonts w:ascii="Times New Roman" w:hAnsi="Times New Roman" w:cs="Times New Roman"/>
          <w:i/>
          <w:iCs/>
          <w:sz w:val="24"/>
          <w:szCs w:val="24"/>
        </w:rPr>
        <w:t>The risk that a given security or asset cannot be traded quickly enough in the market to prevent or minimize a loss is termed liquidity risk</w:t>
      </w:r>
      <w:r>
        <w:rPr>
          <w:rFonts w:ascii="Times New Roman" w:hAnsi="Times New Roman" w:cs="Times New Roman"/>
          <w:sz w:val="24"/>
          <w:szCs w:val="24"/>
        </w:rPr>
        <w:t xml:space="preserve">. The last decade has seen considerable amount of research work directed towards managing liquidity risk while pricing an option. According </w:t>
      </w:r>
      <w:r w:rsidRPr="00C65F2F">
        <w:rPr>
          <w:rFonts w:ascii="Times New Roman" w:hAnsi="Times New Roman" w:cs="Times New Roman"/>
          <w:sz w:val="24"/>
          <w:szCs w:val="24"/>
        </w:rPr>
        <w:t>to Acharya and Pedersen (2005), liquidity</w:t>
      </w:r>
      <w:r>
        <w:rPr>
          <w:rFonts w:ascii="Times New Roman" w:hAnsi="Times New Roman" w:cs="Times New Roman"/>
          <w:sz w:val="24"/>
          <w:szCs w:val="24"/>
        </w:rPr>
        <w:t xml:space="preserve"> is risky and has commonalty: it varies over time both for individual stocks and for market as a whole. Their Liquidity –Adjusted Capital Asset Pricing Model provides a unified theoretical framework that explains the empirical findings that return sensitivity to market liquidity is priced </w:t>
      </w:r>
      <w:r w:rsidRPr="00C65F2F">
        <w:rPr>
          <w:rFonts w:ascii="Times New Roman" w:hAnsi="Times New Roman" w:cs="Times New Roman"/>
          <w:sz w:val="24"/>
          <w:szCs w:val="24"/>
        </w:rPr>
        <w:t>(Pastor and Stambaugh, 2003), t</w:t>
      </w:r>
      <w:r>
        <w:rPr>
          <w:rFonts w:ascii="Times New Roman" w:hAnsi="Times New Roman" w:cs="Times New Roman"/>
          <w:sz w:val="24"/>
          <w:szCs w:val="24"/>
        </w:rPr>
        <w:t xml:space="preserve">hat average return is </w:t>
      </w:r>
      <w:r w:rsidRPr="00C65F2F">
        <w:rPr>
          <w:rFonts w:ascii="Times New Roman" w:hAnsi="Times New Roman" w:cs="Times New Roman"/>
          <w:sz w:val="24"/>
          <w:szCs w:val="24"/>
        </w:rPr>
        <w:t>priced (Amihud and Mendelson, 1986) and that liquidity commoves with returns and predicts future returns (Amihud, 2002; Chordia et al., 2001; Bekaert et al., 2007). Said</w:t>
      </w:r>
      <w:r>
        <w:rPr>
          <w:rFonts w:ascii="Times New Roman" w:hAnsi="Times New Roman" w:cs="Times New Roman"/>
          <w:sz w:val="24"/>
          <w:szCs w:val="24"/>
        </w:rPr>
        <w:t xml:space="preserve"> differently, the model implies that investors should worry about a security’s performance and tradability both in market downturns and when liquidity “dries up”.  </w:t>
      </w:r>
      <w:r w:rsidRPr="00C65F2F">
        <w:rPr>
          <w:rFonts w:ascii="Times New Roman" w:hAnsi="Times New Roman" w:cs="Times New Roman"/>
          <w:sz w:val="24"/>
          <w:szCs w:val="24"/>
        </w:rPr>
        <w:t>Brunnermeier and Pedersen (2009) provide</w:t>
      </w:r>
      <w:r>
        <w:rPr>
          <w:rFonts w:ascii="Times New Roman" w:hAnsi="Times New Roman" w:cs="Times New Roman"/>
          <w:sz w:val="24"/>
          <w:szCs w:val="24"/>
        </w:rPr>
        <w:t xml:space="preserve"> a model that links an asset’s market liquidity and trader’s funding liquidity. The model explains empirically documented features that market liquidity (i) can suddenly dry up, (ii) has commonality across </w:t>
      </w:r>
      <w:r>
        <w:rPr>
          <w:rFonts w:ascii="Times New Roman" w:hAnsi="Times New Roman" w:cs="Times New Roman"/>
          <w:sz w:val="24"/>
          <w:szCs w:val="24"/>
        </w:rPr>
        <w:lastRenderedPageBreak/>
        <w:t xml:space="preserve">securities, (iii) is related to volatility, (iv) is subject to “flight to quality” and (v) co-moves with the market. Importantly, the model links a security’s market illiquidity and risk premium to its margin requirement (i.e. funding use) and the general shadow cost of funding. </w:t>
      </w:r>
    </w:p>
    <w:p w14:paraId="2F840B91" w14:textId="77777777" w:rsidR="0083330B" w:rsidRDefault="0083330B" w:rsidP="0083330B">
      <w:pPr>
        <w:spacing w:line="480" w:lineRule="auto"/>
        <w:jc w:val="both"/>
        <w:rPr>
          <w:rFonts w:ascii="Times New Roman" w:hAnsi="Times New Roman" w:cs="Times New Roman"/>
          <w:sz w:val="24"/>
          <w:szCs w:val="24"/>
        </w:rPr>
      </w:pPr>
      <w:r w:rsidRPr="00156105">
        <w:rPr>
          <w:rFonts w:ascii="Times New Roman" w:hAnsi="Times New Roman" w:cs="Times New Roman"/>
          <w:sz w:val="24"/>
          <w:szCs w:val="24"/>
        </w:rPr>
        <w:t>There are many alternative measures of liquidity in the literature. Measures that have appeared</w:t>
      </w:r>
      <w:r>
        <w:rPr>
          <w:rFonts w:ascii="Times New Roman" w:hAnsi="Times New Roman" w:cs="Times New Roman"/>
          <w:sz w:val="24"/>
          <w:szCs w:val="24"/>
        </w:rPr>
        <w:t xml:space="preserve"> </w:t>
      </w:r>
      <w:r w:rsidRPr="00156105">
        <w:rPr>
          <w:rFonts w:ascii="Times New Roman" w:hAnsi="Times New Roman" w:cs="Times New Roman"/>
          <w:sz w:val="24"/>
          <w:szCs w:val="24"/>
        </w:rPr>
        <w:t>in the literature include quoted bid-ask spreads, effective bid-ask spreads, turnover, the ratio of absolute</w:t>
      </w:r>
      <w:r>
        <w:rPr>
          <w:rFonts w:ascii="Times New Roman" w:hAnsi="Times New Roman" w:cs="Times New Roman"/>
          <w:sz w:val="24"/>
          <w:szCs w:val="24"/>
        </w:rPr>
        <w:t xml:space="preserve"> </w:t>
      </w:r>
      <w:r w:rsidRPr="00156105">
        <w:rPr>
          <w:rFonts w:ascii="Times New Roman" w:hAnsi="Times New Roman" w:cs="Times New Roman"/>
          <w:sz w:val="24"/>
          <w:szCs w:val="24"/>
        </w:rPr>
        <w:t>returns-to-volume, and adverse-selection and market-making cost components of price impact.</w:t>
      </w:r>
      <w:r>
        <w:rPr>
          <w:rFonts w:ascii="Times New Roman" w:hAnsi="Times New Roman" w:cs="Times New Roman"/>
          <w:sz w:val="24"/>
          <w:szCs w:val="24"/>
        </w:rPr>
        <w:t xml:space="preserve"> </w:t>
      </w:r>
      <w:r w:rsidRPr="00C65F2F">
        <w:rPr>
          <w:rFonts w:ascii="Times New Roman" w:hAnsi="Times New Roman" w:cs="Times New Roman"/>
          <w:sz w:val="24"/>
          <w:szCs w:val="24"/>
        </w:rPr>
        <w:t>Korajczyk and Sadka (2008) estimate</w:t>
      </w:r>
      <w:r>
        <w:rPr>
          <w:rFonts w:ascii="Times New Roman" w:hAnsi="Times New Roman" w:cs="Times New Roman"/>
          <w:sz w:val="24"/>
          <w:szCs w:val="24"/>
        </w:rPr>
        <w:t xml:space="preserve"> </w:t>
      </w:r>
      <w:r w:rsidRPr="00332E1D">
        <w:rPr>
          <w:rFonts w:ascii="Times New Roman" w:hAnsi="Times New Roman" w:cs="Times New Roman"/>
          <w:sz w:val="24"/>
          <w:szCs w:val="24"/>
        </w:rPr>
        <w:t xml:space="preserve">latent factor models </w:t>
      </w:r>
      <w:r>
        <w:rPr>
          <w:rFonts w:ascii="Times New Roman" w:hAnsi="Times New Roman" w:cs="Times New Roman"/>
          <w:sz w:val="24"/>
          <w:szCs w:val="24"/>
        </w:rPr>
        <w:t>different</w:t>
      </w:r>
      <w:r w:rsidRPr="00332E1D">
        <w:rPr>
          <w:rFonts w:ascii="Times New Roman" w:hAnsi="Times New Roman" w:cs="Times New Roman"/>
          <w:sz w:val="24"/>
          <w:szCs w:val="24"/>
        </w:rPr>
        <w:t xml:space="preserve"> measures of liquidity and a measure of global, across-measure</w:t>
      </w:r>
      <w:r>
        <w:rPr>
          <w:rFonts w:ascii="Times New Roman" w:hAnsi="Times New Roman" w:cs="Times New Roman"/>
          <w:sz w:val="24"/>
          <w:szCs w:val="24"/>
        </w:rPr>
        <w:t xml:space="preserve"> </w:t>
      </w:r>
      <w:r w:rsidRPr="00332E1D">
        <w:rPr>
          <w:rFonts w:ascii="Times New Roman" w:hAnsi="Times New Roman" w:cs="Times New Roman"/>
          <w:sz w:val="24"/>
          <w:szCs w:val="24"/>
        </w:rPr>
        <w:t>systematic liquidity by estimating a latent</w:t>
      </w:r>
      <w:r>
        <w:rPr>
          <w:rFonts w:ascii="Times New Roman" w:hAnsi="Times New Roman" w:cs="Times New Roman"/>
          <w:sz w:val="24"/>
          <w:szCs w:val="24"/>
        </w:rPr>
        <w:t xml:space="preserve"> factor model pooled across all measures</w:t>
      </w:r>
      <w:r w:rsidRPr="00332E1D">
        <w:rPr>
          <w:rFonts w:ascii="Times New Roman" w:hAnsi="Times New Roman" w:cs="Times New Roman"/>
          <w:sz w:val="24"/>
          <w:szCs w:val="24"/>
        </w:rPr>
        <w:t>.</w:t>
      </w:r>
      <w:r>
        <w:rPr>
          <w:rFonts w:ascii="Times New Roman" w:hAnsi="Times New Roman" w:cs="Times New Roman"/>
          <w:sz w:val="24"/>
          <w:szCs w:val="24"/>
        </w:rPr>
        <w:t xml:space="preserve"> The results show </w:t>
      </w:r>
      <w:r w:rsidRPr="00332E1D">
        <w:rPr>
          <w:rFonts w:ascii="Times New Roman" w:hAnsi="Times New Roman" w:cs="Times New Roman"/>
          <w:sz w:val="24"/>
          <w:szCs w:val="24"/>
        </w:rPr>
        <w:t>that there is commonality, across assets, for each individual measure of liquidity and that these</w:t>
      </w:r>
      <w:r>
        <w:rPr>
          <w:rFonts w:ascii="Times New Roman" w:hAnsi="Times New Roman" w:cs="Times New Roman"/>
          <w:sz w:val="24"/>
          <w:szCs w:val="24"/>
        </w:rPr>
        <w:t xml:space="preserve"> </w:t>
      </w:r>
      <w:r w:rsidRPr="00332E1D">
        <w:rPr>
          <w:rFonts w:ascii="Times New Roman" w:hAnsi="Times New Roman" w:cs="Times New Roman"/>
          <w:sz w:val="24"/>
          <w:szCs w:val="24"/>
        </w:rPr>
        <w:t>common factors are correlated across measures of liquidity.</w:t>
      </w:r>
      <w:r>
        <w:rPr>
          <w:rFonts w:ascii="Times New Roman" w:hAnsi="Times New Roman" w:cs="Times New Roman"/>
          <w:sz w:val="24"/>
          <w:szCs w:val="24"/>
        </w:rPr>
        <w:t xml:space="preserve"> </w:t>
      </w:r>
      <w:r w:rsidRPr="00332E1D">
        <w:rPr>
          <w:rFonts w:ascii="Times New Roman" w:hAnsi="Times New Roman" w:cs="Times New Roman"/>
          <w:sz w:val="24"/>
          <w:szCs w:val="24"/>
        </w:rPr>
        <w:t>Return shocks are contemporaneously</w:t>
      </w:r>
      <w:r>
        <w:rPr>
          <w:rFonts w:ascii="Times New Roman" w:hAnsi="Times New Roman" w:cs="Times New Roman"/>
          <w:sz w:val="24"/>
          <w:szCs w:val="24"/>
        </w:rPr>
        <w:t xml:space="preserve"> </w:t>
      </w:r>
      <w:r w:rsidRPr="00332E1D">
        <w:rPr>
          <w:rFonts w:ascii="Times New Roman" w:hAnsi="Times New Roman" w:cs="Times New Roman"/>
          <w:sz w:val="24"/>
          <w:szCs w:val="24"/>
        </w:rPr>
        <w:t>correlated with liquidity shocks and lead changes in liquidity. Additionally, shocks to liquidity tend</w:t>
      </w:r>
      <w:r>
        <w:rPr>
          <w:rFonts w:ascii="Times New Roman" w:hAnsi="Times New Roman" w:cs="Times New Roman"/>
          <w:sz w:val="24"/>
          <w:szCs w:val="24"/>
        </w:rPr>
        <w:t xml:space="preserve"> </w:t>
      </w:r>
      <w:r w:rsidRPr="00332E1D">
        <w:rPr>
          <w:rFonts w:ascii="Times New Roman" w:hAnsi="Times New Roman" w:cs="Times New Roman"/>
          <w:sz w:val="24"/>
          <w:szCs w:val="24"/>
        </w:rPr>
        <w:t>to die out slowly over time.</w:t>
      </w:r>
    </w:p>
    <w:p w14:paraId="77BC8427" w14:textId="77777777" w:rsidR="0083330B" w:rsidRDefault="0083330B" w:rsidP="0083330B">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Liquidity risk is neglected by widely used risk management measures such as Value at Risk (VaR). Derivatives users generally calculate a VaR measure for their derivatives portfolio and by not taking into account the liquidity risk component they underestimate the portfolio risk exposures. </w:t>
      </w:r>
      <w:r w:rsidRPr="00C3277F">
        <w:rPr>
          <w:rFonts w:ascii="Times New Roman" w:hAnsi="Times New Roman" w:cs="Times New Roman"/>
          <w:i/>
          <w:iCs/>
          <w:sz w:val="24"/>
          <w:szCs w:val="24"/>
        </w:rPr>
        <w:t>VaR is an estimate of the maximum potential loss that may be incurred on a position for a given time horizon and a specified level of confidence.</w:t>
      </w:r>
      <w:r>
        <w:rPr>
          <w:rFonts w:ascii="Times New Roman" w:hAnsi="Times New Roman" w:cs="Times New Roman"/>
          <w:sz w:val="24"/>
          <w:szCs w:val="24"/>
        </w:rPr>
        <w:t xml:space="preserve"> Since the publication of the market-risk-management </w:t>
      </w:r>
      <w:r w:rsidRPr="00EC6906">
        <w:rPr>
          <w:rFonts w:ascii="Times New Roman" w:hAnsi="Times New Roman" w:cs="Times New Roman"/>
          <w:sz w:val="24"/>
          <w:szCs w:val="24"/>
        </w:rPr>
        <w:t>system RiskMetrics</w:t>
      </w:r>
      <w:r w:rsidRPr="00EC6906">
        <w:rPr>
          <w:rStyle w:val="FootnoteReference"/>
          <w:rFonts w:ascii="Times New Roman" w:hAnsi="Times New Roman"/>
          <w:sz w:val="24"/>
          <w:szCs w:val="24"/>
        </w:rPr>
        <w:footnoteReference w:id="7"/>
      </w:r>
      <w:r>
        <w:rPr>
          <w:rFonts w:ascii="Times New Roman" w:hAnsi="Times New Roman" w:cs="Times New Roman"/>
          <w:sz w:val="24"/>
          <w:szCs w:val="24"/>
        </w:rPr>
        <w:t xml:space="preserve"> of JP Morgan in 1994, VaR has gained increasing acceptance and is now considered as industry’s standard tool to measure market risk. </w:t>
      </w:r>
      <w:r w:rsidRPr="00073B6D">
        <w:rPr>
          <w:rFonts w:ascii="Times New Roman" w:hAnsi="Times New Roman" w:cs="Times New Roman"/>
          <w:sz w:val="24"/>
          <w:szCs w:val="24"/>
        </w:rPr>
        <w:t>In calculating VaR, it is assumed that the positions concerned can be liquidated or hedged within</w:t>
      </w:r>
      <w:r>
        <w:rPr>
          <w:rFonts w:ascii="Times New Roman" w:hAnsi="Times New Roman" w:cs="Times New Roman"/>
          <w:sz w:val="24"/>
          <w:szCs w:val="24"/>
        </w:rPr>
        <w:t xml:space="preserve"> a fi</w:t>
      </w:r>
      <w:r w:rsidRPr="00073B6D">
        <w:rPr>
          <w:rFonts w:ascii="Times New Roman" w:hAnsi="Times New Roman" w:cs="Times New Roman"/>
          <w:sz w:val="24"/>
          <w:szCs w:val="24"/>
        </w:rPr>
        <w:t>xed and fairly short timeframe</w:t>
      </w:r>
      <w:r>
        <w:rPr>
          <w:rFonts w:ascii="Times New Roman" w:hAnsi="Times New Roman" w:cs="Times New Roman"/>
          <w:sz w:val="24"/>
          <w:szCs w:val="24"/>
        </w:rPr>
        <w:t xml:space="preserve"> </w:t>
      </w:r>
      <w:r w:rsidRPr="00073B6D">
        <w:rPr>
          <w:rFonts w:ascii="Times New Roman" w:hAnsi="Times New Roman" w:cs="Times New Roman"/>
          <w:sz w:val="24"/>
          <w:szCs w:val="24"/>
        </w:rPr>
        <w:t xml:space="preserve">(in general one day </w:t>
      </w:r>
      <w:r>
        <w:rPr>
          <w:rFonts w:ascii="Times New Roman" w:hAnsi="Times New Roman" w:cs="Times New Roman"/>
          <w:sz w:val="24"/>
          <w:szCs w:val="24"/>
        </w:rPr>
        <w:t>to</w:t>
      </w:r>
      <w:r w:rsidRPr="00073B6D">
        <w:rPr>
          <w:rFonts w:ascii="Times New Roman" w:hAnsi="Times New Roman" w:cs="Times New Roman"/>
          <w:sz w:val="24"/>
          <w:szCs w:val="24"/>
        </w:rPr>
        <w:t xml:space="preserve"> ten days), that the liquidation of positions will have no impact on the market and that the bid-ask spread will </w:t>
      </w:r>
      <w:r w:rsidRPr="00073B6D">
        <w:rPr>
          <w:rFonts w:ascii="Times New Roman" w:hAnsi="Times New Roman" w:cs="Times New Roman"/>
          <w:sz w:val="24"/>
          <w:szCs w:val="24"/>
        </w:rPr>
        <w:lastRenderedPageBreak/>
        <w:t>remain stable irrespect</w:t>
      </w:r>
      <w:r>
        <w:rPr>
          <w:rFonts w:ascii="Times New Roman" w:hAnsi="Times New Roman" w:cs="Times New Roman"/>
          <w:sz w:val="24"/>
          <w:szCs w:val="24"/>
        </w:rPr>
        <w:t>ive of the size of the position, in essence a perfect market is assumed.</w:t>
      </w:r>
      <w:r w:rsidRPr="00073B6D">
        <w:rPr>
          <w:rFonts w:ascii="Times New Roman" w:hAnsi="Times New Roman" w:cs="Times New Roman"/>
          <w:sz w:val="24"/>
          <w:szCs w:val="24"/>
        </w:rPr>
        <w:t xml:space="preserve"> The price referred to is often the mid-price or the last known market price. However, the quoted market price cannot be used as a basis for valuating a portfolio that is to be sold on a less than perfectly liquid market: in practice, account must be taken of its orderly liquidation value or even its distress liquidation value. </w:t>
      </w:r>
    </w:p>
    <w:p w14:paraId="1626BB24" w14:textId="77777777" w:rsidR="0083330B" w:rsidRDefault="0083330B" w:rsidP="0083330B">
      <w:pPr>
        <w:spacing w:line="480" w:lineRule="auto"/>
        <w:jc w:val="both"/>
        <w:rPr>
          <w:rFonts w:ascii="Times New Roman" w:hAnsi="Times New Roman" w:cs="Times New Roman"/>
          <w:sz w:val="24"/>
          <w:szCs w:val="24"/>
        </w:rPr>
      </w:pPr>
      <w:r w:rsidRPr="00177770">
        <w:rPr>
          <w:rFonts w:ascii="Times New Roman" w:hAnsi="Times New Roman" w:cs="Times New Roman"/>
          <w:sz w:val="24"/>
          <w:szCs w:val="24"/>
        </w:rPr>
        <w:t>Jarrow and Subramaniam (1997) were</w:t>
      </w:r>
      <w:r w:rsidRPr="00723267">
        <w:rPr>
          <w:rFonts w:ascii="Times New Roman" w:hAnsi="Times New Roman" w:cs="Times New Roman"/>
          <w:sz w:val="24"/>
          <w:szCs w:val="24"/>
        </w:rPr>
        <w:t xml:space="preserve"> among the first to estimate liquidity-adjusted VaR (LVaR), taking account of the expected execution lag in closing a position and the market impact of prices being adversely effected by a quantity discount that varies with the size of the trade. The model requires three quantities which increase the loss level – namely a liquidity discount, the volatility of the liquidity discount and the volatility of the time horizon to liquidation. The authors themselves acknowledge that traders or firms must collect time series data on the shares traded, prices received and time to execution in order to estimate these quantities. Whilst this model is robust and fairly easy to implement, estimating these quantities is by no means trivial. Indeed, some may only be determined empirically with the accompanying introduction of significant bias. </w:t>
      </w:r>
      <w:r w:rsidRPr="00177770">
        <w:rPr>
          <w:rFonts w:ascii="Times New Roman" w:hAnsi="Times New Roman" w:cs="Times New Roman"/>
          <w:sz w:val="24"/>
          <w:szCs w:val="24"/>
        </w:rPr>
        <w:t>Bangia et al. (</w:t>
      </w:r>
      <w:r>
        <w:rPr>
          <w:rFonts w:ascii="Times New Roman" w:hAnsi="Times New Roman" w:cs="Times New Roman"/>
          <w:sz w:val="24"/>
          <w:szCs w:val="24"/>
        </w:rPr>
        <w:t>2002</w:t>
      </w:r>
      <w:r w:rsidRPr="00177770">
        <w:rPr>
          <w:rFonts w:ascii="Times New Roman" w:hAnsi="Times New Roman" w:cs="Times New Roman"/>
          <w:sz w:val="24"/>
          <w:szCs w:val="24"/>
        </w:rPr>
        <w:t>) propose similar measures of LVaR, they classify the liquidity risk into two di</w:t>
      </w:r>
      <w:r w:rsidRPr="00177770">
        <w:rPr>
          <w:rFonts w:ascii="Cambria Math" w:hAnsi="Cambria Math" w:cs="Times New Roman"/>
          <w:sz w:val="24"/>
          <w:szCs w:val="24"/>
        </w:rPr>
        <w:t>ﬀ</w:t>
      </w:r>
      <w:r w:rsidRPr="00177770">
        <w:rPr>
          <w:rFonts w:ascii="Times New Roman" w:hAnsi="Times New Roman" w:cs="Times New Roman"/>
          <w:sz w:val="24"/>
          <w:szCs w:val="24"/>
        </w:rPr>
        <w:t>erent</w:t>
      </w:r>
      <w:r w:rsidRPr="00723267">
        <w:rPr>
          <w:rFonts w:ascii="Times New Roman" w:hAnsi="Times New Roman" w:cs="Times New Roman"/>
          <w:sz w:val="24"/>
          <w:szCs w:val="24"/>
        </w:rPr>
        <w:t xml:space="preserve"> categories: (i) the exogenous illiquidity that depends on the general conditions of the market and (ii) the endogenous which relates the position of a trader with the bid-ask spread. By focusing on the exogenous risk, they construct an LVaR measure for both the underlying instrument and the bid-ask spread. Specifically, they adjust the VaR number for “fat” tails and for the variation of the bid-ask spread.</w:t>
      </w:r>
    </w:p>
    <w:p w14:paraId="66E60800" w14:textId="77777777" w:rsidR="0083330B" w:rsidRDefault="0083330B" w:rsidP="0083330B">
      <w:pPr>
        <w:spacing w:line="480" w:lineRule="auto"/>
        <w:jc w:val="both"/>
        <w:rPr>
          <w:rFonts w:ascii="Times New Roman" w:hAnsi="Times New Roman" w:cs="Times New Roman"/>
          <w:sz w:val="24"/>
          <w:szCs w:val="24"/>
        </w:rPr>
      </w:pPr>
      <w:r w:rsidRPr="00177770">
        <w:rPr>
          <w:rFonts w:ascii="Times New Roman" w:hAnsi="Times New Roman" w:cs="Times New Roman"/>
          <w:sz w:val="24"/>
          <w:szCs w:val="24"/>
        </w:rPr>
        <w:t>Hisata and Yamai (2000) propose</w:t>
      </w:r>
      <w:r w:rsidRPr="00D864EA">
        <w:rPr>
          <w:rFonts w:ascii="Times New Roman" w:hAnsi="Times New Roman" w:cs="Times New Roman"/>
          <w:sz w:val="24"/>
          <w:szCs w:val="24"/>
        </w:rPr>
        <w:t xml:space="preserve"> a</w:t>
      </w:r>
      <w:r>
        <w:rPr>
          <w:rFonts w:ascii="Times New Roman" w:hAnsi="Times New Roman" w:cs="Times New Roman"/>
          <w:sz w:val="24"/>
          <w:szCs w:val="24"/>
        </w:rPr>
        <w:t xml:space="preserve"> </w:t>
      </w:r>
      <w:r w:rsidRPr="00D864EA">
        <w:rPr>
          <w:rFonts w:ascii="Times New Roman" w:hAnsi="Times New Roman" w:cs="Times New Roman"/>
          <w:sz w:val="24"/>
          <w:szCs w:val="24"/>
        </w:rPr>
        <w:t>practical framework for the quantification</w:t>
      </w:r>
      <w:r>
        <w:rPr>
          <w:rFonts w:ascii="Times New Roman" w:hAnsi="Times New Roman" w:cs="Times New Roman"/>
          <w:sz w:val="24"/>
          <w:szCs w:val="24"/>
        </w:rPr>
        <w:t xml:space="preserve"> </w:t>
      </w:r>
      <w:r w:rsidRPr="00D864EA">
        <w:rPr>
          <w:rFonts w:ascii="Times New Roman" w:hAnsi="Times New Roman" w:cs="Times New Roman"/>
          <w:sz w:val="24"/>
          <w:szCs w:val="24"/>
        </w:rPr>
        <w:t xml:space="preserve">of </w:t>
      </w:r>
      <w:r>
        <w:rPr>
          <w:rFonts w:ascii="Times New Roman" w:hAnsi="Times New Roman" w:cs="Times New Roman"/>
          <w:sz w:val="24"/>
          <w:szCs w:val="24"/>
        </w:rPr>
        <w:t>LVaR</w:t>
      </w:r>
      <w:r w:rsidRPr="00D864EA">
        <w:rPr>
          <w:rFonts w:ascii="Times New Roman" w:hAnsi="Times New Roman" w:cs="Times New Roman"/>
          <w:sz w:val="24"/>
          <w:szCs w:val="24"/>
        </w:rPr>
        <w:t xml:space="preserve"> which</w:t>
      </w:r>
      <w:r>
        <w:rPr>
          <w:rFonts w:ascii="Times New Roman" w:hAnsi="Times New Roman" w:cs="Times New Roman"/>
          <w:sz w:val="24"/>
          <w:szCs w:val="24"/>
        </w:rPr>
        <w:t xml:space="preserve"> incorporates</w:t>
      </w:r>
      <w:r w:rsidRPr="00D864EA">
        <w:rPr>
          <w:rFonts w:ascii="Times New Roman" w:hAnsi="Times New Roman" w:cs="Times New Roman"/>
          <w:sz w:val="24"/>
          <w:szCs w:val="24"/>
        </w:rPr>
        <w:t xml:space="preserve"> the market liquidity of financial</w:t>
      </w:r>
      <w:r>
        <w:rPr>
          <w:rFonts w:ascii="Times New Roman" w:hAnsi="Times New Roman" w:cs="Times New Roman"/>
          <w:sz w:val="24"/>
          <w:szCs w:val="24"/>
        </w:rPr>
        <w:t xml:space="preserve"> products. The</w:t>
      </w:r>
      <w:r w:rsidRPr="00D864EA">
        <w:rPr>
          <w:rFonts w:ascii="Times New Roman" w:hAnsi="Times New Roman" w:cs="Times New Roman"/>
          <w:sz w:val="24"/>
          <w:szCs w:val="24"/>
        </w:rPr>
        <w:t xml:space="preserve"> framework incorporates the</w:t>
      </w:r>
      <w:r>
        <w:rPr>
          <w:rFonts w:ascii="Times New Roman" w:hAnsi="Times New Roman" w:cs="Times New Roman"/>
          <w:sz w:val="24"/>
          <w:szCs w:val="24"/>
        </w:rPr>
        <w:t xml:space="preserve"> </w:t>
      </w:r>
      <w:r w:rsidRPr="00D864EA">
        <w:rPr>
          <w:rFonts w:ascii="Times New Roman" w:hAnsi="Times New Roman" w:cs="Times New Roman"/>
          <w:sz w:val="24"/>
          <w:szCs w:val="24"/>
        </w:rPr>
        <w:t>mechanism of the market impact caused by the</w:t>
      </w:r>
      <w:r>
        <w:rPr>
          <w:rFonts w:ascii="Times New Roman" w:hAnsi="Times New Roman" w:cs="Times New Roman"/>
          <w:sz w:val="24"/>
          <w:szCs w:val="24"/>
        </w:rPr>
        <w:t xml:space="preserve"> </w:t>
      </w:r>
      <w:r w:rsidRPr="00D864EA">
        <w:rPr>
          <w:rFonts w:ascii="Times New Roman" w:hAnsi="Times New Roman" w:cs="Times New Roman"/>
          <w:sz w:val="24"/>
          <w:szCs w:val="24"/>
        </w:rPr>
        <w:t xml:space="preserve">investor’s own dealings through adjusting </w:t>
      </w:r>
      <w:r>
        <w:rPr>
          <w:rFonts w:ascii="Times New Roman" w:hAnsi="Times New Roman" w:cs="Times New Roman"/>
          <w:sz w:val="24"/>
          <w:szCs w:val="24"/>
        </w:rPr>
        <w:t xml:space="preserve">VaR </w:t>
      </w:r>
      <w:r w:rsidRPr="00D864EA">
        <w:rPr>
          <w:rFonts w:ascii="Times New Roman" w:hAnsi="Times New Roman" w:cs="Times New Roman"/>
          <w:sz w:val="24"/>
          <w:szCs w:val="24"/>
        </w:rPr>
        <w:t>according</w:t>
      </w:r>
      <w:r>
        <w:rPr>
          <w:rFonts w:ascii="Times New Roman" w:hAnsi="Times New Roman" w:cs="Times New Roman"/>
          <w:sz w:val="24"/>
          <w:szCs w:val="24"/>
        </w:rPr>
        <w:t xml:space="preserve"> </w:t>
      </w:r>
      <w:r w:rsidRPr="00D864EA">
        <w:rPr>
          <w:rFonts w:ascii="Times New Roman" w:hAnsi="Times New Roman" w:cs="Times New Roman"/>
          <w:sz w:val="24"/>
          <w:szCs w:val="24"/>
        </w:rPr>
        <w:t>to</w:t>
      </w:r>
      <w:r>
        <w:rPr>
          <w:rFonts w:ascii="Times New Roman" w:hAnsi="Times New Roman" w:cs="Times New Roman"/>
          <w:sz w:val="24"/>
          <w:szCs w:val="24"/>
        </w:rPr>
        <w:t xml:space="preserve"> </w:t>
      </w:r>
      <w:r w:rsidRPr="00D864EA">
        <w:rPr>
          <w:rFonts w:ascii="Times New Roman" w:hAnsi="Times New Roman" w:cs="Times New Roman"/>
          <w:sz w:val="24"/>
          <w:szCs w:val="24"/>
        </w:rPr>
        <w:t>the</w:t>
      </w:r>
      <w:r>
        <w:rPr>
          <w:rFonts w:ascii="Times New Roman" w:hAnsi="Times New Roman" w:cs="Times New Roman"/>
          <w:sz w:val="24"/>
          <w:szCs w:val="24"/>
        </w:rPr>
        <w:t xml:space="preserve"> </w:t>
      </w:r>
      <w:r w:rsidRPr="00D864EA">
        <w:rPr>
          <w:rFonts w:ascii="Times New Roman" w:hAnsi="Times New Roman" w:cs="Times New Roman"/>
          <w:sz w:val="24"/>
          <w:szCs w:val="24"/>
        </w:rPr>
        <w:t>level</w:t>
      </w:r>
      <w:r>
        <w:rPr>
          <w:rFonts w:ascii="Times New Roman" w:hAnsi="Times New Roman" w:cs="Times New Roman"/>
          <w:sz w:val="24"/>
          <w:szCs w:val="24"/>
        </w:rPr>
        <w:t xml:space="preserve"> </w:t>
      </w:r>
      <w:r w:rsidRPr="00D864EA">
        <w:rPr>
          <w:rFonts w:ascii="Times New Roman" w:hAnsi="Times New Roman" w:cs="Times New Roman"/>
          <w:sz w:val="24"/>
          <w:szCs w:val="24"/>
        </w:rPr>
        <w:t>of</w:t>
      </w:r>
      <w:r>
        <w:rPr>
          <w:rFonts w:ascii="Times New Roman" w:hAnsi="Times New Roman" w:cs="Times New Roman"/>
          <w:sz w:val="24"/>
          <w:szCs w:val="24"/>
        </w:rPr>
        <w:t xml:space="preserve"> </w:t>
      </w:r>
      <w:r w:rsidRPr="00D864EA">
        <w:rPr>
          <w:rFonts w:ascii="Times New Roman" w:hAnsi="Times New Roman" w:cs="Times New Roman"/>
          <w:sz w:val="24"/>
          <w:szCs w:val="24"/>
        </w:rPr>
        <w:t>market</w:t>
      </w:r>
      <w:r>
        <w:rPr>
          <w:rFonts w:ascii="Times New Roman" w:hAnsi="Times New Roman" w:cs="Times New Roman"/>
          <w:sz w:val="24"/>
          <w:szCs w:val="24"/>
        </w:rPr>
        <w:t xml:space="preserve"> </w:t>
      </w:r>
      <w:r w:rsidRPr="00D864EA">
        <w:rPr>
          <w:rFonts w:ascii="Times New Roman" w:hAnsi="Times New Roman" w:cs="Times New Roman"/>
          <w:sz w:val="24"/>
          <w:szCs w:val="24"/>
        </w:rPr>
        <w:t>liquidity</w:t>
      </w:r>
      <w:r>
        <w:rPr>
          <w:rFonts w:ascii="Times New Roman" w:hAnsi="Times New Roman" w:cs="Times New Roman"/>
          <w:sz w:val="24"/>
          <w:szCs w:val="24"/>
        </w:rPr>
        <w:t xml:space="preserve"> </w:t>
      </w:r>
      <w:r w:rsidRPr="00D864EA">
        <w:rPr>
          <w:rFonts w:ascii="Times New Roman" w:hAnsi="Times New Roman" w:cs="Times New Roman"/>
          <w:sz w:val="24"/>
          <w:szCs w:val="24"/>
        </w:rPr>
        <w:t>and</w:t>
      </w:r>
      <w:r>
        <w:rPr>
          <w:rFonts w:ascii="Times New Roman" w:hAnsi="Times New Roman" w:cs="Times New Roman"/>
          <w:sz w:val="24"/>
          <w:szCs w:val="24"/>
        </w:rPr>
        <w:t xml:space="preserve"> </w:t>
      </w:r>
      <w:r w:rsidRPr="00D864EA">
        <w:rPr>
          <w:rFonts w:ascii="Times New Roman" w:hAnsi="Times New Roman" w:cs="Times New Roman"/>
          <w:sz w:val="24"/>
          <w:szCs w:val="24"/>
        </w:rPr>
        <w:t xml:space="preserve">the scale of the investor’s </w:t>
      </w:r>
      <w:r w:rsidRPr="00D864EA">
        <w:rPr>
          <w:rFonts w:ascii="Times New Roman" w:hAnsi="Times New Roman" w:cs="Times New Roman"/>
          <w:sz w:val="24"/>
          <w:szCs w:val="24"/>
        </w:rPr>
        <w:lastRenderedPageBreak/>
        <w:t>position. In</w:t>
      </w:r>
      <w:r>
        <w:rPr>
          <w:rFonts w:ascii="Times New Roman" w:hAnsi="Times New Roman" w:cs="Times New Roman"/>
          <w:sz w:val="24"/>
          <w:szCs w:val="24"/>
        </w:rPr>
        <w:t xml:space="preserve"> </w:t>
      </w:r>
      <w:r w:rsidRPr="00D864EA">
        <w:rPr>
          <w:rFonts w:ascii="Times New Roman" w:hAnsi="Times New Roman" w:cs="Times New Roman"/>
          <w:sz w:val="24"/>
          <w:szCs w:val="24"/>
        </w:rPr>
        <w:t xml:space="preserve">addition, </w:t>
      </w:r>
      <w:r>
        <w:rPr>
          <w:rFonts w:ascii="Times New Roman" w:hAnsi="Times New Roman" w:cs="Times New Roman"/>
          <w:sz w:val="24"/>
          <w:szCs w:val="24"/>
        </w:rPr>
        <w:t xml:space="preserve">they propose </w:t>
      </w:r>
      <w:r w:rsidRPr="00D864EA">
        <w:rPr>
          <w:rFonts w:ascii="Times New Roman" w:hAnsi="Times New Roman" w:cs="Times New Roman"/>
          <w:sz w:val="24"/>
          <w:szCs w:val="24"/>
        </w:rPr>
        <w:t xml:space="preserve">a closed-form solution for calculating </w:t>
      </w:r>
      <w:r>
        <w:rPr>
          <w:rFonts w:ascii="Times New Roman" w:hAnsi="Times New Roman" w:cs="Times New Roman"/>
          <w:sz w:val="24"/>
          <w:szCs w:val="24"/>
        </w:rPr>
        <w:t>L</w:t>
      </w:r>
      <w:r w:rsidRPr="00D864EA">
        <w:rPr>
          <w:rFonts w:ascii="Times New Roman" w:hAnsi="Times New Roman" w:cs="Times New Roman"/>
          <w:sz w:val="24"/>
          <w:szCs w:val="24"/>
        </w:rPr>
        <w:t>VaR</w:t>
      </w:r>
      <w:r>
        <w:rPr>
          <w:rFonts w:ascii="Times New Roman" w:hAnsi="Times New Roman" w:cs="Times New Roman"/>
          <w:sz w:val="24"/>
          <w:szCs w:val="24"/>
        </w:rPr>
        <w:t xml:space="preserve"> </w:t>
      </w:r>
      <w:r w:rsidRPr="00D864EA">
        <w:rPr>
          <w:rFonts w:ascii="Times New Roman" w:hAnsi="Times New Roman" w:cs="Times New Roman"/>
          <w:sz w:val="24"/>
          <w:szCs w:val="24"/>
        </w:rPr>
        <w:t>as</w:t>
      </w:r>
      <w:r>
        <w:rPr>
          <w:rFonts w:ascii="Times New Roman" w:hAnsi="Times New Roman" w:cs="Times New Roman"/>
          <w:sz w:val="24"/>
          <w:szCs w:val="24"/>
        </w:rPr>
        <w:t xml:space="preserve"> </w:t>
      </w:r>
      <w:r w:rsidRPr="00D864EA">
        <w:rPr>
          <w:rFonts w:ascii="Times New Roman" w:hAnsi="Times New Roman" w:cs="Times New Roman"/>
          <w:sz w:val="24"/>
          <w:szCs w:val="24"/>
        </w:rPr>
        <w:t>well</w:t>
      </w:r>
      <w:r>
        <w:rPr>
          <w:rFonts w:ascii="Times New Roman" w:hAnsi="Times New Roman" w:cs="Times New Roman"/>
          <w:sz w:val="24"/>
          <w:szCs w:val="24"/>
        </w:rPr>
        <w:t xml:space="preserve"> </w:t>
      </w:r>
      <w:r w:rsidRPr="00D864EA">
        <w:rPr>
          <w:rFonts w:ascii="Times New Roman" w:hAnsi="Times New Roman" w:cs="Times New Roman"/>
          <w:sz w:val="24"/>
          <w:szCs w:val="24"/>
        </w:rPr>
        <w:t>as</w:t>
      </w:r>
      <w:r>
        <w:rPr>
          <w:rFonts w:ascii="Times New Roman" w:hAnsi="Times New Roman" w:cs="Times New Roman"/>
          <w:sz w:val="24"/>
          <w:szCs w:val="24"/>
        </w:rPr>
        <w:t xml:space="preserve"> </w:t>
      </w:r>
      <w:r w:rsidRPr="00D864EA">
        <w:rPr>
          <w:rFonts w:ascii="Times New Roman" w:hAnsi="Times New Roman" w:cs="Times New Roman"/>
          <w:sz w:val="24"/>
          <w:szCs w:val="24"/>
        </w:rPr>
        <w:t>a</w:t>
      </w:r>
      <w:r>
        <w:rPr>
          <w:rFonts w:ascii="Times New Roman" w:hAnsi="Times New Roman" w:cs="Times New Roman"/>
          <w:sz w:val="24"/>
          <w:szCs w:val="24"/>
        </w:rPr>
        <w:t xml:space="preserve"> </w:t>
      </w:r>
      <w:r w:rsidRPr="00D864EA">
        <w:rPr>
          <w:rFonts w:ascii="Times New Roman" w:hAnsi="Times New Roman" w:cs="Times New Roman"/>
          <w:sz w:val="24"/>
          <w:szCs w:val="24"/>
        </w:rPr>
        <w:t>method</w:t>
      </w:r>
      <w:r>
        <w:rPr>
          <w:rFonts w:ascii="Times New Roman" w:hAnsi="Times New Roman" w:cs="Times New Roman"/>
          <w:sz w:val="24"/>
          <w:szCs w:val="24"/>
        </w:rPr>
        <w:t xml:space="preserve"> </w:t>
      </w:r>
      <w:r w:rsidRPr="00D864EA">
        <w:rPr>
          <w:rFonts w:ascii="Times New Roman" w:hAnsi="Times New Roman" w:cs="Times New Roman"/>
          <w:sz w:val="24"/>
          <w:szCs w:val="24"/>
        </w:rPr>
        <w:t>of</w:t>
      </w:r>
      <w:r>
        <w:rPr>
          <w:rFonts w:ascii="Times New Roman" w:hAnsi="Times New Roman" w:cs="Times New Roman"/>
          <w:sz w:val="24"/>
          <w:szCs w:val="24"/>
        </w:rPr>
        <w:t xml:space="preserve"> </w:t>
      </w:r>
      <w:r w:rsidRPr="00D864EA">
        <w:rPr>
          <w:rFonts w:ascii="Times New Roman" w:hAnsi="Times New Roman" w:cs="Times New Roman"/>
          <w:sz w:val="24"/>
          <w:szCs w:val="24"/>
        </w:rPr>
        <w:t>estimating</w:t>
      </w:r>
      <w:r>
        <w:rPr>
          <w:rFonts w:ascii="Times New Roman" w:hAnsi="Times New Roman" w:cs="Times New Roman"/>
          <w:sz w:val="24"/>
          <w:szCs w:val="24"/>
        </w:rPr>
        <w:t xml:space="preserve"> </w:t>
      </w:r>
      <w:r w:rsidRPr="00D864EA">
        <w:rPr>
          <w:rFonts w:ascii="Times New Roman" w:hAnsi="Times New Roman" w:cs="Times New Roman"/>
          <w:sz w:val="24"/>
          <w:szCs w:val="24"/>
        </w:rPr>
        <w:t>portfolio</w:t>
      </w:r>
      <w:r>
        <w:rPr>
          <w:rFonts w:ascii="Times New Roman" w:hAnsi="Times New Roman" w:cs="Times New Roman"/>
          <w:sz w:val="24"/>
          <w:szCs w:val="24"/>
        </w:rPr>
        <w:t xml:space="preserve"> L</w:t>
      </w:r>
      <w:r w:rsidRPr="00D864EA">
        <w:rPr>
          <w:rFonts w:ascii="Times New Roman" w:hAnsi="Times New Roman" w:cs="Times New Roman"/>
          <w:sz w:val="24"/>
          <w:szCs w:val="24"/>
        </w:rPr>
        <w:t>VaR.</w:t>
      </w:r>
      <w:r>
        <w:rPr>
          <w:rFonts w:ascii="Times New Roman" w:hAnsi="Times New Roman" w:cs="Times New Roman"/>
          <w:sz w:val="24"/>
          <w:szCs w:val="24"/>
        </w:rPr>
        <w:t xml:space="preserve"> </w:t>
      </w:r>
      <w:r w:rsidRPr="00177770">
        <w:rPr>
          <w:rFonts w:ascii="Times New Roman" w:hAnsi="Times New Roman" w:cs="Times New Roman"/>
          <w:sz w:val="24"/>
          <w:szCs w:val="24"/>
        </w:rPr>
        <w:t>Angelidis and Benos (2006) relax</w:t>
      </w:r>
      <w:r w:rsidRPr="00546D05">
        <w:rPr>
          <w:rFonts w:ascii="Times New Roman" w:hAnsi="Times New Roman" w:cs="Times New Roman"/>
          <w:sz w:val="24"/>
          <w:szCs w:val="24"/>
        </w:rPr>
        <w:t xml:space="preserve"> the</w:t>
      </w:r>
      <w:r>
        <w:rPr>
          <w:rFonts w:ascii="Times New Roman" w:hAnsi="Times New Roman" w:cs="Times New Roman"/>
          <w:sz w:val="24"/>
          <w:szCs w:val="24"/>
        </w:rPr>
        <w:t xml:space="preserve"> </w:t>
      </w:r>
      <w:r w:rsidRPr="00546D05">
        <w:rPr>
          <w:rFonts w:ascii="Times New Roman" w:hAnsi="Times New Roman" w:cs="Times New Roman"/>
          <w:sz w:val="24"/>
          <w:szCs w:val="24"/>
        </w:rPr>
        <w:t>traditional, yet unrealistic, assumption of</w:t>
      </w:r>
      <w:r>
        <w:rPr>
          <w:rFonts w:ascii="Times New Roman" w:hAnsi="Times New Roman" w:cs="Times New Roman"/>
          <w:sz w:val="24"/>
          <w:szCs w:val="24"/>
        </w:rPr>
        <w:t xml:space="preserve"> </w:t>
      </w:r>
      <w:r w:rsidRPr="00546D05">
        <w:rPr>
          <w:rFonts w:ascii="Times New Roman" w:hAnsi="Times New Roman" w:cs="Times New Roman"/>
          <w:sz w:val="24"/>
          <w:szCs w:val="24"/>
        </w:rPr>
        <w:t xml:space="preserve">a perfect, frictionless financial market </w:t>
      </w:r>
      <w:r>
        <w:rPr>
          <w:rFonts w:ascii="Times New Roman" w:hAnsi="Times New Roman" w:cs="Times New Roman"/>
          <w:sz w:val="24"/>
          <w:szCs w:val="24"/>
        </w:rPr>
        <w:t xml:space="preserve">where </w:t>
      </w:r>
      <w:r w:rsidRPr="00546D05">
        <w:rPr>
          <w:rFonts w:ascii="Times New Roman" w:hAnsi="Times New Roman" w:cs="Times New Roman"/>
          <w:sz w:val="24"/>
          <w:szCs w:val="24"/>
        </w:rPr>
        <w:t>investors can either buy or sell any amount of</w:t>
      </w:r>
      <w:r>
        <w:rPr>
          <w:rFonts w:ascii="Times New Roman" w:hAnsi="Times New Roman" w:cs="Times New Roman"/>
          <w:sz w:val="24"/>
          <w:szCs w:val="24"/>
        </w:rPr>
        <w:t xml:space="preserve"> </w:t>
      </w:r>
      <w:r w:rsidRPr="00546D05">
        <w:rPr>
          <w:rFonts w:ascii="Times New Roman" w:hAnsi="Times New Roman" w:cs="Times New Roman"/>
          <w:sz w:val="24"/>
          <w:szCs w:val="24"/>
        </w:rPr>
        <w:t>stock without causing si</w:t>
      </w:r>
      <w:r>
        <w:rPr>
          <w:rFonts w:ascii="Times New Roman" w:hAnsi="Times New Roman" w:cs="Times New Roman"/>
          <w:sz w:val="24"/>
          <w:szCs w:val="24"/>
        </w:rPr>
        <w:t>gnificant price changes</w:t>
      </w:r>
      <w:r w:rsidRPr="00546D05">
        <w:rPr>
          <w:rFonts w:ascii="Times New Roman" w:hAnsi="Times New Roman" w:cs="Times New Roman"/>
          <w:sz w:val="24"/>
          <w:szCs w:val="24"/>
        </w:rPr>
        <w:t>.</w:t>
      </w:r>
      <w:r>
        <w:rPr>
          <w:rFonts w:ascii="Times New Roman" w:hAnsi="Times New Roman" w:cs="Times New Roman"/>
          <w:sz w:val="24"/>
          <w:szCs w:val="24"/>
        </w:rPr>
        <w:t xml:space="preserve"> They extend</w:t>
      </w:r>
      <w:r w:rsidRPr="00546D05">
        <w:rPr>
          <w:rFonts w:ascii="Times New Roman" w:hAnsi="Times New Roman" w:cs="Times New Roman"/>
          <w:sz w:val="24"/>
          <w:szCs w:val="24"/>
        </w:rPr>
        <w:t xml:space="preserve"> the work of</w:t>
      </w:r>
      <w:r>
        <w:rPr>
          <w:rFonts w:ascii="Times New Roman" w:hAnsi="Times New Roman" w:cs="Times New Roman"/>
          <w:sz w:val="24"/>
          <w:szCs w:val="24"/>
        </w:rPr>
        <w:t xml:space="preserve"> </w:t>
      </w:r>
      <w:r w:rsidRPr="00177770">
        <w:rPr>
          <w:rFonts w:ascii="Times New Roman" w:hAnsi="Times New Roman" w:cs="Times New Roman"/>
          <w:sz w:val="24"/>
          <w:szCs w:val="24"/>
        </w:rPr>
        <w:t>Madhavan et al. (1997) (who</w:t>
      </w:r>
      <w:r>
        <w:rPr>
          <w:rFonts w:ascii="Times New Roman" w:hAnsi="Times New Roman" w:cs="Times New Roman"/>
          <w:sz w:val="24"/>
          <w:szCs w:val="24"/>
        </w:rPr>
        <w:t xml:space="preserve"> argue</w:t>
      </w:r>
      <w:r w:rsidRPr="00546D05">
        <w:rPr>
          <w:rFonts w:ascii="Times New Roman" w:hAnsi="Times New Roman" w:cs="Times New Roman"/>
          <w:sz w:val="24"/>
          <w:szCs w:val="24"/>
        </w:rPr>
        <w:t xml:space="preserve"> that traded volume</w:t>
      </w:r>
      <w:r>
        <w:rPr>
          <w:rFonts w:ascii="Times New Roman" w:hAnsi="Times New Roman" w:cs="Times New Roman"/>
          <w:sz w:val="24"/>
          <w:szCs w:val="24"/>
        </w:rPr>
        <w:t xml:space="preserve"> </w:t>
      </w:r>
      <w:r w:rsidRPr="00546D05">
        <w:rPr>
          <w:rFonts w:ascii="Times New Roman" w:hAnsi="Times New Roman" w:cs="Times New Roman"/>
          <w:sz w:val="24"/>
          <w:szCs w:val="24"/>
        </w:rPr>
        <w:t xml:space="preserve">can explain price movements) </w:t>
      </w:r>
      <w:r>
        <w:rPr>
          <w:rFonts w:ascii="Times New Roman" w:hAnsi="Times New Roman" w:cs="Times New Roman"/>
          <w:sz w:val="24"/>
          <w:szCs w:val="24"/>
        </w:rPr>
        <w:t xml:space="preserve">and develop </w:t>
      </w:r>
      <w:r w:rsidRPr="00546D05">
        <w:rPr>
          <w:rFonts w:ascii="Times New Roman" w:hAnsi="Times New Roman" w:cs="Times New Roman"/>
          <w:sz w:val="24"/>
          <w:szCs w:val="24"/>
        </w:rPr>
        <w:t>a liquidity VaR measure based on spread</w:t>
      </w:r>
      <w:r>
        <w:rPr>
          <w:rFonts w:ascii="Times New Roman" w:hAnsi="Times New Roman" w:cs="Times New Roman"/>
          <w:sz w:val="24"/>
          <w:szCs w:val="24"/>
        </w:rPr>
        <w:t xml:space="preserve"> </w:t>
      </w:r>
      <w:r w:rsidRPr="00546D05">
        <w:rPr>
          <w:rFonts w:ascii="Times New Roman" w:hAnsi="Times New Roman" w:cs="Times New Roman"/>
          <w:sz w:val="24"/>
          <w:szCs w:val="24"/>
        </w:rPr>
        <w:t>components. Under this framework, the liquidity</w:t>
      </w:r>
      <w:r>
        <w:rPr>
          <w:rFonts w:ascii="Times New Roman" w:hAnsi="Times New Roman" w:cs="Times New Roman"/>
          <w:sz w:val="24"/>
          <w:szCs w:val="24"/>
        </w:rPr>
        <w:t xml:space="preserve"> </w:t>
      </w:r>
      <w:r w:rsidRPr="00546D05">
        <w:rPr>
          <w:rFonts w:ascii="Times New Roman" w:hAnsi="Times New Roman" w:cs="Times New Roman"/>
          <w:sz w:val="24"/>
          <w:szCs w:val="24"/>
        </w:rPr>
        <w:t xml:space="preserve">risk </w:t>
      </w:r>
      <w:r>
        <w:rPr>
          <w:rFonts w:ascii="Times New Roman" w:hAnsi="Times New Roman" w:cs="Times New Roman"/>
          <w:sz w:val="24"/>
          <w:szCs w:val="24"/>
        </w:rPr>
        <w:t>is</w:t>
      </w:r>
      <w:r w:rsidRPr="00546D05">
        <w:rPr>
          <w:rFonts w:ascii="Times New Roman" w:hAnsi="Times New Roman" w:cs="Times New Roman"/>
          <w:sz w:val="24"/>
          <w:szCs w:val="24"/>
        </w:rPr>
        <w:t xml:space="preserve"> decomposed into its endogenous and</w:t>
      </w:r>
      <w:r>
        <w:rPr>
          <w:rFonts w:ascii="Times New Roman" w:hAnsi="Times New Roman" w:cs="Times New Roman"/>
          <w:sz w:val="24"/>
          <w:szCs w:val="24"/>
        </w:rPr>
        <w:t xml:space="preserve"> </w:t>
      </w:r>
      <w:r w:rsidRPr="00546D05">
        <w:rPr>
          <w:rFonts w:ascii="Times New Roman" w:hAnsi="Times New Roman" w:cs="Times New Roman"/>
          <w:sz w:val="24"/>
          <w:szCs w:val="24"/>
        </w:rPr>
        <w:t>exogenous components, thereby permitting an</w:t>
      </w:r>
      <w:r>
        <w:rPr>
          <w:rFonts w:ascii="Times New Roman" w:hAnsi="Times New Roman" w:cs="Times New Roman"/>
          <w:sz w:val="24"/>
          <w:szCs w:val="24"/>
        </w:rPr>
        <w:t xml:space="preserve"> </w:t>
      </w:r>
      <w:r w:rsidRPr="00546D05">
        <w:rPr>
          <w:rFonts w:ascii="Times New Roman" w:hAnsi="Times New Roman" w:cs="Times New Roman"/>
          <w:sz w:val="24"/>
          <w:szCs w:val="24"/>
        </w:rPr>
        <w:t>assessment of the liquidation risk of a specific</w:t>
      </w:r>
      <w:r>
        <w:rPr>
          <w:rFonts w:ascii="Times New Roman" w:hAnsi="Times New Roman" w:cs="Times New Roman"/>
          <w:sz w:val="24"/>
          <w:szCs w:val="24"/>
        </w:rPr>
        <w:t xml:space="preserve"> </w:t>
      </w:r>
      <w:r w:rsidRPr="00546D05">
        <w:rPr>
          <w:rFonts w:ascii="Times New Roman" w:hAnsi="Times New Roman" w:cs="Times New Roman"/>
          <w:sz w:val="24"/>
          <w:szCs w:val="24"/>
        </w:rPr>
        <w:t>position.</w:t>
      </w:r>
      <w:r>
        <w:rPr>
          <w:rFonts w:ascii="Times New Roman" w:hAnsi="Times New Roman" w:cs="Times New Roman"/>
          <w:sz w:val="24"/>
          <w:szCs w:val="24"/>
        </w:rPr>
        <w:t xml:space="preserve"> </w:t>
      </w:r>
    </w:p>
    <w:p w14:paraId="21CDE37C" w14:textId="77777777" w:rsidR="0083330B" w:rsidRDefault="0083330B" w:rsidP="0083330B">
      <w:pPr>
        <w:spacing w:line="480" w:lineRule="auto"/>
        <w:jc w:val="both"/>
        <w:rPr>
          <w:rFonts w:ascii="Times New Roman" w:hAnsi="Times New Roman" w:cs="Times New Roman"/>
          <w:sz w:val="24"/>
          <w:szCs w:val="24"/>
        </w:rPr>
      </w:pPr>
      <w:r w:rsidRPr="00177770">
        <w:rPr>
          <w:rFonts w:ascii="Times New Roman" w:hAnsi="Times New Roman" w:cs="Times New Roman"/>
          <w:sz w:val="24"/>
          <w:szCs w:val="24"/>
        </w:rPr>
        <w:t>Stange and Kaserer (2011) analyze the importance of liquidity risk using a comprehensive liquidity measure, weighted spread, in a Value</w:t>
      </w:r>
      <w:r w:rsidRPr="00177770">
        <w:rPr>
          <w:rFonts w:ascii="Cambria Math" w:hAnsi="Cambria Math" w:cs="Cambria Math"/>
          <w:sz w:val="24"/>
          <w:szCs w:val="24"/>
        </w:rPr>
        <w:t>‐</w:t>
      </w:r>
      <w:r w:rsidRPr="00177770">
        <w:rPr>
          <w:rFonts w:ascii="Times New Roman" w:hAnsi="Times New Roman" w:cs="Times New Roman"/>
          <w:sz w:val="24"/>
          <w:szCs w:val="24"/>
        </w:rPr>
        <w:t>at</w:t>
      </w:r>
      <w:r w:rsidRPr="00177770">
        <w:rPr>
          <w:rFonts w:ascii="Cambria Math" w:hAnsi="Cambria Math" w:cs="Cambria Math"/>
          <w:sz w:val="24"/>
          <w:szCs w:val="24"/>
        </w:rPr>
        <w:t>‐</w:t>
      </w:r>
      <w:r w:rsidRPr="00177770">
        <w:rPr>
          <w:rFonts w:ascii="Times New Roman" w:hAnsi="Times New Roman" w:cs="Times New Roman"/>
          <w:sz w:val="24"/>
          <w:szCs w:val="24"/>
        </w:rPr>
        <w:t>Risk (VaR) framework. The weighted spread measure extracts liquidity costs by order size from the limit order book. Using a unique, representative data set of 160 German stocks over 5.5 years, they show that liquidity risk is an important risk component. Liquidity risk is increases the total price risk by over 25%, even at 10</w:t>
      </w:r>
      <w:r w:rsidRPr="00177770">
        <w:rPr>
          <w:rFonts w:ascii="Cambria Math" w:hAnsi="Cambria Math" w:cs="Cambria Math"/>
          <w:sz w:val="24"/>
          <w:szCs w:val="24"/>
        </w:rPr>
        <w:t>‐</w:t>
      </w:r>
      <w:r w:rsidRPr="00177770">
        <w:rPr>
          <w:rFonts w:ascii="Times New Roman" w:hAnsi="Times New Roman" w:cs="Times New Roman"/>
          <w:sz w:val="24"/>
          <w:szCs w:val="24"/>
        </w:rPr>
        <w:t>day horizons and for liquid blue chip stocks and especially in larger, yet realistic order sizes beyond €1 million. When correcting for liquidity risk, it is commonly assumed that liquidity risk can be simply added to price risk. The empirical results show that this is not correct, as the correlation between liquidity and price is non</w:t>
      </w:r>
      <w:r w:rsidRPr="00177770">
        <w:rPr>
          <w:rFonts w:ascii="Cambria Math" w:hAnsi="Cambria Math" w:cs="Cambria Math"/>
          <w:sz w:val="24"/>
          <w:szCs w:val="24"/>
        </w:rPr>
        <w:t>‐</w:t>
      </w:r>
      <w:r w:rsidRPr="00177770">
        <w:rPr>
          <w:rFonts w:ascii="Times New Roman" w:hAnsi="Times New Roman" w:cs="Times New Roman"/>
          <w:sz w:val="24"/>
          <w:szCs w:val="24"/>
        </w:rPr>
        <w:t xml:space="preserve">perfect and total risk is thus overestimated. </w:t>
      </w:r>
      <w:r w:rsidR="0090400C">
        <w:rPr>
          <w:rFonts w:ascii="Times New Roman" w:hAnsi="Times New Roman" w:cs="Times New Roman"/>
          <w:sz w:val="24"/>
          <w:szCs w:val="24"/>
        </w:rPr>
        <w:t>According to Ernst et al. (2012) liquidity costs, which measure market liquidity, are non-normally distributed, displaying fat tails and skewness. Most liquidity risk models either ignore this fact or use the historical distribution to empirically estimate worst losses. Therefore, they propose a parametric approach based on the Cornish–Fisher approximation to account for non-normality in liquidity risk. Using the bid-ask spread data of a large number of stocks, they demonstrate the superiority of the suggested liquidity risk estimation technique.</w:t>
      </w:r>
    </w:p>
    <w:p w14:paraId="729CCCB5" w14:textId="77777777" w:rsidR="003654F1" w:rsidRPr="00976FD9" w:rsidRDefault="00657A1C" w:rsidP="00115D01">
      <w:pPr>
        <w:pStyle w:val="Heading1"/>
        <w:numPr>
          <w:ilvl w:val="0"/>
          <w:numId w:val="6"/>
        </w:numPr>
        <w:spacing w:line="480" w:lineRule="auto"/>
        <w:jc w:val="both"/>
        <w:rPr>
          <w:rFonts w:ascii="Times New Roman" w:hAnsi="Times New Roman" w:cs="Times New Roman"/>
          <w:sz w:val="24"/>
          <w:szCs w:val="24"/>
        </w:rPr>
      </w:pPr>
      <w:bookmarkStart w:id="50" w:name="_Toc410046416"/>
      <w:bookmarkStart w:id="51" w:name="_Toc410046489"/>
      <w:bookmarkStart w:id="52" w:name="_Toc410054118"/>
      <w:bookmarkStart w:id="53" w:name="_Toc410054188"/>
      <w:bookmarkStart w:id="54" w:name="_Toc410056055"/>
      <w:bookmarkStart w:id="55" w:name="_Toc410077889"/>
      <w:bookmarkStart w:id="56" w:name="_Toc410078019"/>
      <w:bookmarkStart w:id="57" w:name="_Toc410078991"/>
      <w:bookmarkStart w:id="58" w:name="_Toc418702865"/>
      <w:bookmarkStart w:id="59" w:name="_Toc418702894"/>
      <w:bookmarkStart w:id="60" w:name="_Toc418964802"/>
      <w:bookmarkStart w:id="61" w:name="_Toc418976691"/>
      <w:bookmarkStart w:id="62" w:name="_Toc419306929"/>
      <w:bookmarkStart w:id="63" w:name="_Toc422154329"/>
      <w:bookmarkStart w:id="64" w:name="_Toc422154358"/>
      <w:bookmarkStart w:id="65" w:name="_Toc424310387"/>
      <w:bookmarkStart w:id="66" w:name="_Toc425516432"/>
      <w:bookmarkStart w:id="67" w:name="_Toc426385258"/>
      <w:bookmarkStart w:id="68" w:name="_Toc427511244"/>
      <w:bookmarkStart w:id="69" w:name="_Toc427769166"/>
      <w:bookmarkStart w:id="70" w:name="_Toc427782115"/>
      <w:bookmarkStart w:id="71" w:name="_Toc427858289"/>
      <w:bookmarkStart w:id="72" w:name="_Toc427858324"/>
      <w:bookmarkStart w:id="73" w:name="_Toc428044220"/>
      <w:bookmarkStart w:id="74" w:name="_Toc428055577"/>
      <w:bookmarkStart w:id="75" w:name="_Toc431408593"/>
      <w:bookmarkStart w:id="76" w:name="_Toc431418252"/>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r w:rsidRPr="00976FD9">
        <w:rPr>
          <w:rFonts w:ascii="Times New Roman" w:hAnsi="Times New Roman" w:cs="Times New Roman"/>
          <w:sz w:val="24"/>
          <w:szCs w:val="24"/>
        </w:rPr>
        <w:lastRenderedPageBreak/>
        <w:t>Research Methodology</w:t>
      </w:r>
      <w:bookmarkEnd w:id="76"/>
    </w:p>
    <w:p w14:paraId="04663298" w14:textId="77777777" w:rsidR="00612243" w:rsidRDefault="00CB584F" w:rsidP="00612243">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Value-at-Risk </w:t>
      </w:r>
      <w:r w:rsidR="008200B9">
        <w:rPr>
          <w:rFonts w:ascii="Times New Roman" w:hAnsi="Times New Roman" w:cs="Times New Roman"/>
          <w:sz w:val="24"/>
          <w:szCs w:val="24"/>
        </w:rPr>
        <w:t xml:space="preserve">(VaR) </w:t>
      </w:r>
      <w:r>
        <w:rPr>
          <w:rFonts w:ascii="Times New Roman" w:hAnsi="Times New Roman" w:cs="Times New Roman"/>
          <w:sz w:val="24"/>
          <w:szCs w:val="24"/>
        </w:rPr>
        <w:t>is a number that represents the potential change in a portfolio’s</w:t>
      </w:r>
      <w:r w:rsidR="008D7E1B">
        <w:rPr>
          <w:rFonts w:ascii="Times New Roman" w:hAnsi="Times New Roman" w:cs="Times New Roman"/>
          <w:sz w:val="24"/>
          <w:szCs w:val="24"/>
        </w:rPr>
        <w:t>/asset’s</w:t>
      </w:r>
      <w:r>
        <w:rPr>
          <w:rFonts w:ascii="Times New Roman" w:hAnsi="Times New Roman" w:cs="Times New Roman"/>
          <w:sz w:val="24"/>
          <w:szCs w:val="24"/>
        </w:rPr>
        <w:t xml:space="preserve"> future value. This change </w:t>
      </w:r>
      <w:r w:rsidR="008200B9">
        <w:rPr>
          <w:rFonts w:ascii="Times New Roman" w:hAnsi="Times New Roman" w:cs="Times New Roman"/>
          <w:sz w:val="24"/>
          <w:szCs w:val="24"/>
        </w:rPr>
        <w:t>is defined based</w:t>
      </w:r>
      <w:r>
        <w:rPr>
          <w:rFonts w:ascii="Times New Roman" w:hAnsi="Times New Roman" w:cs="Times New Roman"/>
          <w:sz w:val="24"/>
          <w:szCs w:val="24"/>
        </w:rPr>
        <w:t xml:space="preserve"> on (1) the horizon over which the portfolio’s change in value is measured and (2) the “degree of confidence” chosen by the risk manager.</w:t>
      </w:r>
      <w:r w:rsidR="008200B9">
        <w:rPr>
          <w:rFonts w:ascii="Times New Roman" w:hAnsi="Times New Roman" w:cs="Times New Roman"/>
          <w:sz w:val="24"/>
          <w:szCs w:val="24"/>
        </w:rPr>
        <w:t xml:space="preserve"> </w:t>
      </w:r>
      <w:r w:rsidR="00612243">
        <w:rPr>
          <w:rFonts w:ascii="Times New Roman" w:hAnsi="Times New Roman" w:cs="Times New Roman"/>
          <w:sz w:val="24"/>
          <w:szCs w:val="24"/>
        </w:rPr>
        <w:t xml:space="preserve">Since the publication of the market-risk-management </w:t>
      </w:r>
      <w:r w:rsidR="00612243" w:rsidRPr="00EC6906">
        <w:rPr>
          <w:rFonts w:ascii="Times New Roman" w:hAnsi="Times New Roman" w:cs="Times New Roman"/>
          <w:sz w:val="24"/>
          <w:szCs w:val="24"/>
        </w:rPr>
        <w:t>system RiskMetrics</w:t>
      </w:r>
      <w:r w:rsidR="00612243">
        <w:rPr>
          <w:rFonts w:ascii="Times New Roman" w:hAnsi="Times New Roman" w:cs="Times New Roman"/>
          <w:sz w:val="24"/>
          <w:szCs w:val="24"/>
        </w:rPr>
        <w:t xml:space="preserve"> of JP Morgan in 1994</w:t>
      </w:r>
      <w:r w:rsidR="00954677">
        <w:rPr>
          <w:rStyle w:val="FootnoteReference"/>
          <w:rFonts w:ascii="Times New Roman" w:hAnsi="Times New Roman"/>
          <w:sz w:val="24"/>
          <w:szCs w:val="24"/>
        </w:rPr>
        <w:footnoteReference w:id="8"/>
      </w:r>
      <w:r w:rsidR="00612243">
        <w:rPr>
          <w:rFonts w:ascii="Times New Roman" w:hAnsi="Times New Roman" w:cs="Times New Roman"/>
          <w:sz w:val="24"/>
          <w:szCs w:val="24"/>
        </w:rPr>
        <w:t>, VaR has gained increasing acceptance and is now considered as industry’s standard tool to measure market risk.</w:t>
      </w:r>
    </w:p>
    <w:p w14:paraId="5FAFA7FD" w14:textId="77777777" w:rsidR="008200B9" w:rsidRDefault="008200B9" w:rsidP="003654F1">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To compute the VaR of an </w:t>
      </w:r>
      <w:r w:rsidR="004F398B">
        <w:rPr>
          <w:rFonts w:ascii="Times New Roman" w:hAnsi="Times New Roman" w:cs="Times New Roman"/>
          <w:sz w:val="24"/>
          <w:szCs w:val="24"/>
        </w:rPr>
        <w:t xml:space="preserve">asset </w:t>
      </w:r>
      <w:r>
        <w:rPr>
          <w:rFonts w:ascii="Times New Roman" w:hAnsi="Times New Roman" w:cs="Times New Roman"/>
          <w:sz w:val="24"/>
          <w:szCs w:val="24"/>
        </w:rPr>
        <w:t>over a 1-day horizon with α%</w:t>
      </w:r>
      <w:r w:rsidR="0080081D" w:rsidRPr="0080081D">
        <w:rPr>
          <w:rFonts w:ascii="Times New Roman" w:hAnsi="Times New Roman" w:cs="Times New Roman"/>
          <w:sz w:val="24"/>
          <w:szCs w:val="24"/>
        </w:rPr>
        <w:t xml:space="preserve"> </w:t>
      </w:r>
      <w:r w:rsidR="0080081D">
        <w:rPr>
          <w:rFonts w:ascii="Times New Roman" w:hAnsi="Times New Roman" w:cs="Times New Roman"/>
          <w:sz w:val="24"/>
          <w:szCs w:val="24"/>
        </w:rPr>
        <w:t xml:space="preserve">chance </w:t>
      </w:r>
      <w:r w:rsidR="004D565A">
        <w:rPr>
          <w:rFonts w:ascii="Times New Roman" w:hAnsi="Times New Roman" w:cs="Times New Roman"/>
          <w:sz w:val="24"/>
          <w:szCs w:val="24"/>
        </w:rPr>
        <w:t>(confidence interval)</w:t>
      </w:r>
      <w:r>
        <w:rPr>
          <w:rFonts w:ascii="Times New Roman" w:hAnsi="Times New Roman" w:cs="Times New Roman"/>
          <w:sz w:val="24"/>
          <w:szCs w:val="24"/>
        </w:rPr>
        <w:t xml:space="preserve"> that the actual loss in the asset’s value </w:t>
      </w:r>
      <w:r w:rsidR="004D565A">
        <w:rPr>
          <w:rFonts w:ascii="Times New Roman" w:hAnsi="Times New Roman" w:cs="Times New Roman"/>
          <w:sz w:val="24"/>
          <w:szCs w:val="24"/>
        </w:rPr>
        <w:t xml:space="preserve">does not exceed </w:t>
      </w:r>
      <w:r>
        <w:rPr>
          <w:rFonts w:ascii="Times New Roman" w:hAnsi="Times New Roman" w:cs="Times New Roman"/>
          <w:sz w:val="24"/>
          <w:szCs w:val="24"/>
        </w:rPr>
        <w:t xml:space="preserve">VaR estimate consists </w:t>
      </w:r>
      <w:r w:rsidR="00234853">
        <w:rPr>
          <w:rFonts w:ascii="Times New Roman" w:hAnsi="Times New Roman" w:cs="Times New Roman"/>
          <w:sz w:val="24"/>
          <w:szCs w:val="24"/>
        </w:rPr>
        <w:t>of the following steps:</w:t>
      </w:r>
    </w:p>
    <w:p w14:paraId="70CC8CA5" w14:textId="77777777" w:rsidR="002114FA" w:rsidRPr="002114FA" w:rsidRDefault="004F398B" w:rsidP="003654F1">
      <w:pPr>
        <w:spacing w:line="480" w:lineRule="auto"/>
        <w:jc w:val="both"/>
        <w:rPr>
          <w:rFonts w:ascii="Times New Roman" w:hAnsi="Times New Roman" w:cs="Times New Roman"/>
          <w:sz w:val="24"/>
          <w:szCs w:val="24"/>
        </w:rPr>
      </w:pPr>
      <w:r>
        <w:rPr>
          <w:rFonts w:ascii="Times New Roman" w:hAnsi="Times New Roman" w:cs="Times New Roman"/>
          <w:sz w:val="24"/>
          <w:szCs w:val="24"/>
        </w:rPr>
        <w:t>A</w:t>
      </w:r>
      <w:r w:rsidR="002114FA">
        <w:rPr>
          <w:rFonts w:ascii="Times New Roman" w:hAnsi="Times New Roman" w:cs="Times New Roman"/>
          <w:sz w:val="24"/>
          <w:szCs w:val="24"/>
        </w:rPr>
        <w:t>sset returns r</w:t>
      </w:r>
      <w:r w:rsidR="002114FA">
        <w:rPr>
          <w:rFonts w:ascii="Times New Roman" w:hAnsi="Times New Roman" w:cs="Times New Roman"/>
          <w:sz w:val="24"/>
          <w:szCs w:val="24"/>
          <w:vertAlign w:val="subscript"/>
        </w:rPr>
        <w:t>t</w:t>
      </w:r>
      <w:r w:rsidR="002114FA">
        <w:rPr>
          <w:rFonts w:ascii="Times New Roman" w:hAnsi="Times New Roman" w:cs="Times New Roman"/>
          <w:sz w:val="24"/>
          <w:szCs w:val="24"/>
        </w:rPr>
        <w:t xml:space="preserve"> </w:t>
      </w:r>
      <w:r>
        <w:rPr>
          <w:rFonts w:ascii="Times New Roman" w:hAnsi="Times New Roman" w:cs="Times New Roman"/>
          <w:sz w:val="24"/>
          <w:szCs w:val="24"/>
        </w:rPr>
        <w:t xml:space="preserve">are computed as the log difference of mid-prices </w:t>
      </w:r>
      <m:oMath>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mid,  t</m:t>
            </m:r>
          </m:sub>
        </m:sSub>
      </m:oMath>
      <w:r>
        <w:rPr>
          <w:rFonts w:ascii="Times New Roman" w:hAnsi="Times New Roman" w:cs="Times New Roman"/>
          <w:sz w:val="24"/>
          <w:szCs w:val="24"/>
        </w:rPr>
        <w:t xml:space="preserve"> </w:t>
      </w:r>
      <w:r w:rsidR="00924C4A">
        <w:rPr>
          <w:rFonts w:ascii="Times New Roman" w:hAnsi="Times New Roman" w:cs="Times New Roman"/>
          <w:sz w:val="24"/>
          <w:szCs w:val="24"/>
        </w:rPr>
        <w:t xml:space="preserve">(the average of bid ask values </w:t>
      </w:r>
      <w:r w:rsidR="00F74215">
        <w:rPr>
          <w:rFonts w:ascii="Times New Roman" w:hAnsi="Times New Roman" w:cs="Times New Roman"/>
          <w:sz w:val="24"/>
          <w:szCs w:val="24"/>
        </w:rPr>
        <w:t xml:space="preserve">of the asset </w:t>
      </w:r>
      <w:r w:rsidR="00924C4A">
        <w:rPr>
          <w:rFonts w:ascii="Times New Roman" w:hAnsi="Times New Roman" w:cs="Times New Roman"/>
          <w:sz w:val="24"/>
          <w:szCs w:val="24"/>
        </w:rPr>
        <w:t>at time t)</w:t>
      </w:r>
    </w:p>
    <w:p w14:paraId="723C79D1" w14:textId="77777777" w:rsidR="00AA11DD" w:rsidRPr="001F6516" w:rsidRDefault="00EC34E3" w:rsidP="00AA11DD">
      <w:pPr>
        <w:spacing w:line="480" w:lineRule="auto"/>
        <w:jc w:val="both"/>
        <w:rPr>
          <w:rFonts w:ascii="Times New Roman" w:hAnsi="Times New Roman" w:cs="Times New Roman"/>
          <w:sz w:val="24"/>
          <w:szCs w:val="24"/>
        </w:rPr>
      </w:pPr>
      <m:oMathPara>
        <m:oMathParaPr>
          <m:jc m:val="left"/>
        </m:oMathParaPr>
        <m:oMath>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t+1</m:t>
              </m:r>
            </m:sub>
          </m:sSub>
          <m:r>
            <w:rPr>
              <w:rFonts w:ascii="Cambria Math" w:hAnsi="Cambria Math" w:cs="Times New Roman"/>
              <w:sz w:val="24"/>
              <w:szCs w:val="24"/>
            </w:rPr>
            <m:t>=</m:t>
          </m:r>
          <m:func>
            <m:funcPr>
              <m:ctrlPr>
                <w:rPr>
                  <w:rFonts w:ascii="Cambria Math" w:hAnsi="Cambria Math" w:cs="Times New Roman"/>
                  <w:sz w:val="24"/>
                  <w:szCs w:val="24"/>
                </w:rPr>
              </m:ctrlPr>
            </m:funcPr>
            <m:fName>
              <m:r>
                <m:rPr>
                  <m:sty m:val="p"/>
                </m:rPr>
                <w:rPr>
                  <w:rFonts w:ascii="Cambria Math" w:hAnsi="Cambria Math" w:cs="Times New Roman"/>
                  <w:sz w:val="24"/>
                  <w:szCs w:val="24"/>
                </w:rPr>
                <m:t>ln</m:t>
              </m:r>
            </m:fName>
            <m:e>
              <m:d>
                <m:dPr>
                  <m:begChr m:val="["/>
                  <m:endChr m:val="]"/>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mid,t+1</m:t>
                      </m:r>
                    </m:sub>
                  </m:sSub>
                </m:e>
              </m:d>
            </m:e>
          </m:func>
          <m:r>
            <w:rPr>
              <w:rFonts w:ascii="Cambria Math" w:hAnsi="Cambria Math" w:cs="Times New Roman"/>
              <w:sz w:val="24"/>
              <w:szCs w:val="24"/>
            </w:rPr>
            <m:t>-</m:t>
          </m:r>
          <m:func>
            <m:funcPr>
              <m:ctrlPr>
                <w:rPr>
                  <w:rFonts w:ascii="Cambria Math" w:hAnsi="Cambria Math" w:cs="Times New Roman"/>
                  <w:sz w:val="24"/>
                  <w:szCs w:val="24"/>
                </w:rPr>
              </m:ctrlPr>
            </m:funcPr>
            <m:fName>
              <m:r>
                <m:rPr>
                  <m:sty m:val="p"/>
                </m:rPr>
                <w:rPr>
                  <w:rFonts w:ascii="Cambria Math" w:hAnsi="Cambria Math" w:cs="Times New Roman"/>
                  <w:sz w:val="24"/>
                  <w:szCs w:val="24"/>
                </w:rPr>
                <m:t>ln</m:t>
              </m:r>
              <m:ctrlPr>
                <w:rPr>
                  <w:rFonts w:ascii="Cambria Math" w:hAnsi="Cambria Math" w:cs="Times New Roman"/>
                  <w:i/>
                  <w:sz w:val="24"/>
                  <w:szCs w:val="24"/>
                </w:rPr>
              </m:ctrlPr>
            </m:fName>
            <m:e>
              <m:d>
                <m:dPr>
                  <m:begChr m:val="["/>
                  <m:endChr m:val="]"/>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mid,  t</m:t>
                      </m:r>
                    </m:sub>
                  </m:sSub>
                </m:e>
              </m:d>
            </m:e>
          </m:func>
          <m:r>
            <w:rPr>
              <w:rFonts w:ascii="Cambria Math" w:hAnsi="Cambria Math" w:cs="Times New Roman"/>
              <w:sz w:val="24"/>
              <w:szCs w:val="24"/>
            </w:rPr>
            <m:t>=</m:t>
          </m:r>
          <m:func>
            <m:funcPr>
              <m:ctrlPr>
                <w:rPr>
                  <w:rFonts w:ascii="Cambria Math" w:hAnsi="Cambria Math" w:cs="Times New Roman"/>
                  <w:i/>
                  <w:sz w:val="24"/>
                  <w:szCs w:val="24"/>
                </w:rPr>
              </m:ctrlPr>
            </m:funcPr>
            <m:fName>
              <m:r>
                <m:rPr>
                  <m:sty m:val="p"/>
                </m:rPr>
                <w:rPr>
                  <w:rFonts w:ascii="Cambria Math" w:hAnsi="Cambria Math" w:cs="Times New Roman"/>
                  <w:sz w:val="24"/>
                  <w:szCs w:val="24"/>
                </w:rPr>
                <m:t>ln</m:t>
              </m:r>
            </m:fName>
            <m:e>
              <m:d>
                <m:dPr>
                  <m:begChr m:val="["/>
                  <m:endChr m:val="]"/>
                  <m:ctrlPr>
                    <w:rPr>
                      <w:rFonts w:ascii="Cambria Math" w:hAnsi="Cambria Math" w:cs="Times New Roman"/>
                      <w:i/>
                      <w:sz w:val="24"/>
                      <w:szCs w:val="24"/>
                    </w:rPr>
                  </m:ctrlPr>
                </m:dPr>
                <m:e>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mid,t+1</m:t>
                          </m:r>
                        </m:sub>
                      </m:sSub>
                    </m:num>
                    <m:den>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mid,t</m:t>
                          </m:r>
                        </m:sub>
                      </m:sSub>
                    </m:den>
                  </m:f>
                </m:e>
              </m:d>
            </m:e>
          </m:func>
        </m:oMath>
      </m:oMathPara>
    </w:p>
    <w:p w14:paraId="151A4C14" w14:textId="77777777" w:rsidR="002114FA" w:rsidRDefault="00D179DA" w:rsidP="003654F1">
      <w:pPr>
        <w:spacing w:line="480" w:lineRule="auto"/>
        <w:jc w:val="both"/>
        <w:rPr>
          <w:rFonts w:ascii="Times New Roman" w:hAnsi="Times New Roman" w:cs="Times New Roman"/>
          <w:sz w:val="24"/>
          <w:szCs w:val="24"/>
          <w:vertAlign w:val="subscript"/>
        </w:rPr>
      </w:pPr>
      <w:r>
        <w:rPr>
          <w:rFonts w:ascii="Times New Roman" w:hAnsi="Times New Roman" w:cs="Times New Roman"/>
          <w:sz w:val="24"/>
          <w:szCs w:val="24"/>
        </w:rPr>
        <w:t>The</w:t>
      </w:r>
      <w:r w:rsidR="00692A27">
        <w:rPr>
          <w:rFonts w:ascii="Times New Roman" w:hAnsi="Times New Roman" w:cs="Times New Roman"/>
          <w:sz w:val="24"/>
          <w:szCs w:val="24"/>
        </w:rPr>
        <w:t xml:space="preserve"> α% </w:t>
      </w:r>
      <w:r>
        <w:rPr>
          <w:rFonts w:ascii="Times New Roman" w:hAnsi="Times New Roman" w:cs="Times New Roman"/>
          <w:sz w:val="24"/>
          <w:szCs w:val="24"/>
        </w:rPr>
        <w:t xml:space="preserve">worst case value assuming normal returns is  </w:t>
      </w:r>
    </w:p>
    <w:p w14:paraId="2CE54633" w14:textId="77777777" w:rsidR="001F6516" w:rsidRPr="001F6516" w:rsidRDefault="00EC34E3" w:rsidP="003654F1">
      <w:pPr>
        <w:spacing w:line="480" w:lineRule="auto"/>
        <w:jc w:val="both"/>
        <w:rPr>
          <w:rFonts w:ascii="Times New Roman" w:hAnsi="Times New Roman" w:cs="Times New Roman"/>
          <w:sz w:val="24"/>
          <w:szCs w:val="24"/>
        </w:rPr>
      </w:pPr>
      <m:oMathPara>
        <m:oMathParaPr>
          <m:jc m:val="left"/>
        </m:oMathParaPr>
        <m:oMath>
          <m:sSub>
            <m:sSubPr>
              <m:ctrlPr>
                <w:rPr>
                  <w:rFonts w:ascii="Cambria Math" w:hAnsi="Cambria Math" w:cs="Times New Roman"/>
                  <w:i/>
                  <w:sz w:val="24"/>
                  <w:szCs w:val="24"/>
                </w:rPr>
              </m:ctrlPr>
            </m:sSubPr>
            <m:e>
              <m:acc>
                <m:accPr>
                  <m:ctrlPr>
                    <w:rPr>
                      <w:rFonts w:ascii="Cambria Math" w:hAnsi="Cambria Math" w:cs="Times New Roman"/>
                      <w:i/>
                      <w:sz w:val="24"/>
                      <w:szCs w:val="24"/>
                    </w:rPr>
                  </m:ctrlPr>
                </m:accPr>
                <m:e>
                  <m:r>
                    <w:rPr>
                      <w:rFonts w:ascii="Cambria Math" w:hAnsi="Cambria Math" w:cs="Times New Roman"/>
                      <w:sz w:val="24"/>
                      <w:szCs w:val="24"/>
                    </w:rPr>
                    <m:t>P</m:t>
                  </m:r>
                </m:e>
              </m:acc>
            </m:e>
            <m:sub>
              <m:r>
                <w:rPr>
                  <w:rFonts w:ascii="Cambria Math" w:hAnsi="Cambria Math" w:cs="Times New Roman"/>
                  <w:sz w:val="24"/>
                  <w:szCs w:val="24"/>
                </w:rPr>
                <m:t>t+1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mid,t</m:t>
              </m:r>
            </m:sub>
          </m:sSub>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μ</m:t>
                  </m:r>
                </m:e>
                <m:sub>
                  <m:r>
                    <w:rPr>
                      <w:rFonts w:ascii="Cambria Math" w:hAnsi="Cambria Math" w:cs="Times New Roman"/>
                      <w:sz w:val="24"/>
                      <w:szCs w:val="24"/>
                    </w:rPr>
                    <m:t>r</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z</m:t>
                  </m:r>
                </m:e>
                <m:sub>
                  <m:r>
                    <w:rPr>
                      <w:rFonts w:ascii="Cambria Math" w:hAnsi="Cambria Math" w:cs="Times New Roman"/>
                      <w:sz w:val="24"/>
                      <w:szCs w:val="24"/>
                    </w:rPr>
                    <m:t>α</m:t>
                  </m:r>
                </m:sub>
              </m:sSub>
              <m:d>
                <m:dPr>
                  <m:ctrlPr>
                    <w:rPr>
                      <w:rFonts w:ascii="Cambria Math" w:hAnsi="Cambria Math" w:cs="Times New Roman"/>
                      <w:i/>
                      <w:sz w:val="24"/>
                      <w:szCs w:val="24"/>
                    </w:rPr>
                  </m:ctrlPr>
                </m:dPr>
                <m:e>
                  <m:r>
                    <w:rPr>
                      <w:rFonts w:ascii="Cambria Math" w:hAnsi="Cambria Math" w:cs="Times New Roman"/>
                      <w:sz w:val="24"/>
                      <w:szCs w:val="24"/>
                    </w:rPr>
                    <m:t>r</m:t>
                  </m:r>
                </m:e>
              </m:d>
              <m:sSub>
                <m:sSubPr>
                  <m:ctrlPr>
                    <w:rPr>
                      <w:rFonts w:ascii="Cambria Math" w:hAnsi="Cambria Math" w:cs="Times New Roman"/>
                      <w:i/>
                      <w:sz w:val="24"/>
                      <w:szCs w:val="24"/>
                    </w:rPr>
                  </m:ctrlPr>
                </m:sSubPr>
                <m:e>
                  <m:r>
                    <w:rPr>
                      <w:rFonts w:ascii="Cambria Math" w:hAnsi="Cambria Math" w:cs="Times New Roman"/>
                      <w:sz w:val="24"/>
                      <w:szCs w:val="24"/>
                    </w:rPr>
                    <m:t>σ</m:t>
                  </m:r>
                </m:e>
                <m:sub>
                  <m:r>
                    <w:rPr>
                      <w:rFonts w:ascii="Cambria Math" w:hAnsi="Cambria Math" w:cs="Times New Roman"/>
                      <w:sz w:val="24"/>
                      <w:szCs w:val="24"/>
                    </w:rPr>
                    <m:t>r</m:t>
                  </m:r>
                </m:sub>
              </m:sSub>
              <m:r>
                <w:rPr>
                  <w:rFonts w:ascii="Cambria Math" w:hAnsi="Cambria Math" w:cs="Times New Roman"/>
                  <w:sz w:val="24"/>
                  <w:szCs w:val="24"/>
                </w:rPr>
                <m:t>]</m:t>
              </m:r>
            </m:sup>
          </m:sSup>
        </m:oMath>
      </m:oMathPara>
    </w:p>
    <w:p w14:paraId="72C2EF70" w14:textId="77777777" w:rsidR="008D7E1B" w:rsidRDefault="008D7E1B" w:rsidP="003654F1">
      <w:pPr>
        <w:spacing w:line="480" w:lineRule="auto"/>
        <w:jc w:val="both"/>
        <w:rPr>
          <w:rFonts w:ascii="Times New Roman" w:hAnsi="Times New Roman" w:cs="Times New Roman"/>
          <w:sz w:val="24"/>
          <w:szCs w:val="24"/>
        </w:rPr>
      </w:pPr>
      <w:r>
        <w:rPr>
          <w:rFonts w:ascii="Times New Roman" w:hAnsi="Times New Roman" w:cs="Times New Roman"/>
          <w:sz w:val="24"/>
          <w:szCs w:val="24"/>
        </w:rPr>
        <w:t>Where</w:t>
      </w:r>
    </w:p>
    <w:p w14:paraId="3B687E85" w14:textId="77777777" w:rsidR="008D7E1B" w:rsidRPr="001F6516" w:rsidRDefault="00EC34E3" w:rsidP="008D7E1B">
      <w:pPr>
        <w:spacing w:line="480" w:lineRule="auto"/>
        <w:jc w:val="both"/>
        <w:rPr>
          <w:rFonts w:ascii="Times New Roman" w:hAnsi="Times New Roman" w:cs="Times New Roman"/>
          <w:sz w:val="24"/>
          <w:szCs w:val="24"/>
        </w:rPr>
      </w:pPr>
      <m:oMathPara>
        <m:oMathParaPr>
          <m:jc m:val="left"/>
        </m:oMathParaPr>
        <m:oMath>
          <m:sSub>
            <m:sSubPr>
              <m:ctrlPr>
                <w:rPr>
                  <w:rFonts w:ascii="Cambria Math" w:hAnsi="Cambria Math" w:cs="Times New Roman"/>
                  <w:i/>
                  <w:sz w:val="24"/>
                  <w:szCs w:val="24"/>
                </w:rPr>
              </m:ctrlPr>
            </m:sSubPr>
            <m:e>
              <m:acc>
                <m:accPr>
                  <m:ctrlPr>
                    <w:rPr>
                      <w:rFonts w:ascii="Cambria Math" w:hAnsi="Cambria Math" w:cs="Times New Roman"/>
                      <w:i/>
                      <w:sz w:val="24"/>
                      <w:szCs w:val="24"/>
                    </w:rPr>
                  </m:ctrlPr>
                </m:accPr>
                <m:e>
                  <m:r>
                    <w:rPr>
                      <w:rFonts w:ascii="Cambria Math" w:hAnsi="Cambria Math" w:cs="Times New Roman"/>
                      <w:sz w:val="24"/>
                      <w:szCs w:val="24"/>
                    </w:rPr>
                    <m:t>P</m:t>
                  </m:r>
                </m:e>
              </m:acc>
            </m:e>
            <m:sub>
              <m:r>
                <w:rPr>
                  <w:rFonts w:ascii="Cambria Math" w:hAnsi="Cambria Math" w:cs="Times New Roman"/>
                  <w:sz w:val="24"/>
                  <w:szCs w:val="24"/>
                </w:rPr>
                <m:t>t+1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mid,t</m:t>
              </m:r>
            </m:sub>
          </m:sSub>
          <m:sSup>
            <m:sSupPr>
              <m:ctrlPr>
                <w:rPr>
                  <w:rFonts w:ascii="Cambria Math" w:hAnsi="Cambria Math" w:cs="Times New Roman"/>
                  <w:i/>
                  <w:sz w:val="24"/>
                  <w:szCs w:val="24"/>
                </w:rPr>
              </m:ctrlPr>
            </m:sSupPr>
            <m:e>
              <m:r>
                <w:rPr>
                  <w:rFonts w:ascii="Cambria Math" w:hAnsi="Cambria Math" w:cs="Times New Roman"/>
                  <w:sz w:val="24"/>
                  <w:szCs w:val="24"/>
                </w:rPr>
                <m:t>e</m:t>
              </m:r>
            </m:e>
            <m:sup>
              <m:sSub>
                <m:sSubPr>
                  <m:ctrlPr>
                    <w:rPr>
                      <w:rFonts w:ascii="Cambria Math" w:hAnsi="Cambria Math" w:cs="Times New Roman"/>
                      <w:i/>
                      <w:sz w:val="24"/>
                      <w:szCs w:val="24"/>
                    </w:rPr>
                  </m:ctrlPr>
                </m:sSubPr>
                <m:e>
                  <m:acc>
                    <m:accPr>
                      <m:ctrlPr>
                        <w:rPr>
                          <w:rFonts w:ascii="Cambria Math" w:hAnsi="Cambria Math" w:cs="Times New Roman"/>
                          <w:i/>
                          <w:sz w:val="24"/>
                          <w:szCs w:val="24"/>
                        </w:rPr>
                      </m:ctrlPr>
                    </m:accPr>
                    <m:e>
                      <m:r>
                        <w:rPr>
                          <w:rFonts w:ascii="Cambria Math" w:hAnsi="Cambria Math" w:cs="Times New Roman"/>
                          <w:sz w:val="24"/>
                          <w:szCs w:val="24"/>
                        </w:rPr>
                        <m:t>r</m:t>
                      </m:r>
                    </m:e>
                  </m:acc>
                </m:e>
                <m:sub>
                  <m:r>
                    <w:rPr>
                      <w:rFonts w:ascii="Cambria Math" w:hAnsi="Cambria Math" w:cs="Times New Roman"/>
                      <w:sz w:val="24"/>
                      <w:szCs w:val="24"/>
                    </w:rPr>
                    <m:t>t+1</m:t>
                  </m:r>
                </m:sub>
              </m:sSub>
            </m:sup>
          </m:sSup>
        </m:oMath>
      </m:oMathPara>
    </w:p>
    <w:p w14:paraId="32CA7E46" w14:textId="77777777" w:rsidR="00AA11DD" w:rsidRPr="001F6516" w:rsidRDefault="00EC34E3" w:rsidP="00AA11DD">
      <w:pPr>
        <w:spacing w:line="480" w:lineRule="auto"/>
        <w:jc w:val="both"/>
        <w:rPr>
          <w:rFonts w:ascii="Times New Roman" w:hAnsi="Times New Roman" w:cs="Times New Roman"/>
          <w:sz w:val="24"/>
          <w:szCs w:val="24"/>
        </w:rPr>
      </w:pPr>
      <m:oMathPara>
        <m:oMathParaPr>
          <m:jc m:val="left"/>
        </m:oMathParaPr>
        <m:oMath>
          <m:sSub>
            <m:sSubPr>
              <m:ctrlPr>
                <w:rPr>
                  <w:rFonts w:ascii="Cambria Math" w:hAnsi="Cambria Math" w:cs="Times New Roman"/>
                  <w:i/>
                  <w:sz w:val="24"/>
                  <w:szCs w:val="24"/>
                </w:rPr>
              </m:ctrlPr>
            </m:sSubPr>
            <m:e>
              <m:acc>
                <m:accPr>
                  <m:ctrlPr>
                    <w:rPr>
                      <w:rFonts w:ascii="Cambria Math" w:hAnsi="Cambria Math" w:cs="Times New Roman"/>
                      <w:i/>
                      <w:sz w:val="24"/>
                      <w:szCs w:val="24"/>
                    </w:rPr>
                  </m:ctrlPr>
                </m:accPr>
                <m:e>
                  <m:r>
                    <w:rPr>
                      <w:rFonts w:ascii="Cambria Math" w:hAnsi="Cambria Math" w:cs="Times New Roman"/>
                      <w:sz w:val="24"/>
                      <w:szCs w:val="24"/>
                    </w:rPr>
                    <m:t>r</m:t>
                  </m:r>
                </m:e>
              </m:acc>
            </m:e>
            <m:sub>
              <m:r>
                <w:rPr>
                  <w:rFonts w:ascii="Cambria Math" w:hAnsi="Cambria Math" w:cs="Times New Roman"/>
                  <w:sz w:val="24"/>
                  <w:szCs w:val="24"/>
                </w:rPr>
                <m:t>t+1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μ</m:t>
              </m:r>
            </m:e>
            <m:sub>
              <m:r>
                <w:rPr>
                  <w:rFonts w:ascii="Cambria Math" w:hAnsi="Cambria Math" w:cs="Times New Roman"/>
                  <w:sz w:val="24"/>
                  <w:szCs w:val="24"/>
                </w:rPr>
                <m:t>r</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z</m:t>
              </m:r>
            </m:e>
            <m:sub>
              <m:r>
                <w:rPr>
                  <w:rFonts w:ascii="Cambria Math" w:hAnsi="Cambria Math" w:cs="Times New Roman"/>
                  <w:sz w:val="24"/>
                  <w:szCs w:val="24"/>
                </w:rPr>
                <m:t>α</m:t>
              </m:r>
            </m:sub>
          </m:sSub>
          <m:d>
            <m:dPr>
              <m:ctrlPr>
                <w:rPr>
                  <w:rFonts w:ascii="Cambria Math" w:hAnsi="Cambria Math" w:cs="Times New Roman"/>
                  <w:i/>
                  <w:sz w:val="24"/>
                  <w:szCs w:val="24"/>
                </w:rPr>
              </m:ctrlPr>
            </m:dPr>
            <m:e>
              <m:r>
                <w:rPr>
                  <w:rFonts w:ascii="Cambria Math" w:hAnsi="Cambria Math" w:cs="Times New Roman"/>
                  <w:sz w:val="24"/>
                  <w:szCs w:val="24"/>
                </w:rPr>
                <m:t>r</m:t>
              </m:r>
            </m:e>
          </m:d>
          <m:sSub>
            <m:sSubPr>
              <m:ctrlPr>
                <w:rPr>
                  <w:rFonts w:ascii="Cambria Math" w:hAnsi="Cambria Math" w:cs="Times New Roman"/>
                  <w:i/>
                  <w:sz w:val="24"/>
                  <w:szCs w:val="24"/>
                </w:rPr>
              </m:ctrlPr>
            </m:sSubPr>
            <m:e>
              <m:r>
                <w:rPr>
                  <w:rFonts w:ascii="Cambria Math" w:hAnsi="Cambria Math" w:cs="Times New Roman"/>
                  <w:sz w:val="24"/>
                  <w:szCs w:val="24"/>
                </w:rPr>
                <m:t>σ</m:t>
              </m:r>
            </m:e>
            <m:sub>
              <m:r>
                <w:rPr>
                  <w:rFonts w:ascii="Cambria Math" w:hAnsi="Cambria Math" w:cs="Times New Roman"/>
                  <w:sz w:val="24"/>
                  <w:szCs w:val="24"/>
                </w:rPr>
                <m:t>r</m:t>
              </m:r>
            </m:sub>
          </m:sSub>
        </m:oMath>
      </m:oMathPara>
    </w:p>
    <w:p w14:paraId="1D5B019F" w14:textId="77777777" w:rsidR="009405CE" w:rsidRDefault="00692A27" w:rsidP="003654F1">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VaR </w:t>
      </w:r>
      <w:r w:rsidR="008D7E1B">
        <w:rPr>
          <w:rFonts w:ascii="Times New Roman" w:hAnsi="Times New Roman" w:cs="Times New Roman"/>
          <w:sz w:val="24"/>
          <w:szCs w:val="24"/>
        </w:rPr>
        <w:t xml:space="preserve">is a number that represents potential change in asset’s future value. </w:t>
      </w:r>
      <w:r w:rsidR="009405CE">
        <w:rPr>
          <w:rFonts w:ascii="Times New Roman" w:hAnsi="Times New Roman" w:cs="Times New Roman"/>
          <w:sz w:val="24"/>
          <w:szCs w:val="24"/>
        </w:rPr>
        <w:t xml:space="preserve">Assuming the return on this </w:t>
      </w:r>
      <w:r w:rsidR="00A91258">
        <w:rPr>
          <w:rFonts w:ascii="Times New Roman" w:hAnsi="Times New Roman" w:cs="Times New Roman"/>
          <w:sz w:val="24"/>
          <w:szCs w:val="24"/>
        </w:rPr>
        <w:t>asset</w:t>
      </w:r>
      <w:r w:rsidR="009405CE">
        <w:rPr>
          <w:rFonts w:ascii="Times New Roman" w:hAnsi="Times New Roman" w:cs="Times New Roman"/>
          <w:sz w:val="24"/>
          <w:szCs w:val="24"/>
        </w:rPr>
        <w:t xml:space="preserve"> is d</w:t>
      </w:r>
      <w:r>
        <w:rPr>
          <w:rFonts w:ascii="Times New Roman" w:hAnsi="Times New Roman" w:cs="Times New Roman"/>
          <w:sz w:val="24"/>
          <w:szCs w:val="24"/>
        </w:rPr>
        <w:t>istributed conditionally normal</w:t>
      </w:r>
      <w:r w:rsidR="008D7E1B">
        <w:rPr>
          <w:rFonts w:ascii="Times New Roman" w:hAnsi="Times New Roman" w:cs="Times New Roman"/>
          <w:sz w:val="24"/>
          <w:szCs w:val="24"/>
        </w:rPr>
        <w:t xml:space="preserve">, the </w:t>
      </w:r>
      <w:r w:rsidR="00A438A2">
        <w:rPr>
          <w:rFonts w:ascii="Times New Roman" w:hAnsi="Times New Roman" w:cs="Times New Roman"/>
          <w:sz w:val="24"/>
          <w:szCs w:val="24"/>
        </w:rPr>
        <w:t xml:space="preserve">relative </w:t>
      </w:r>
      <w:r w:rsidR="008D7E1B">
        <w:rPr>
          <w:rFonts w:ascii="Times New Roman" w:hAnsi="Times New Roman" w:cs="Times New Roman"/>
          <w:sz w:val="24"/>
          <w:szCs w:val="24"/>
        </w:rPr>
        <w:t>VaR estimate is</w:t>
      </w:r>
    </w:p>
    <w:p w14:paraId="475A0176" w14:textId="77777777" w:rsidR="00AA11DD" w:rsidRPr="001640C4" w:rsidRDefault="008D7E1B" w:rsidP="001640C4">
      <w:pPr>
        <w:spacing w:line="480" w:lineRule="auto"/>
        <w:rPr>
          <w:rFonts w:ascii="Times New Roman" w:hAnsi="Times New Roman" w:cs="Times New Roman"/>
          <w:sz w:val="24"/>
          <w:szCs w:val="24"/>
        </w:rPr>
      </w:pPr>
      <m:oMath>
        <m:r>
          <w:rPr>
            <w:rFonts w:ascii="Cambria Math" w:hAnsi="Cambria Math" w:cs="Times New Roman"/>
            <w:sz w:val="24"/>
            <w:szCs w:val="24"/>
          </w:rPr>
          <m:t>VaR=</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mid,t</m:t>
                </m:r>
              </m:sub>
            </m:sSub>
            <m:r>
              <w:rPr>
                <w:rFonts w:ascii="Cambria Math" w:hAnsi="Cambria Math" w:cs="Times New Roman"/>
                <w:sz w:val="24"/>
                <w:szCs w:val="24"/>
              </w:rPr>
              <m:t>-</m:t>
            </m:r>
            <m:sSub>
              <m:sSubPr>
                <m:ctrlPr>
                  <w:rPr>
                    <w:rFonts w:ascii="Cambria Math" w:hAnsi="Cambria Math" w:cs="Times New Roman"/>
                    <w:i/>
                    <w:sz w:val="24"/>
                    <w:szCs w:val="24"/>
                  </w:rPr>
                </m:ctrlPr>
              </m:sSubPr>
              <m:e>
                <m:acc>
                  <m:accPr>
                    <m:ctrlPr>
                      <w:rPr>
                        <w:rFonts w:ascii="Cambria Math" w:hAnsi="Cambria Math" w:cs="Times New Roman"/>
                        <w:i/>
                        <w:sz w:val="24"/>
                        <w:szCs w:val="24"/>
                      </w:rPr>
                    </m:ctrlPr>
                  </m:accPr>
                  <m:e>
                    <m:r>
                      <w:rPr>
                        <w:rFonts w:ascii="Cambria Math" w:hAnsi="Cambria Math" w:cs="Times New Roman"/>
                        <w:sz w:val="24"/>
                        <w:szCs w:val="24"/>
                      </w:rPr>
                      <m:t>P</m:t>
                    </m:r>
                  </m:e>
                </m:acc>
              </m:e>
              <m:sub>
                <m:r>
                  <w:rPr>
                    <w:rFonts w:ascii="Cambria Math" w:hAnsi="Cambria Math" w:cs="Times New Roman"/>
                    <w:sz w:val="24"/>
                    <w:szCs w:val="24"/>
                  </w:rPr>
                  <m:t>t+1</m:t>
                </m:r>
              </m:sub>
            </m:sSub>
          </m:num>
          <m:den>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mid,t</m:t>
                </m:r>
              </m:sub>
            </m:sSub>
          </m:den>
        </m:f>
        <m:r>
          <w:rPr>
            <w:rFonts w:ascii="Cambria Math" w:hAnsi="Cambria Math" w:cs="Times New Roman"/>
            <w:sz w:val="24"/>
            <w:szCs w:val="24"/>
          </w:rPr>
          <m:t>=</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mid,t</m:t>
                </m:r>
              </m:sub>
            </m:sSub>
            <m:d>
              <m:dPr>
                <m:ctrlPr>
                  <w:rPr>
                    <w:rFonts w:ascii="Cambria Math" w:hAnsi="Cambria Math" w:cs="Times New Roman"/>
                    <w:i/>
                    <w:sz w:val="24"/>
                    <w:szCs w:val="24"/>
                  </w:rPr>
                </m:ctrlPr>
              </m:dPr>
              <m:e>
                <m:r>
                  <w:rPr>
                    <w:rFonts w:ascii="Cambria Math" w:hAnsi="Cambria Math" w:cs="Times New Roman"/>
                    <w:sz w:val="24"/>
                    <w:szCs w:val="24"/>
                  </w:rPr>
                  <m:t>1-</m:t>
                </m:r>
                <m:sSup>
                  <m:sSupPr>
                    <m:ctrlPr>
                      <w:rPr>
                        <w:rFonts w:ascii="Cambria Math" w:hAnsi="Cambria Math" w:cs="Times New Roman"/>
                        <w:i/>
                        <w:sz w:val="24"/>
                        <w:szCs w:val="24"/>
                      </w:rPr>
                    </m:ctrlPr>
                  </m:sSupPr>
                  <m:e>
                    <m:r>
                      <w:rPr>
                        <w:rFonts w:ascii="Cambria Math" w:hAnsi="Cambria Math" w:cs="Times New Roman"/>
                        <w:sz w:val="24"/>
                        <w:szCs w:val="24"/>
                      </w:rPr>
                      <m:t>e</m:t>
                    </m:r>
                  </m:e>
                  <m:sup>
                    <m:d>
                      <m:dPr>
                        <m:begChr m:val="["/>
                        <m:endChr m:val="]"/>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μ</m:t>
                            </m:r>
                          </m:e>
                          <m:sub>
                            <m:r>
                              <w:rPr>
                                <w:rFonts w:ascii="Cambria Math" w:hAnsi="Cambria Math" w:cs="Times New Roman"/>
                                <w:sz w:val="24"/>
                                <w:szCs w:val="24"/>
                              </w:rPr>
                              <m:t>r</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z</m:t>
                            </m:r>
                          </m:e>
                          <m:sub>
                            <m:r>
                              <w:rPr>
                                <w:rFonts w:ascii="Cambria Math" w:hAnsi="Cambria Math" w:cs="Times New Roman"/>
                                <w:sz w:val="24"/>
                                <w:szCs w:val="24"/>
                              </w:rPr>
                              <m:t>α</m:t>
                            </m:r>
                          </m:sub>
                        </m:sSub>
                        <m:d>
                          <m:dPr>
                            <m:ctrlPr>
                              <w:rPr>
                                <w:rFonts w:ascii="Cambria Math" w:hAnsi="Cambria Math" w:cs="Times New Roman"/>
                                <w:i/>
                                <w:sz w:val="24"/>
                                <w:szCs w:val="24"/>
                              </w:rPr>
                            </m:ctrlPr>
                          </m:dPr>
                          <m:e>
                            <m:r>
                              <w:rPr>
                                <w:rFonts w:ascii="Cambria Math" w:hAnsi="Cambria Math" w:cs="Times New Roman"/>
                                <w:sz w:val="24"/>
                                <w:szCs w:val="24"/>
                              </w:rPr>
                              <m:t>r</m:t>
                            </m:r>
                          </m:e>
                        </m:d>
                        <m:sSub>
                          <m:sSubPr>
                            <m:ctrlPr>
                              <w:rPr>
                                <w:rFonts w:ascii="Cambria Math" w:hAnsi="Cambria Math" w:cs="Times New Roman"/>
                                <w:i/>
                                <w:sz w:val="24"/>
                                <w:szCs w:val="24"/>
                              </w:rPr>
                            </m:ctrlPr>
                          </m:sSubPr>
                          <m:e>
                            <m:r>
                              <w:rPr>
                                <w:rFonts w:ascii="Cambria Math" w:hAnsi="Cambria Math" w:cs="Times New Roman"/>
                                <w:sz w:val="24"/>
                                <w:szCs w:val="24"/>
                              </w:rPr>
                              <m:t>σ</m:t>
                            </m:r>
                          </m:e>
                          <m:sub>
                            <m:r>
                              <w:rPr>
                                <w:rFonts w:ascii="Cambria Math" w:hAnsi="Cambria Math" w:cs="Times New Roman"/>
                                <w:sz w:val="24"/>
                                <w:szCs w:val="24"/>
                              </w:rPr>
                              <m:t>r</m:t>
                            </m:r>
                          </m:sub>
                        </m:sSub>
                      </m:e>
                    </m:d>
                  </m:sup>
                </m:sSup>
              </m:e>
            </m:d>
          </m:num>
          <m:den>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mid,t</m:t>
                </m:r>
              </m:sub>
            </m:sSub>
          </m:den>
        </m:f>
        <m:r>
          <w:rPr>
            <w:rFonts w:ascii="Cambria Math" w:hAnsi="Cambria Math" w:cs="Times New Roman"/>
            <w:sz w:val="24"/>
            <w:szCs w:val="24"/>
          </w:rPr>
          <m:t>=</m:t>
        </m:r>
        <m:d>
          <m:dPr>
            <m:ctrlPr>
              <w:rPr>
                <w:rFonts w:ascii="Cambria Math" w:hAnsi="Cambria Math" w:cs="Times New Roman"/>
                <w:i/>
                <w:sz w:val="24"/>
                <w:szCs w:val="24"/>
              </w:rPr>
            </m:ctrlPr>
          </m:dPr>
          <m:e>
            <m:r>
              <w:rPr>
                <w:rFonts w:ascii="Cambria Math" w:hAnsi="Cambria Math" w:cs="Times New Roman"/>
                <w:sz w:val="24"/>
                <w:szCs w:val="24"/>
              </w:rPr>
              <m:t>1-</m:t>
            </m:r>
            <m:sSup>
              <m:sSupPr>
                <m:ctrlPr>
                  <w:rPr>
                    <w:rFonts w:ascii="Cambria Math" w:hAnsi="Cambria Math" w:cs="Times New Roman"/>
                    <w:i/>
                    <w:sz w:val="24"/>
                    <w:szCs w:val="24"/>
                  </w:rPr>
                </m:ctrlPr>
              </m:sSupPr>
              <m:e>
                <m:r>
                  <w:rPr>
                    <w:rFonts w:ascii="Cambria Math" w:hAnsi="Cambria Math" w:cs="Times New Roman"/>
                    <w:sz w:val="24"/>
                    <w:szCs w:val="24"/>
                  </w:rPr>
                  <m:t>e</m:t>
                </m:r>
              </m:e>
              <m:sup>
                <m:d>
                  <m:dPr>
                    <m:begChr m:val="["/>
                    <m:endChr m:val="]"/>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μ</m:t>
                        </m:r>
                      </m:e>
                      <m:sub>
                        <m:r>
                          <w:rPr>
                            <w:rFonts w:ascii="Cambria Math" w:hAnsi="Cambria Math" w:cs="Times New Roman"/>
                            <w:sz w:val="24"/>
                            <w:szCs w:val="24"/>
                          </w:rPr>
                          <m:t>r</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z</m:t>
                        </m:r>
                      </m:e>
                      <m:sub>
                        <m:r>
                          <w:rPr>
                            <w:rFonts w:ascii="Cambria Math" w:hAnsi="Cambria Math" w:cs="Times New Roman"/>
                            <w:sz w:val="24"/>
                            <w:szCs w:val="24"/>
                          </w:rPr>
                          <m:t>α</m:t>
                        </m:r>
                      </m:sub>
                    </m:sSub>
                    <m:d>
                      <m:dPr>
                        <m:ctrlPr>
                          <w:rPr>
                            <w:rFonts w:ascii="Cambria Math" w:hAnsi="Cambria Math" w:cs="Times New Roman"/>
                            <w:i/>
                            <w:sz w:val="24"/>
                            <w:szCs w:val="24"/>
                          </w:rPr>
                        </m:ctrlPr>
                      </m:dPr>
                      <m:e>
                        <m:r>
                          <w:rPr>
                            <w:rFonts w:ascii="Cambria Math" w:hAnsi="Cambria Math" w:cs="Times New Roman"/>
                            <w:sz w:val="24"/>
                            <w:szCs w:val="24"/>
                          </w:rPr>
                          <m:t>r</m:t>
                        </m:r>
                      </m:e>
                    </m:d>
                    <m:sSub>
                      <m:sSubPr>
                        <m:ctrlPr>
                          <w:rPr>
                            <w:rFonts w:ascii="Cambria Math" w:hAnsi="Cambria Math" w:cs="Times New Roman"/>
                            <w:i/>
                            <w:sz w:val="24"/>
                            <w:szCs w:val="24"/>
                          </w:rPr>
                        </m:ctrlPr>
                      </m:sSubPr>
                      <m:e>
                        <m:r>
                          <w:rPr>
                            <w:rFonts w:ascii="Cambria Math" w:hAnsi="Cambria Math" w:cs="Times New Roman"/>
                            <w:sz w:val="24"/>
                            <w:szCs w:val="24"/>
                          </w:rPr>
                          <m:t>σ</m:t>
                        </m:r>
                      </m:e>
                      <m:sub>
                        <m:r>
                          <w:rPr>
                            <w:rFonts w:ascii="Cambria Math" w:hAnsi="Cambria Math" w:cs="Times New Roman"/>
                            <w:sz w:val="24"/>
                            <w:szCs w:val="24"/>
                          </w:rPr>
                          <m:t>r</m:t>
                        </m:r>
                      </m:sub>
                    </m:sSub>
                  </m:e>
                </m:d>
              </m:sup>
            </m:sSup>
          </m:e>
        </m:d>
      </m:oMath>
      <w:r w:rsidR="001640C4">
        <w:rPr>
          <w:rFonts w:ascii="Times New Roman" w:hAnsi="Times New Roman" w:cs="Times New Roman"/>
          <w:sz w:val="24"/>
          <w:szCs w:val="24"/>
        </w:rPr>
        <w:t>……………</w:t>
      </w:r>
      <w:r w:rsidR="00006DF5">
        <w:rPr>
          <w:rFonts w:ascii="Times New Roman" w:hAnsi="Times New Roman" w:cs="Times New Roman"/>
          <w:sz w:val="24"/>
          <w:szCs w:val="24"/>
        </w:rPr>
        <w:t>…</w:t>
      </w:r>
      <w:r w:rsidR="00554FEC">
        <w:rPr>
          <w:rFonts w:ascii="Times New Roman" w:hAnsi="Times New Roman" w:cs="Times New Roman"/>
          <w:sz w:val="24"/>
          <w:szCs w:val="24"/>
        </w:rPr>
        <w:t xml:space="preserve"> </w:t>
      </w:r>
      <w:r w:rsidR="007E0644">
        <w:rPr>
          <w:rFonts w:ascii="Times New Roman" w:hAnsi="Times New Roman" w:cs="Times New Roman"/>
          <w:sz w:val="24"/>
          <w:szCs w:val="24"/>
        </w:rPr>
        <w:t>(</w:t>
      </w:r>
      <w:r w:rsidR="00006DF5">
        <w:rPr>
          <w:rFonts w:ascii="Times New Roman" w:hAnsi="Times New Roman" w:cs="Times New Roman"/>
          <w:sz w:val="24"/>
          <w:szCs w:val="24"/>
        </w:rPr>
        <w:t>Equation 1</w:t>
      </w:r>
      <w:r w:rsidR="001640C4">
        <w:rPr>
          <w:rFonts w:ascii="Times New Roman" w:hAnsi="Times New Roman" w:cs="Times New Roman"/>
          <w:sz w:val="24"/>
          <w:szCs w:val="24"/>
        </w:rPr>
        <w:t>)</w:t>
      </w:r>
    </w:p>
    <w:p w14:paraId="62F6D765" w14:textId="77777777" w:rsidR="00C97A64" w:rsidRPr="00441091" w:rsidRDefault="000167A5" w:rsidP="003654F1">
      <w:pPr>
        <w:spacing w:line="480" w:lineRule="auto"/>
        <w:jc w:val="both"/>
        <w:rPr>
          <w:rFonts w:ascii="Times New Roman" w:hAnsi="Times New Roman" w:cs="Times New Roman"/>
          <w:sz w:val="24"/>
          <w:szCs w:val="24"/>
        </w:rPr>
      </w:pPr>
      <w:r>
        <w:rPr>
          <w:rFonts w:ascii="Times New Roman" w:hAnsi="Times New Roman" w:cs="Times New Roman"/>
          <w:sz w:val="24"/>
          <w:szCs w:val="24"/>
        </w:rPr>
        <w:t>The above expressions for α% worst case value (</w:t>
      </w:r>
      <m:oMath>
        <m:sSub>
          <m:sSubPr>
            <m:ctrlPr>
              <w:rPr>
                <w:rFonts w:ascii="Cambria Math" w:hAnsi="Cambria Math" w:cs="Times New Roman"/>
                <w:i/>
                <w:sz w:val="24"/>
                <w:szCs w:val="24"/>
              </w:rPr>
            </m:ctrlPr>
          </m:sSubPr>
          <m:e>
            <m:acc>
              <m:accPr>
                <m:ctrlPr>
                  <w:rPr>
                    <w:rFonts w:ascii="Cambria Math" w:hAnsi="Cambria Math" w:cs="Times New Roman"/>
                    <w:i/>
                    <w:sz w:val="24"/>
                    <w:szCs w:val="24"/>
                  </w:rPr>
                </m:ctrlPr>
              </m:accPr>
              <m:e>
                <m:r>
                  <w:rPr>
                    <w:rFonts w:ascii="Cambria Math" w:hAnsi="Cambria Math" w:cs="Times New Roman"/>
                    <w:sz w:val="24"/>
                    <w:szCs w:val="24"/>
                  </w:rPr>
                  <m:t>P</m:t>
                </m:r>
              </m:e>
            </m:acc>
          </m:e>
          <m:sub>
            <m:r>
              <w:rPr>
                <w:rFonts w:ascii="Cambria Math" w:hAnsi="Cambria Math" w:cs="Times New Roman"/>
                <w:sz w:val="24"/>
                <w:szCs w:val="24"/>
              </w:rPr>
              <m:t>t+1</m:t>
            </m:r>
          </m:sub>
        </m:sSub>
      </m:oMath>
      <w:r>
        <w:rPr>
          <w:rFonts w:ascii="Times New Roman" w:hAnsi="Times New Roman" w:cs="Times New Roman"/>
          <w:sz w:val="24"/>
          <w:szCs w:val="24"/>
        </w:rPr>
        <w:t xml:space="preserve">) and potential loss (relative VaR estimate) only consider the volatility of the mid-price, whereas on an average the bid-price is expected to be ½ times average spread below that. Moreover, in unusual tail-event circumstances due to overall market conditions liquidity risk is defined in terms of a confidence interval or a tail probability. </w:t>
      </w:r>
      <w:r w:rsidR="008C64DC">
        <w:rPr>
          <w:rFonts w:ascii="Times New Roman" w:hAnsi="Times New Roman" w:cs="Times New Roman"/>
          <w:sz w:val="24"/>
          <w:szCs w:val="24"/>
        </w:rPr>
        <w:t xml:space="preserve">Bangia et al. (2002) define the exogenous cost of liquidity (COL) </w:t>
      </w:r>
      <w:r w:rsidR="008C64DC">
        <w:rPr>
          <w:rFonts w:ascii="Times New Roman" w:hAnsi="Times New Roman" w:cs="Times New Roman"/>
          <w:noProof/>
          <w:sz w:val="24"/>
          <w:szCs w:val="24"/>
          <w:lang w:val="en-IN" w:eastAsia="en-IN"/>
        </w:rPr>
        <w:t xml:space="preserve">based on average spread plus a multiple of the spread volatility </w:t>
      </w:r>
      <m:oMath>
        <m:sSub>
          <m:sSubPr>
            <m:ctrlPr>
              <w:rPr>
                <w:rFonts w:ascii="Cambria Math" w:hAnsi="Cambria Math" w:cs="Times New Roman"/>
                <w:i/>
                <w:sz w:val="24"/>
                <w:szCs w:val="24"/>
              </w:rPr>
            </m:ctrlPr>
          </m:sSubPr>
          <m:e>
            <m:acc>
              <m:accPr>
                <m:ctrlPr>
                  <w:rPr>
                    <w:rFonts w:ascii="Cambria Math" w:hAnsi="Cambria Math" w:cs="Times New Roman"/>
                    <w:i/>
                    <w:sz w:val="24"/>
                    <w:szCs w:val="24"/>
                  </w:rPr>
                </m:ctrlPr>
              </m:accPr>
              <m:e>
                <m:r>
                  <w:rPr>
                    <w:rFonts w:ascii="Cambria Math" w:hAnsi="Cambria Math" w:cs="Times New Roman"/>
                    <w:sz w:val="24"/>
                    <w:szCs w:val="24"/>
                  </w:rPr>
                  <m:t>z</m:t>
                </m:r>
              </m:e>
            </m:acc>
          </m:e>
          <m:sub>
            <m:r>
              <w:rPr>
                <w:rFonts w:ascii="Cambria Math" w:hAnsi="Cambria Math" w:cs="Times New Roman"/>
                <w:sz w:val="24"/>
                <w:szCs w:val="24"/>
              </w:rPr>
              <m:t>α</m:t>
            </m:r>
          </m:sub>
        </m:sSub>
        <m:d>
          <m:dPr>
            <m:ctrlPr>
              <w:rPr>
                <w:rFonts w:ascii="Cambria Math" w:hAnsi="Cambria Math" w:cs="Times New Roman"/>
                <w:i/>
                <w:sz w:val="24"/>
                <w:szCs w:val="24"/>
              </w:rPr>
            </m:ctrlPr>
          </m:dPr>
          <m:e>
            <m:r>
              <w:rPr>
                <w:rFonts w:ascii="Cambria Math" w:hAnsi="Cambria Math" w:cs="Times New Roman"/>
                <w:sz w:val="24"/>
                <w:szCs w:val="24"/>
              </w:rPr>
              <m:t>S</m:t>
            </m:r>
          </m:e>
        </m:d>
        <m:sSub>
          <m:sSubPr>
            <m:ctrlPr>
              <w:rPr>
                <w:rFonts w:ascii="Cambria Math" w:hAnsi="Cambria Math" w:cs="Times New Roman"/>
                <w:i/>
                <w:sz w:val="24"/>
                <w:szCs w:val="24"/>
              </w:rPr>
            </m:ctrlPr>
          </m:sSubPr>
          <m:e>
            <m:r>
              <w:rPr>
                <w:rFonts w:ascii="Cambria Math" w:hAnsi="Cambria Math" w:cs="Times New Roman"/>
                <w:sz w:val="24"/>
                <w:szCs w:val="24"/>
              </w:rPr>
              <m:t>σ</m:t>
            </m:r>
          </m:e>
          <m:sub>
            <m:r>
              <w:rPr>
                <w:rFonts w:ascii="Cambria Math" w:hAnsi="Cambria Math" w:cs="Times New Roman"/>
                <w:sz w:val="24"/>
                <w:szCs w:val="24"/>
              </w:rPr>
              <m:t>S</m:t>
            </m:r>
          </m:sub>
        </m:sSub>
      </m:oMath>
      <w:r w:rsidR="008C64DC">
        <w:rPr>
          <w:rFonts w:ascii="Times New Roman" w:hAnsi="Times New Roman" w:cs="Times New Roman"/>
          <w:noProof/>
          <w:sz w:val="24"/>
          <w:szCs w:val="24"/>
        </w:rPr>
        <w:t xml:space="preserve"> to cover </w:t>
      </w:r>
      <w:r w:rsidR="008C64DC">
        <w:rPr>
          <w:rFonts w:ascii="Times New Roman" w:hAnsi="Times New Roman" w:cs="Times New Roman"/>
          <w:sz w:val="24"/>
          <w:szCs w:val="24"/>
        </w:rPr>
        <w:t>α% of the spread situations</w:t>
      </w:r>
      <w:r w:rsidR="008C64DC">
        <w:rPr>
          <w:rFonts w:ascii="Times New Roman" w:hAnsi="Times New Roman" w:cs="Times New Roman"/>
          <w:noProof/>
          <w:sz w:val="24"/>
          <w:szCs w:val="24"/>
          <w:lang w:val="en-IN" w:eastAsia="en-IN"/>
        </w:rPr>
        <w:t xml:space="preserve"> </w:t>
      </w:r>
      <w:r w:rsidR="008C64DC" w:rsidRPr="00976FD9">
        <w:rPr>
          <w:rFonts w:ascii="Times New Roman" w:hAnsi="Times New Roman" w:cs="Times New Roman"/>
          <w:noProof/>
          <w:sz w:val="24"/>
          <w:szCs w:val="24"/>
          <w:lang w:val="en-IN" w:eastAsia="en-IN"/>
        </w:rPr>
        <w:t xml:space="preserve"> </w:t>
      </w:r>
    </w:p>
    <w:p w14:paraId="32B21B21" w14:textId="77777777" w:rsidR="00AA11DD" w:rsidRPr="001F6516" w:rsidRDefault="00441091" w:rsidP="00AA11DD">
      <w:pPr>
        <w:spacing w:line="480" w:lineRule="auto"/>
        <w:jc w:val="both"/>
        <w:rPr>
          <w:rFonts w:ascii="Times New Roman" w:hAnsi="Times New Roman" w:cs="Times New Roman"/>
          <w:sz w:val="24"/>
          <w:szCs w:val="24"/>
        </w:rPr>
      </w:pPr>
      <m:oMathPara>
        <m:oMathParaPr>
          <m:jc m:val="left"/>
        </m:oMathParaPr>
        <m:oMath>
          <m:r>
            <w:rPr>
              <w:rFonts w:ascii="Cambria Math" w:hAnsi="Cambria Math" w:cs="Times New Roman"/>
              <w:sz w:val="24"/>
              <w:szCs w:val="24"/>
            </w:rPr>
            <m:t>COL=</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2</m:t>
              </m:r>
            </m:den>
          </m:f>
          <m:d>
            <m:dPr>
              <m:begChr m:val="["/>
              <m:endChr m:val="]"/>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mid,t</m:t>
                  </m:r>
                </m:sub>
              </m:sSub>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μ</m:t>
                      </m:r>
                    </m:e>
                    <m:sub>
                      <m:r>
                        <w:rPr>
                          <w:rFonts w:ascii="Cambria Math" w:hAnsi="Cambria Math" w:cs="Times New Roman"/>
                          <w:sz w:val="24"/>
                          <w:szCs w:val="24"/>
                        </w:rPr>
                        <m:t>S</m:t>
                      </m:r>
                    </m:sub>
                  </m:sSub>
                  <m:r>
                    <w:rPr>
                      <w:rFonts w:ascii="Cambria Math" w:hAnsi="Cambria Math" w:cs="Times New Roman"/>
                      <w:sz w:val="24"/>
                      <w:szCs w:val="24"/>
                    </w:rPr>
                    <m:t>+</m:t>
                  </m:r>
                  <m:sSub>
                    <m:sSubPr>
                      <m:ctrlPr>
                        <w:rPr>
                          <w:rFonts w:ascii="Cambria Math" w:hAnsi="Cambria Math" w:cs="Times New Roman"/>
                          <w:i/>
                          <w:sz w:val="24"/>
                          <w:szCs w:val="24"/>
                        </w:rPr>
                      </m:ctrlPr>
                    </m:sSubPr>
                    <m:e>
                      <m:acc>
                        <m:accPr>
                          <m:ctrlPr>
                            <w:rPr>
                              <w:rFonts w:ascii="Cambria Math" w:hAnsi="Cambria Math" w:cs="Times New Roman"/>
                              <w:i/>
                              <w:sz w:val="24"/>
                              <w:szCs w:val="24"/>
                            </w:rPr>
                          </m:ctrlPr>
                        </m:accPr>
                        <m:e>
                          <m:r>
                            <w:rPr>
                              <w:rFonts w:ascii="Cambria Math" w:hAnsi="Cambria Math" w:cs="Times New Roman"/>
                              <w:sz w:val="24"/>
                              <w:szCs w:val="24"/>
                            </w:rPr>
                            <m:t>z</m:t>
                          </m:r>
                        </m:e>
                      </m:acc>
                    </m:e>
                    <m:sub>
                      <m:r>
                        <w:rPr>
                          <w:rFonts w:ascii="Cambria Math" w:hAnsi="Cambria Math" w:cs="Times New Roman"/>
                          <w:sz w:val="24"/>
                          <w:szCs w:val="24"/>
                        </w:rPr>
                        <m:t>α</m:t>
                      </m:r>
                    </m:sub>
                  </m:sSub>
                  <m:d>
                    <m:dPr>
                      <m:ctrlPr>
                        <w:rPr>
                          <w:rFonts w:ascii="Cambria Math" w:hAnsi="Cambria Math" w:cs="Times New Roman"/>
                          <w:i/>
                          <w:sz w:val="24"/>
                          <w:szCs w:val="24"/>
                        </w:rPr>
                      </m:ctrlPr>
                    </m:dPr>
                    <m:e>
                      <m:r>
                        <w:rPr>
                          <w:rFonts w:ascii="Cambria Math" w:hAnsi="Cambria Math" w:cs="Times New Roman"/>
                          <w:sz w:val="24"/>
                          <w:szCs w:val="24"/>
                        </w:rPr>
                        <m:t>S</m:t>
                      </m:r>
                    </m:e>
                  </m:d>
                  <m:sSub>
                    <m:sSubPr>
                      <m:ctrlPr>
                        <w:rPr>
                          <w:rFonts w:ascii="Cambria Math" w:hAnsi="Cambria Math" w:cs="Times New Roman"/>
                          <w:i/>
                          <w:sz w:val="24"/>
                          <w:szCs w:val="24"/>
                        </w:rPr>
                      </m:ctrlPr>
                    </m:sSubPr>
                    <m:e>
                      <m:r>
                        <w:rPr>
                          <w:rFonts w:ascii="Cambria Math" w:hAnsi="Cambria Math" w:cs="Times New Roman"/>
                          <w:sz w:val="24"/>
                          <w:szCs w:val="24"/>
                        </w:rPr>
                        <m:t>σ</m:t>
                      </m:r>
                    </m:e>
                    <m:sub>
                      <m:r>
                        <w:rPr>
                          <w:rFonts w:ascii="Cambria Math" w:hAnsi="Cambria Math" w:cs="Times New Roman"/>
                          <w:sz w:val="24"/>
                          <w:szCs w:val="24"/>
                        </w:rPr>
                        <m:t>S</m:t>
                      </m:r>
                    </m:sub>
                  </m:sSub>
                </m:e>
              </m:d>
            </m:e>
          </m:d>
        </m:oMath>
      </m:oMathPara>
    </w:p>
    <w:p w14:paraId="75C787DE" w14:textId="77777777" w:rsidR="008C64DC" w:rsidRPr="00441091" w:rsidRDefault="008C64DC" w:rsidP="003654F1">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The achievable transaction price </w:t>
      </w:r>
      <m:oMath>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TA,t+1</m:t>
            </m:r>
          </m:sub>
        </m:sSub>
      </m:oMath>
      <w:r>
        <w:rPr>
          <w:rFonts w:ascii="Times New Roman" w:hAnsi="Times New Roman" w:cs="Times New Roman"/>
          <w:sz w:val="24"/>
          <w:szCs w:val="24"/>
        </w:rPr>
        <w:t xml:space="preserve"> </w:t>
      </w:r>
      <w:r w:rsidR="000167A5">
        <w:rPr>
          <w:rFonts w:ascii="Times New Roman" w:hAnsi="Times New Roman" w:cs="Times New Roman"/>
          <w:sz w:val="24"/>
          <w:szCs w:val="24"/>
        </w:rPr>
        <w:t xml:space="preserve">accounting for liquidity cost is </w:t>
      </w:r>
    </w:p>
    <w:p w14:paraId="02B44969" w14:textId="77777777" w:rsidR="00AA11DD" w:rsidRPr="009405CE" w:rsidRDefault="00EC34E3" w:rsidP="001F6516">
      <w:pPr>
        <w:spacing w:line="480" w:lineRule="auto"/>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TA,t+1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mid,t</m:t>
            </m:r>
          </m:sub>
        </m:sSub>
        <m:sSup>
          <m:sSupPr>
            <m:ctrlPr>
              <w:rPr>
                <w:rFonts w:ascii="Cambria Math" w:hAnsi="Cambria Math" w:cs="Times New Roman"/>
                <w:i/>
                <w:sz w:val="24"/>
                <w:szCs w:val="24"/>
              </w:rPr>
            </m:ctrlPr>
          </m:sSupPr>
          <m:e>
            <m:r>
              <w:rPr>
                <w:rFonts w:ascii="Cambria Math" w:hAnsi="Cambria Math" w:cs="Times New Roman"/>
                <w:sz w:val="24"/>
                <w:szCs w:val="24"/>
              </w:rPr>
              <m:t>e</m:t>
            </m:r>
          </m:e>
          <m:sup>
            <m:d>
              <m:dPr>
                <m:begChr m:val="["/>
                <m:endChr m:val="]"/>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μ</m:t>
                    </m:r>
                  </m:e>
                  <m:sub>
                    <m:r>
                      <w:rPr>
                        <w:rFonts w:ascii="Cambria Math" w:hAnsi="Cambria Math" w:cs="Times New Roman"/>
                        <w:sz w:val="24"/>
                        <w:szCs w:val="24"/>
                      </w:rPr>
                      <m:t>r</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z</m:t>
                    </m:r>
                  </m:e>
                  <m:sub>
                    <m:r>
                      <w:rPr>
                        <w:rFonts w:ascii="Cambria Math" w:hAnsi="Cambria Math" w:cs="Times New Roman"/>
                        <w:sz w:val="24"/>
                        <w:szCs w:val="24"/>
                      </w:rPr>
                      <m:t>α</m:t>
                    </m:r>
                  </m:sub>
                </m:sSub>
                <m:d>
                  <m:dPr>
                    <m:ctrlPr>
                      <w:rPr>
                        <w:rFonts w:ascii="Cambria Math" w:hAnsi="Cambria Math" w:cs="Times New Roman"/>
                        <w:i/>
                        <w:sz w:val="24"/>
                        <w:szCs w:val="24"/>
                      </w:rPr>
                    </m:ctrlPr>
                  </m:dPr>
                  <m:e>
                    <m:r>
                      <w:rPr>
                        <w:rFonts w:ascii="Cambria Math" w:hAnsi="Cambria Math" w:cs="Times New Roman"/>
                        <w:sz w:val="24"/>
                        <w:szCs w:val="24"/>
                      </w:rPr>
                      <m:t>r</m:t>
                    </m:r>
                  </m:e>
                </m:d>
                <m:sSub>
                  <m:sSubPr>
                    <m:ctrlPr>
                      <w:rPr>
                        <w:rFonts w:ascii="Cambria Math" w:hAnsi="Cambria Math" w:cs="Times New Roman"/>
                        <w:i/>
                        <w:sz w:val="24"/>
                        <w:szCs w:val="24"/>
                      </w:rPr>
                    </m:ctrlPr>
                  </m:sSubPr>
                  <m:e>
                    <m:r>
                      <w:rPr>
                        <w:rFonts w:ascii="Cambria Math" w:hAnsi="Cambria Math" w:cs="Times New Roman"/>
                        <w:sz w:val="24"/>
                        <w:szCs w:val="24"/>
                      </w:rPr>
                      <m:t>σ</m:t>
                    </m:r>
                  </m:e>
                  <m:sub>
                    <m:r>
                      <w:rPr>
                        <w:rFonts w:ascii="Cambria Math" w:hAnsi="Cambria Math" w:cs="Times New Roman"/>
                        <w:sz w:val="24"/>
                        <w:szCs w:val="24"/>
                      </w:rPr>
                      <m:t>r</m:t>
                    </m:r>
                  </m:sub>
                </m:sSub>
              </m:e>
            </m:d>
          </m:sup>
        </m:sSup>
        <m:r>
          <w:rPr>
            <w:rFonts w:ascii="Cambria Math" w:hAnsi="Cambria Math" w:cs="Times New Roman"/>
            <w:sz w:val="24"/>
            <w:szCs w:val="24"/>
          </w:rPr>
          <m:t>-COL=</m:t>
        </m:r>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mid,t</m:t>
            </m:r>
          </m:sub>
        </m:sSub>
        <m:sSup>
          <m:sSupPr>
            <m:ctrlPr>
              <w:rPr>
                <w:rFonts w:ascii="Cambria Math" w:hAnsi="Cambria Math" w:cs="Times New Roman"/>
                <w:i/>
                <w:sz w:val="24"/>
                <w:szCs w:val="24"/>
              </w:rPr>
            </m:ctrlPr>
          </m:sSupPr>
          <m:e>
            <m:r>
              <w:rPr>
                <w:rFonts w:ascii="Cambria Math" w:hAnsi="Cambria Math" w:cs="Times New Roman"/>
                <w:sz w:val="24"/>
                <w:szCs w:val="24"/>
              </w:rPr>
              <m:t>e</m:t>
            </m:r>
          </m:e>
          <m:sup>
            <m:d>
              <m:dPr>
                <m:begChr m:val="["/>
                <m:endChr m:val="]"/>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μ</m:t>
                    </m:r>
                  </m:e>
                  <m:sub>
                    <m:r>
                      <w:rPr>
                        <w:rFonts w:ascii="Cambria Math" w:hAnsi="Cambria Math" w:cs="Times New Roman"/>
                        <w:sz w:val="24"/>
                        <w:szCs w:val="24"/>
                      </w:rPr>
                      <m:t>r</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z</m:t>
                    </m:r>
                  </m:e>
                  <m:sub>
                    <m:r>
                      <w:rPr>
                        <w:rFonts w:ascii="Cambria Math" w:hAnsi="Cambria Math" w:cs="Times New Roman"/>
                        <w:sz w:val="24"/>
                        <w:szCs w:val="24"/>
                      </w:rPr>
                      <m:t>α</m:t>
                    </m:r>
                  </m:sub>
                </m:sSub>
                <m:d>
                  <m:dPr>
                    <m:ctrlPr>
                      <w:rPr>
                        <w:rFonts w:ascii="Cambria Math" w:hAnsi="Cambria Math" w:cs="Times New Roman"/>
                        <w:i/>
                        <w:sz w:val="24"/>
                        <w:szCs w:val="24"/>
                      </w:rPr>
                    </m:ctrlPr>
                  </m:dPr>
                  <m:e>
                    <m:r>
                      <w:rPr>
                        <w:rFonts w:ascii="Cambria Math" w:hAnsi="Cambria Math" w:cs="Times New Roman"/>
                        <w:sz w:val="24"/>
                        <w:szCs w:val="24"/>
                      </w:rPr>
                      <m:t>r</m:t>
                    </m:r>
                  </m:e>
                </m:d>
                <m:sSub>
                  <m:sSubPr>
                    <m:ctrlPr>
                      <w:rPr>
                        <w:rFonts w:ascii="Cambria Math" w:hAnsi="Cambria Math" w:cs="Times New Roman"/>
                        <w:i/>
                        <w:sz w:val="24"/>
                        <w:szCs w:val="24"/>
                      </w:rPr>
                    </m:ctrlPr>
                  </m:sSubPr>
                  <m:e>
                    <m:r>
                      <w:rPr>
                        <w:rFonts w:ascii="Cambria Math" w:hAnsi="Cambria Math" w:cs="Times New Roman"/>
                        <w:sz w:val="24"/>
                        <w:szCs w:val="24"/>
                      </w:rPr>
                      <m:t>σ</m:t>
                    </m:r>
                  </m:e>
                  <m:sub>
                    <m:r>
                      <w:rPr>
                        <w:rFonts w:ascii="Cambria Math" w:hAnsi="Cambria Math" w:cs="Times New Roman"/>
                        <w:sz w:val="24"/>
                        <w:szCs w:val="24"/>
                      </w:rPr>
                      <m:t>r</m:t>
                    </m:r>
                  </m:sub>
                </m:sSub>
              </m:e>
            </m:d>
          </m:sup>
        </m:sSup>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2</m:t>
            </m:r>
          </m:den>
        </m:f>
        <m:d>
          <m:dPr>
            <m:begChr m:val="["/>
            <m:endChr m:val="]"/>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mid,t</m:t>
                </m:r>
              </m:sub>
            </m:sSub>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μ</m:t>
                    </m:r>
                  </m:e>
                  <m:sub>
                    <m:r>
                      <w:rPr>
                        <w:rFonts w:ascii="Cambria Math" w:hAnsi="Cambria Math" w:cs="Times New Roman"/>
                        <w:sz w:val="24"/>
                        <w:szCs w:val="24"/>
                      </w:rPr>
                      <m:t>S</m:t>
                    </m:r>
                  </m:sub>
                </m:sSub>
                <m:r>
                  <w:rPr>
                    <w:rFonts w:ascii="Cambria Math" w:hAnsi="Cambria Math" w:cs="Times New Roman"/>
                    <w:sz w:val="24"/>
                    <w:szCs w:val="24"/>
                  </w:rPr>
                  <m:t>+</m:t>
                </m:r>
                <m:sSub>
                  <m:sSubPr>
                    <m:ctrlPr>
                      <w:rPr>
                        <w:rFonts w:ascii="Cambria Math" w:hAnsi="Cambria Math" w:cs="Times New Roman"/>
                        <w:i/>
                        <w:sz w:val="24"/>
                        <w:szCs w:val="24"/>
                      </w:rPr>
                    </m:ctrlPr>
                  </m:sSubPr>
                  <m:e>
                    <m:acc>
                      <m:accPr>
                        <m:ctrlPr>
                          <w:rPr>
                            <w:rFonts w:ascii="Cambria Math" w:hAnsi="Cambria Math" w:cs="Times New Roman"/>
                            <w:i/>
                            <w:sz w:val="24"/>
                            <w:szCs w:val="24"/>
                          </w:rPr>
                        </m:ctrlPr>
                      </m:accPr>
                      <m:e>
                        <m:r>
                          <w:rPr>
                            <w:rFonts w:ascii="Cambria Math" w:hAnsi="Cambria Math" w:cs="Times New Roman"/>
                            <w:sz w:val="24"/>
                            <w:szCs w:val="24"/>
                          </w:rPr>
                          <m:t>z</m:t>
                        </m:r>
                      </m:e>
                    </m:acc>
                  </m:e>
                  <m:sub>
                    <m:r>
                      <w:rPr>
                        <w:rFonts w:ascii="Cambria Math" w:hAnsi="Cambria Math" w:cs="Times New Roman"/>
                        <w:sz w:val="24"/>
                        <w:szCs w:val="24"/>
                      </w:rPr>
                      <m:t>α</m:t>
                    </m:r>
                  </m:sub>
                </m:sSub>
                <m:d>
                  <m:dPr>
                    <m:ctrlPr>
                      <w:rPr>
                        <w:rFonts w:ascii="Cambria Math" w:hAnsi="Cambria Math" w:cs="Times New Roman"/>
                        <w:i/>
                        <w:sz w:val="24"/>
                        <w:szCs w:val="24"/>
                      </w:rPr>
                    </m:ctrlPr>
                  </m:dPr>
                  <m:e>
                    <m:r>
                      <w:rPr>
                        <w:rFonts w:ascii="Cambria Math" w:hAnsi="Cambria Math" w:cs="Times New Roman"/>
                        <w:sz w:val="24"/>
                        <w:szCs w:val="24"/>
                      </w:rPr>
                      <m:t>S</m:t>
                    </m:r>
                  </m:e>
                </m:d>
                <m:sSub>
                  <m:sSubPr>
                    <m:ctrlPr>
                      <w:rPr>
                        <w:rFonts w:ascii="Cambria Math" w:hAnsi="Cambria Math" w:cs="Times New Roman"/>
                        <w:i/>
                        <w:sz w:val="24"/>
                        <w:szCs w:val="24"/>
                      </w:rPr>
                    </m:ctrlPr>
                  </m:sSubPr>
                  <m:e>
                    <m:r>
                      <w:rPr>
                        <w:rFonts w:ascii="Cambria Math" w:hAnsi="Cambria Math" w:cs="Times New Roman"/>
                        <w:sz w:val="24"/>
                        <w:szCs w:val="24"/>
                      </w:rPr>
                      <m:t>σ</m:t>
                    </m:r>
                  </m:e>
                  <m:sub>
                    <m:r>
                      <w:rPr>
                        <w:rFonts w:ascii="Cambria Math" w:hAnsi="Cambria Math" w:cs="Times New Roman"/>
                        <w:sz w:val="24"/>
                        <w:szCs w:val="24"/>
                      </w:rPr>
                      <m:t>S</m:t>
                    </m:r>
                  </m:sub>
                </m:sSub>
              </m:e>
            </m:d>
          </m:e>
        </m:d>
      </m:oMath>
      <w:r w:rsidR="00AA11DD">
        <w:rPr>
          <w:rFonts w:ascii="Times New Roman" w:hAnsi="Times New Roman" w:cs="Times New Roman"/>
          <w:sz w:val="24"/>
          <w:szCs w:val="24"/>
        </w:rPr>
        <w:t xml:space="preserve"> </w:t>
      </w:r>
    </w:p>
    <w:p w14:paraId="5970FB10" w14:textId="77777777" w:rsidR="00AA11DD" w:rsidRPr="001F6516" w:rsidRDefault="00EC34E3" w:rsidP="00AA11DD">
      <w:pPr>
        <w:spacing w:line="480" w:lineRule="auto"/>
        <w:jc w:val="both"/>
        <w:rPr>
          <w:rFonts w:ascii="Times New Roman" w:hAnsi="Times New Roman" w:cs="Times New Roman"/>
          <w:sz w:val="24"/>
          <w:szCs w:val="24"/>
        </w:rPr>
      </w:pPr>
      <m:oMathPara>
        <m:oMathParaPr>
          <m:jc m:val="left"/>
        </m:oMathParaPr>
        <m:oMath>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TA,t+1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mid,t</m:t>
              </m:r>
            </m:sub>
          </m:sSub>
          <m:d>
            <m:dPr>
              <m:ctrlPr>
                <w:rPr>
                  <w:rFonts w:ascii="Cambria Math" w:hAnsi="Cambria Math" w:cs="Times New Roman"/>
                  <w:i/>
                  <w:sz w:val="24"/>
                  <w:szCs w:val="24"/>
                </w:rPr>
              </m:ctrlPr>
            </m:dPr>
            <m:e>
              <m:sSup>
                <m:sSupPr>
                  <m:ctrlPr>
                    <w:rPr>
                      <w:rFonts w:ascii="Cambria Math" w:hAnsi="Cambria Math" w:cs="Times New Roman"/>
                      <w:i/>
                      <w:sz w:val="24"/>
                      <w:szCs w:val="24"/>
                    </w:rPr>
                  </m:ctrlPr>
                </m:sSupPr>
                <m:e>
                  <m:r>
                    <w:rPr>
                      <w:rFonts w:ascii="Cambria Math" w:hAnsi="Cambria Math" w:cs="Times New Roman"/>
                      <w:sz w:val="24"/>
                      <w:szCs w:val="24"/>
                    </w:rPr>
                    <m:t>e</m:t>
                  </m:r>
                </m:e>
                <m:sup>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t+1</m:t>
                      </m:r>
                    </m:sub>
                  </m:sSub>
                </m:sup>
              </m:sSup>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2</m:t>
                  </m:r>
                </m:den>
              </m:f>
              <m:sSub>
                <m:sSubPr>
                  <m:ctrlPr>
                    <w:rPr>
                      <w:rFonts w:ascii="Cambria Math" w:hAnsi="Cambria Math" w:cs="Times New Roman"/>
                      <w:i/>
                      <w:sz w:val="24"/>
                      <w:szCs w:val="24"/>
                    </w:rPr>
                  </m:ctrlPr>
                </m:sSubPr>
                <m:e>
                  <m:sSup>
                    <m:sSupPr>
                      <m:ctrlPr>
                        <w:rPr>
                          <w:rFonts w:ascii="Cambria Math" w:hAnsi="Cambria Math" w:cs="Times New Roman"/>
                          <w:i/>
                          <w:sz w:val="24"/>
                          <w:szCs w:val="24"/>
                        </w:rPr>
                      </m:ctrlPr>
                    </m:sSupPr>
                    <m:e>
                      <m:r>
                        <w:rPr>
                          <w:rFonts w:ascii="Cambria Math" w:hAnsi="Cambria Math" w:cs="Times New Roman"/>
                          <w:sz w:val="24"/>
                          <w:szCs w:val="24"/>
                        </w:rPr>
                        <m:t>e</m:t>
                      </m:r>
                    </m:e>
                    <m:sup>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t+1</m:t>
                          </m:r>
                        </m:sub>
                      </m:sSub>
                    </m:sup>
                  </m:sSup>
                  <m:r>
                    <w:rPr>
                      <w:rFonts w:ascii="Cambria Math" w:hAnsi="Cambria Math" w:cs="Times New Roman"/>
                      <w:sz w:val="24"/>
                      <w:szCs w:val="24"/>
                    </w:rPr>
                    <m:t>S</m:t>
                  </m:r>
                </m:e>
                <m:sub>
                  <m:r>
                    <w:rPr>
                      <w:rFonts w:ascii="Cambria Math" w:hAnsi="Cambria Math" w:cs="Times New Roman"/>
                      <w:sz w:val="24"/>
                      <w:szCs w:val="24"/>
                    </w:rPr>
                    <m:t>t+1</m:t>
                  </m:r>
                </m:sub>
              </m:sSub>
            </m:e>
          </m:d>
        </m:oMath>
      </m:oMathPara>
    </w:p>
    <w:p w14:paraId="5E5C7E50" w14:textId="77777777" w:rsidR="00515475" w:rsidRDefault="00515475" w:rsidP="003654F1">
      <w:pPr>
        <w:spacing w:line="480" w:lineRule="auto"/>
        <w:jc w:val="both"/>
        <w:rPr>
          <w:rFonts w:ascii="Times New Roman" w:hAnsi="Times New Roman" w:cs="Times New Roman"/>
          <w:sz w:val="24"/>
          <w:szCs w:val="24"/>
        </w:rPr>
      </w:pPr>
      <w:r>
        <w:rPr>
          <w:rFonts w:ascii="Times New Roman" w:hAnsi="Times New Roman" w:cs="Times New Roman"/>
          <w:sz w:val="24"/>
          <w:szCs w:val="24"/>
        </w:rPr>
        <w:t>Where</w:t>
      </w:r>
    </w:p>
    <w:p w14:paraId="1D66AA51" w14:textId="77777777" w:rsidR="00AA11DD" w:rsidRPr="001F6516" w:rsidRDefault="00EC34E3" w:rsidP="00AA11DD">
      <w:pPr>
        <w:spacing w:line="480" w:lineRule="auto"/>
        <w:jc w:val="both"/>
        <w:rPr>
          <w:rFonts w:ascii="Times New Roman" w:hAnsi="Times New Roman" w:cs="Times New Roman"/>
          <w:sz w:val="24"/>
          <w:szCs w:val="24"/>
        </w:rPr>
      </w:pPr>
      <m:oMathPara>
        <m:oMathParaPr>
          <m:jc m:val="left"/>
        </m:oMathParaPr>
        <m:oMath>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t+1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μ</m:t>
              </m:r>
            </m:e>
            <m:sub>
              <m:r>
                <w:rPr>
                  <w:rFonts w:ascii="Cambria Math" w:hAnsi="Cambria Math" w:cs="Times New Roman"/>
                  <w:sz w:val="24"/>
                  <w:szCs w:val="24"/>
                </w:rPr>
                <m:t>r</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z</m:t>
              </m:r>
            </m:e>
            <m:sub>
              <m:r>
                <w:rPr>
                  <w:rFonts w:ascii="Cambria Math" w:hAnsi="Cambria Math" w:cs="Times New Roman"/>
                  <w:sz w:val="24"/>
                  <w:szCs w:val="24"/>
                </w:rPr>
                <m:t>α</m:t>
              </m:r>
            </m:sub>
          </m:sSub>
          <m:d>
            <m:dPr>
              <m:ctrlPr>
                <w:rPr>
                  <w:rFonts w:ascii="Cambria Math" w:hAnsi="Cambria Math" w:cs="Times New Roman"/>
                  <w:i/>
                  <w:sz w:val="24"/>
                  <w:szCs w:val="24"/>
                </w:rPr>
              </m:ctrlPr>
            </m:dPr>
            <m:e>
              <m:r>
                <w:rPr>
                  <w:rFonts w:ascii="Cambria Math" w:hAnsi="Cambria Math" w:cs="Times New Roman"/>
                  <w:sz w:val="24"/>
                  <w:szCs w:val="24"/>
                </w:rPr>
                <m:t>r</m:t>
              </m:r>
            </m:e>
          </m:d>
          <m:sSub>
            <m:sSubPr>
              <m:ctrlPr>
                <w:rPr>
                  <w:rFonts w:ascii="Cambria Math" w:hAnsi="Cambria Math" w:cs="Times New Roman"/>
                  <w:i/>
                  <w:sz w:val="24"/>
                  <w:szCs w:val="24"/>
                </w:rPr>
              </m:ctrlPr>
            </m:sSubPr>
            <m:e>
              <m:r>
                <w:rPr>
                  <w:rFonts w:ascii="Cambria Math" w:hAnsi="Cambria Math" w:cs="Times New Roman"/>
                  <w:sz w:val="24"/>
                  <w:szCs w:val="24"/>
                </w:rPr>
                <m:t>σ</m:t>
              </m:r>
            </m:e>
            <m:sub>
              <m:r>
                <w:rPr>
                  <w:rFonts w:ascii="Cambria Math" w:hAnsi="Cambria Math" w:cs="Times New Roman"/>
                  <w:sz w:val="24"/>
                  <w:szCs w:val="24"/>
                </w:rPr>
                <m:t>r</m:t>
              </m:r>
            </m:sub>
          </m:sSub>
        </m:oMath>
      </m:oMathPara>
    </w:p>
    <w:p w14:paraId="06A0A472" w14:textId="77777777" w:rsidR="00AA11DD" w:rsidRPr="001F6516" w:rsidRDefault="00EC34E3" w:rsidP="00AA11DD">
      <w:pPr>
        <w:spacing w:line="480" w:lineRule="auto"/>
        <w:jc w:val="both"/>
        <w:rPr>
          <w:rFonts w:ascii="Times New Roman" w:hAnsi="Times New Roman" w:cs="Times New Roman"/>
          <w:sz w:val="24"/>
          <w:szCs w:val="24"/>
        </w:rPr>
      </w:pPr>
      <m:oMathPara>
        <m:oMathParaPr>
          <m:jc m:val="left"/>
        </m:oMathParaPr>
        <m:oMath>
          <m:sSub>
            <m:sSubPr>
              <m:ctrlPr>
                <w:rPr>
                  <w:rFonts w:ascii="Cambria Math" w:hAnsi="Cambria Math" w:cs="Times New Roman"/>
                  <w:i/>
                  <w:sz w:val="24"/>
                  <w:szCs w:val="24"/>
                </w:rPr>
              </m:ctrlPr>
            </m:sSubPr>
            <m:e>
              <m:r>
                <w:rPr>
                  <w:rFonts w:ascii="Cambria Math" w:hAnsi="Cambria Math" w:cs="Times New Roman"/>
                  <w:sz w:val="24"/>
                  <w:szCs w:val="24"/>
                </w:rPr>
                <m:t>S</m:t>
              </m:r>
            </m:e>
            <m:sub>
              <m:r>
                <w:rPr>
                  <w:rFonts w:ascii="Cambria Math" w:hAnsi="Cambria Math" w:cs="Times New Roman"/>
                  <w:sz w:val="24"/>
                  <w:szCs w:val="24"/>
                </w:rPr>
                <m:t>t+1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μ</m:t>
              </m:r>
            </m:e>
            <m:sub>
              <m:r>
                <w:rPr>
                  <w:rFonts w:ascii="Cambria Math" w:hAnsi="Cambria Math" w:cs="Times New Roman"/>
                  <w:sz w:val="24"/>
                  <w:szCs w:val="24"/>
                </w:rPr>
                <m:t>S</m:t>
              </m:r>
            </m:sub>
          </m:sSub>
          <m:r>
            <w:rPr>
              <w:rFonts w:ascii="Cambria Math" w:hAnsi="Cambria Math" w:cs="Times New Roman"/>
              <w:sz w:val="24"/>
              <w:szCs w:val="24"/>
            </w:rPr>
            <m:t>+</m:t>
          </m:r>
          <m:sSub>
            <m:sSubPr>
              <m:ctrlPr>
                <w:rPr>
                  <w:rFonts w:ascii="Cambria Math" w:hAnsi="Cambria Math" w:cs="Times New Roman"/>
                  <w:i/>
                  <w:sz w:val="24"/>
                  <w:szCs w:val="24"/>
                </w:rPr>
              </m:ctrlPr>
            </m:sSubPr>
            <m:e>
              <m:acc>
                <m:accPr>
                  <m:ctrlPr>
                    <w:rPr>
                      <w:rFonts w:ascii="Cambria Math" w:hAnsi="Cambria Math" w:cs="Times New Roman"/>
                      <w:i/>
                      <w:sz w:val="24"/>
                      <w:szCs w:val="24"/>
                    </w:rPr>
                  </m:ctrlPr>
                </m:accPr>
                <m:e>
                  <m:r>
                    <w:rPr>
                      <w:rFonts w:ascii="Cambria Math" w:hAnsi="Cambria Math" w:cs="Times New Roman"/>
                      <w:sz w:val="24"/>
                      <w:szCs w:val="24"/>
                    </w:rPr>
                    <m:t>z</m:t>
                  </m:r>
                </m:e>
              </m:acc>
            </m:e>
            <m:sub>
              <m:r>
                <w:rPr>
                  <w:rFonts w:ascii="Cambria Math" w:hAnsi="Cambria Math" w:cs="Times New Roman"/>
                  <w:sz w:val="24"/>
                  <w:szCs w:val="24"/>
                </w:rPr>
                <m:t>α</m:t>
              </m:r>
            </m:sub>
          </m:sSub>
          <m:d>
            <m:dPr>
              <m:ctrlPr>
                <w:rPr>
                  <w:rFonts w:ascii="Cambria Math" w:hAnsi="Cambria Math" w:cs="Times New Roman"/>
                  <w:i/>
                  <w:sz w:val="24"/>
                  <w:szCs w:val="24"/>
                </w:rPr>
              </m:ctrlPr>
            </m:dPr>
            <m:e>
              <m:r>
                <w:rPr>
                  <w:rFonts w:ascii="Cambria Math" w:hAnsi="Cambria Math" w:cs="Times New Roman"/>
                  <w:sz w:val="24"/>
                  <w:szCs w:val="24"/>
                </w:rPr>
                <m:t>S</m:t>
              </m:r>
            </m:e>
          </m:d>
          <m:sSub>
            <m:sSubPr>
              <m:ctrlPr>
                <w:rPr>
                  <w:rFonts w:ascii="Cambria Math" w:hAnsi="Cambria Math" w:cs="Times New Roman"/>
                  <w:i/>
                  <w:sz w:val="24"/>
                  <w:szCs w:val="24"/>
                </w:rPr>
              </m:ctrlPr>
            </m:sSubPr>
            <m:e>
              <m:r>
                <w:rPr>
                  <w:rFonts w:ascii="Cambria Math" w:hAnsi="Cambria Math" w:cs="Times New Roman"/>
                  <w:sz w:val="24"/>
                  <w:szCs w:val="24"/>
                </w:rPr>
                <m:t>σ</m:t>
              </m:r>
            </m:e>
            <m:sub>
              <m:r>
                <w:rPr>
                  <w:rFonts w:ascii="Cambria Math" w:hAnsi="Cambria Math" w:cs="Times New Roman"/>
                  <w:sz w:val="24"/>
                  <w:szCs w:val="24"/>
                </w:rPr>
                <m:t>S</m:t>
              </m:r>
            </m:sub>
          </m:sSub>
        </m:oMath>
      </m:oMathPara>
    </w:p>
    <w:p w14:paraId="5BD153AC" w14:textId="77777777" w:rsidR="00515475" w:rsidRPr="00C918C6" w:rsidRDefault="00515475" w:rsidP="00515475">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Applying the simplification that </w:t>
      </w:r>
      <m:oMath>
        <m:sSup>
          <m:sSupPr>
            <m:ctrlPr>
              <w:rPr>
                <w:rFonts w:ascii="Cambria Math" w:hAnsi="Cambria Math" w:cs="Times New Roman"/>
                <w:i/>
                <w:sz w:val="24"/>
                <w:szCs w:val="24"/>
              </w:rPr>
            </m:ctrlPr>
          </m:sSupPr>
          <m:e>
            <m:r>
              <w:rPr>
                <w:rFonts w:ascii="Cambria Math" w:hAnsi="Cambria Math" w:cs="Times New Roman"/>
                <w:sz w:val="24"/>
                <w:szCs w:val="24"/>
              </w:rPr>
              <m:t>e</m:t>
            </m:r>
          </m:e>
          <m:sup>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t+1</m:t>
                </m:r>
              </m:sub>
            </m:sSub>
          </m:sup>
        </m:sSup>
      </m:oMath>
      <w:r>
        <w:rPr>
          <w:rFonts w:ascii="Times New Roman" w:hAnsi="Times New Roman" w:cs="Times New Roman"/>
          <w:sz w:val="24"/>
          <w:szCs w:val="24"/>
        </w:rPr>
        <w:t xml:space="preserve"> is almost equal to 1, the price is</w:t>
      </w:r>
    </w:p>
    <w:p w14:paraId="0883D869" w14:textId="77777777" w:rsidR="00AA11DD" w:rsidRPr="001F6516" w:rsidRDefault="00EC34E3" w:rsidP="00AA11DD">
      <w:pPr>
        <w:spacing w:line="480" w:lineRule="auto"/>
        <w:jc w:val="both"/>
        <w:rPr>
          <w:rFonts w:ascii="Times New Roman" w:hAnsi="Times New Roman" w:cs="Times New Roman"/>
          <w:sz w:val="24"/>
          <w:szCs w:val="24"/>
        </w:rPr>
      </w:pPr>
      <m:oMathPara>
        <m:oMathParaPr>
          <m:jc m:val="left"/>
        </m:oMathParaPr>
        <m:oMath>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TA,t+1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mid,t</m:t>
              </m:r>
            </m:sub>
          </m:sSub>
          <m:d>
            <m:dPr>
              <m:ctrlPr>
                <w:rPr>
                  <w:rFonts w:ascii="Cambria Math" w:hAnsi="Cambria Math" w:cs="Times New Roman"/>
                  <w:i/>
                  <w:sz w:val="24"/>
                  <w:szCs w:val="24"/>
                </w:rPr>
              </m:ctrlPr>
            </m:dPr>
            <m:e>
              <m:sSup>
                <m:sSupPr>
                  <m:ctrlPr>
                    <w:rPr>
                      <w:rFonts w:ascii="Cambria Math" w:hAnsi="Cambria Math" w:cs="Times New Roman"/>
                      <w:i/>
                      <w:sz w:val="24"/>
                      <w:szCs w:val="24"/>
                    </w:rPr>
                  </m:ctrlPr>
                </m:sSupPr>
                <m:e>
                  <m:r>
                    <w:rPr>
                      <w:rFonts w:ascii="Cambria Math" w:hAnsi="Cambria Math" w:cs="Times New Roman"/>
                      <w:sz w:val="24"/>
                      <w:szCs w:val="24"/>
                    </w:rPr>
                    <m:t>e</m:t>
                  </m:r>
                </m:e>
                <m:sup>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t+1</m:t>
                      </m:r>
                    </m:sub>
                  </m:sSub>
                </m:sup>
              </m:sSup>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2</m:t>
                  </m:r>
                </m:den>
              </m:f>
              <m:sSub>
                <m:sSubPr>
                  <m:ctrlPr>
                    <w:rPr>
                      <w:rFonts w:ascii="Cambria Math" w:hAnsi="Cambria Math" w:cs="Times New Roman"/>
                      <w:i/>
                      <w:sz w:val="24"/>
                      <w:szCs w:val="24"/>
                    </w:rPr>
                  </m:ctrlPr>
                </m:sSubPr>
                <m:e>
                  <m:r>
                    <w:rPr>
                      <w:rFonts w:ascii="Cambria Math" w:hAnsi="Cambria Math" w:cs="Times New Roman"/>
                      <w:sz w:val="24"/>
                      <w:szCs w:val="24"/>
                    </w:rPr>
                    <m:t>S</m:t>
                  </m:r>
                </m:e>
                <m:sub>
                  <m:r>
                    <w:rPr>
                      <w:rFonts w:ascii="Cambria Math" w:hAnsi="Cambria Math" w:cs="Times New Roman"/>
                      <w:sz w:val="24"/>
                      <w:szCs w:val="24"/>
                    </w:rPr>
                    <m:t>t+1</m:t>
                  </m:r>
                </m:sub>
              </m:sSub>
            </m:e>
          </m:d>
        </m:oMath>
      </m:oMathPara>
    </w:p>
    <w:p w14:paraId="4511EF57" w14:textId="77777777" w:rsidR="00515475" w:rsidRPr="00515475" w:rsidRDefault="00515475" w:rsidP="003654F1">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The relative Liquidity-adjusted VaR measure </w:t>
      </w:r>
      <w:r w:rsidR="00AE5A18">
        <w:rPr>
          <w:rFonts w:ascii="Times New Roman" w:hAnsi="Times New Roman" w:cs="Times New Roman"/>
          <w:sz w:val="24"/>
          <w:szCs w:val="24"/>
        </w:rPr>
        <w:t xml:space="preserve">(assuming a normal distribution with mean </w:t>
      </w:r>
      <m:oMath>
        <m:sSub>
          <m:sSubPr>
            <m:ctrlPr>
              <w:rPr>
                <w:rFonts w:ascii="Cambria Math" w:hAnsi="Cambria Math" w:cs="Times New Roman"/>
                <w:i/>
                <w:sz w:val="24"/>
                <w:szCs w:val="24"/>
              </w:rPr>
            </m:ctrlPr>
          </m:sSubPr>
          <m:e>
            <m:r>
              <w:rPr>
                <w:rFonts w:ascii="Cambria Math" w:hAnsi="Cambria Math" w:cs="Times New Roman"/>
                <w:sz w:val="24"/>
                <w:szCs w:val="24"/>
              </w:rPr>
              <m:t>μ</m:t>
            </m:r>
          </m:e>
          <m:sub>
            <m:r>
              <w:rPr>
                <w:rFonts w:ascii="Cambria Math" w:hAnsi="Cambria Math" w:cs="Times New Roman"/>
                <w:sz w:val="24"/>
                <w:szCs w:val="24"/>
              </w:rPr>
              <m:t>r</m:t>
            </m:r>
          </m:sub>
        </m:sSub>
      </m:oMath>
      <w:r w:rsidR="00AE5A18">
        <w:rPr>
          <w:rFonts w:ascii="Times New Roman" w:hAnsi="Times New Roman" w:cs="Times New Roman"/>
          <w:sz w:val="24"/>
          <w:szCs w:val="24"/>
        </w:rPr>
        <w:t xml:space="preserve"> as zero) </w:t>
      </w:r>
      <w:r>
        <w:rPr>
          <w:rFonts w:ascii="Times New Roman" w:hAnsi="Times New Roman" w:cs="Times New Roman"/>
          <w:sz w:val="24"/>
          <w:szCs w:val="24"/>
        </w:rPr>
        <w:t>according to Bangia et al. (2002)</w:t>
      </w:r>
      <w:r w:rsidR="00AE5A18">
        <w:rPr>
          <w:rFonts w:ascii="Times New Roman" w:hAnsi="Times New Roman" w:cs="Times New Roman"/>
          <w:sz w:val="24"/>
          <w:szCs w:val="24"/>
        </w:rPr>
        <w:t xml:space="preserve"> is  </w:t>
      </w:r>
    </w:p>
    <w:p w14:paraId="5C17A31D" w14:textId="77777777" w:rsidR="00AA11DD" w:rsidRPr="001F6516" w:rsidRDefault="00C918C6" w:rsidP="00AA11DD">
      <w:pPr>
        <w:spacing w:line="480" w:lineRule="auto"/>
        <w:jc w:val="both"/>
        <w:rPr>
          <w:rFonts w:ascii="Times New Roman" w:hAnsi="Times New Roman" w:cs="Times New Roman"/>
          <w:sz w:val="24"/>
          <w:szCs w:val="24"/>
        </w:rPr>
      </w:pPr>
      <m:oMathPara>
        <m:oMathParaPr>
          <m:jc m:val="left"/>
        </m:oMathParaPr>
        <m:oMath>
          <m:r>
            <w:rPr>
              <w:rFonts w:ascii="Cambria Math" w:hAnsi="Cambria Math" w:cs="Times New Roman"/>
              <w:sz w:val="24"/>
              <w:szCs w:val="24"/>
            </w:rPr>
            <m:t>LVaR=</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mid,t</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TA,t+1</m:t>
                  </m:r>
                </m:sub>
              </m:sSub>
            </m:num>
            <m:den>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mid,t</m:t>
                  </m:r>
                </m:sub>
              </m:sSub>
            </m:den>
          </m:f>
        </m:oMath>
      </m:oMathPara>
    </w:p>
    <w:p w14:paraId="11D96675" w14:textId="77777777" w:rsidR="00AA11DD" w:rsidRPr="001F6516" w:rsidRDefault="00C918C6" w:rsidP="00AA11DD">
      <w:pPr>
        <w:spacing w:line="480" w:lineRule="auto"/>
        <w:jc w:val="both"/>
        <w:rPr>
          <w:rFonts w:ascii="Times New Roman" w:hAnsi="Times New Roman" w:cs="Times New Roman"/>
          <w:sz w:val="24"/>
          <w:szCs w:val="24"/>
        </w:rPr>
      </w:pPr>
      <m:oMathPara>
        <m:oMathParaPr>
          <m:jc m:val="left"/>
        </m:oMathParaPr>
        <m:oMath>
          <m:r>
            <w:rPr>
              <w:rFonts w:ascii="Cambria Math" w:hAnsi="Cambria Math" w:cs="Times New Roman"/>
              <w:sz w:val="24"/>
              <w:szCs w:val="24"/>
            </w:rPr>
            <m:t>LVaR=</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mid,t</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mid,t</m:t>
                  </m:r>
                </m:sub>
              </m:sSub>
              <m:sSup>
                <m:sSupPr>
                  <m:ctrlPr>
                    <w:rPr>
                      <w:rFonts w:ascii="Cambria Math" w:hAnsi="Cambria Math" w:cs="Times New Roman"/>
                      <w:i/>
                      <w:sz w:val="24"/>
                      <w:szCs w:val="24"/>
                    </w:rPr>
                  </m:ctrlPr>
                </m:sSupPr>
                <m:e>
                  <m:r>
                    <w:rPr>
                      <w:rFonts w:ascii="Cambria Math" w:hAnsi="Cambria Math" w:cs="Times New Roman"/>
                      <w:sz w:val="24"/>
                      <w:szCs w:val="24"/>
                    </w:rPr>
                    <m:t>e</m:t>
                  </m:r>
                </m:e>
                <m:sup>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t+1</m:t>
                      </m:r>
                    </m:sub>
                  </m:sSub>
                </m:sup>
              </m:sSup>
              <m:d>
                <m:dPr>
                  <m:ctrlPr>
                    <w:rPr>
                      <w:rFonts w:ascii="Cambria Math" w:hAnsi="Cambria Math" w:cs="Times New Roman"/>
                      <w:i/>
                      <w:sz w:val="24"/>
                      <w:szCs w:val="24"/>
                    </w:rPr>
                  </m:ctrlPr>
                </m:dPr>
                <m:e>
                  <m:r>
                    <w:rPr>
                      <w:rFonts w:ascii="Cambria Math" w:hAnsi="Cambria Math" w:cs="Times New Roman"/>
                      <w:sz w:val="24"/>
                      <w:szCs w:val="24"/>
                    </w:rPr>
                    <m:t>1-</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2</m:t>
                      </m:r>
                    </m:den>
                  </m:f>
                  <m:sSub>
                    <m:sSubPr>
                      <m:ctrlPr>
                        <w:rPr>
                          <w:rFonts w:ascii="Cambria Math" w:hAnsi="Cambria Math" w:cs="Times New Roman"/>
                          <w:i/>
                          <w:sz w:val="24"/>
                          <w:szCs w:val="24"/>
                        </w:rPr>
                      </m:ctrlPr>
                    </m:sSubPr>
                    <m:e>
                      <m:r>
                        <w:rPr>
                          <w:rFonts w:ascii="Cambria Math" w:hAnsi="Cambria Math" w:cs="Times New Roman"/>
                          <w:sz w:val="24"/>
                          <w:szCs w:val="24"/>
                        </w:rPr>
                        <m:t>S</m:t>
                      </m:r>
                    </m:e>
                    <m:sub>
                      <m:r>
                        <w:rPr>
                          <w:rFonts w:ascii="Cambria Math" w:hAnsi="Cambria Math" w:cs="Times New Roman"/>
                          <w:sz w:val="24"/>
                          <w:szCs w:val="24"/>
                        </w:rPr>
                        <m:t>t+1</m:t>
                      </m:r>
                    </m:sub>
                  </m:sSub>
                </m:e>
              </m:d>
            </m:num>
            <m:den>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mid,t</m:t>
                  </m:r>
                </m:sub>
              </m:sSub>
            </m:den>
          </m:f>
        </m:oMath>
      </m:oMathPara>
    </w:p>
    <w:p w14:paraId="5C3C3E97" w14:textId="77777777" w:rsidR="00C918C6" w:rsidRPr="001F6516" w:rsidRDefault="00C918C6" w:rsidP="003654F1">
      <w:pPr>
        <w:spacing w:line="480" w:lineRule="auto"/>
        <w:jc w:val="both"/>
        <w:rPr>
          <w:rFonts w:ascii="Times New Roman" w:hAnsi="Times New Roman" w:cs="Times New Roman"/>
          <w:sz w:val="24"/>
          <w:szCs w:val="24"/>
        </w:rPr>
      </w:pPr>
      <m:oMathPara>
        <m:oMathParaPr>
          <m:jc m:val="left"/>
        </m:oMathParaPr>
        <m:oMath>
          <m:r>
            <w:rPr>
              <w:rFonts w:ascii="Cambria Math" w:hAnsi="Cambria Math" w:cs="Times New Roman"/>
              <w:sz w:val="24"/>
              <w:szCs w:val="24"/>
            </w:rPr>
            <m:t>LVaR=1-</m:t>
          </m:r>
          <m:sSup>
            <m:sSupPr>
              <m:ctrlPr>
                <w:rPr>
                  <w:rFonts w:ascii="Cambria Math" w:hAnsi="Cambria Math" w:cs="Times New Roman"/>
                  <w:i/>
                  <w:sz w:val="24"/>
                  <w:szCs w:val="24"/>
                </w:rPr>
              </m:ctrlPr>
            </m:sSupPr>
            <m:e>
              <m:r>
                <w:rPr>
                  <w:rFonts w:ascii="Cambria Math" w:hAnsi="Cambria Math" w:cs="Times New Roman"/>
                  <w:sz w:val="24"/>
                  <w:szCs w:val="24"/>
                </w:rPr>
                <m:t>e</m:t>
              </m:r>
            </m:e>
            <m:sup>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t+1</m:t>
                  </m:r>
                </m:sub>
              </m:sSub>
            </m:sup>
          </m:sSup>
          <m:d>
            <m:dPr>
              <m:ctrlPr>
                <w:rPr>
                  <w:rFonts w:ascii="Cambria Math" w:hAnsi="Cambria Math" w:cs="Times New Roman"/>
                  <w:i/>
                  <w:sz w:val="24"/>
                  <w:szCs w:val="24"/>
                </w:rPr>
              </m:ctrlPr>
            </m:dPr>
            <m:e>
              <m:r>
                <w:rPr>
                  <w:rFonts w:ascii="Cambria Math" w:hAnsi="Cambria Math" w:cs="Times New Roman"/>
                  <w:sz w:val="24"/>
                  <w:szCs w:val="24"/>
                </w:rPr>
                <m:t>1-</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2</m:t>
                  </m:r>
                </m:den>
              </m:f>
              <m:sSub>
                <m:sSubPr>
                  <m:ctrlPr>
                    <w:rPr>
                      <w:rFonts w:ascii="Cambria Math" w:hAnsi="Cambria Math" w:cs="Times New Roman"/>
                      <w:i/>
                      <w:sz w:val="24"/>
                      <w:szCs w:val="24"/>
                    </w:rPr>
                  </m:ctrlPr>
                </m:sSubPr>
                <m:e>
                  <m:r>
                    <w:rPr>
                      <w:rFonts w:ascii="Cambria Math" w:hAnsi="Cambria Math" w:cs="Times New Roman"/>
                      <w:sz w:val="24"/>
                      <w:szCs w:val="24"/>
                    </w:rPr>
                    <m:t>S</m:t>
                  </m:r>
                </m:e>
                <m:sub>
                  <m:r>
                    <w:rPr>
                      <w:rFonts w:ascii="Cambria Math" w:hAnsi="Cambria Math" w:cs="Times New Roman"/>
                      <w:sz w:val="24"/>
                      <w:szCs w:val="24"/>
                    </w:rPr>
                    <m:t>t+1</m:t>
                  </m:r>
                </m:sub>
              </m:sSub>
            </m:e>
          </m:d>
        </m:oMath>
      </m:oMathPara>
    </w:p>
    <w:p w14:paraId="0E3A0784" w14:textId="77777777" w:rsidR="009B76C8" w:rsidRDefault="009F3255" w:rsidP="003654F1">
      <w:pPr>
        <w:spacing w:line="480" w:lineRule="auto"/>
        <w:jc w:val="both"/>
        <w:rPr>
          <w:rFonts w:ascii="Times New Roman" w:hAnsi="Times New Roman" w:cs="Times New Roman"/>
          <w:sz w:val="24"/>
          <w:szCs w:val="24"/>
        </w:rPr>
      </w:pPr>
      <m:oMath>
        <m:r>
          <w:rPr>
            <w:rFonts w:ascii="Cambria Math" w:hAnsi="Cambria Math" w:cs="Times New Roman"/>
            <w:sz w:val="24"/>
            <w:szCs w:val="24"/>
          </w:rPr>
          <m:t xml:space="preserve">LVaR=1- </m:t>
        </m:r>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z</m:t>
                </m:r>
              </m:e>
              <m:sub>
                <m:r>
                  <w:rPr>
                    <w:rFonts w:ascii="Cambria Math" w:hAnsi="Cambria Math" w:cs="Times New Roman"/>
                    <w:sz w:val="24"/>
                    <w:szCs w:val="24"/>
                  </w:rPr>
                  <m:t>α</m:t>
                </m:r>
              </m:sub>
            </m:sSub>
            <m:d>
              <m:dPr>
                <m:ctrlPr>
                  <w:rPr>
                    <w:rFonts w:ascii="Cambria Math" w:hAnsi="Cambria Math" w:cs="Times New Roman"/>
                    <w:i/>
                    <w:sz w:val="24"/>
                    <w:szCs w:val="24"/>
                  </w:rPr>
                </m:ctrlPr>
              </m:dPr>
              <m:e>
                <m:r>
                  <w:rPr>
                    <w:rFonts w:ascii="Cambria Math" w:hAnsi="Cambria Math" w:cs="Times New Roman"/>
                    <w:sz w:val="24"/>
                    <w:szCs w:val="24"/>
                  </w:rPr>
                  <m:t>r</m:t>
                </m:r>
              </m:e>
            </m:d>
            <m:sSub>
              <m:sSubPr>
                <m:ctrlPr>
                  <w:rPr>
                    <w:rFonts w:ascii="Cambria Math" w:hAnsi="Cambria Math" w:cs="Times New Roman"/>
                    <w:i/>
                    <w:sz w:val="24"/>
                    <w:szCs w:val="24"/>
                  </w:rPr>
                </m:ctrlPr>
              </m:sSubPr>
              <m:e>
                <m:r>
                  <w:rPr>
                    <w:rFonts w:ascii="Cambria Math" w:hAnsi="Cambria Math" w:cs="Times New Roman"/>
                    <w:sz w:val="24"/>
                    <w:szCs w:val="24"/>
                  </w:rPr>
                  <m:t>σ</m:t>
                </m:r>
              </m:e>
              <m:sub>
                <m:r>
                  <w:rPr>
                    <w:rFonts w:ascii="Cambria Math" w:hAnsi="Cambria Math" w:cs="Times New Roman"/>
                    <w:sz w:val="24"/>
                    <w:szCs w:val="24"/>
                  </w:rPr>
                  <m:t>r</m:t>
                </m:r>
              </m:sub>
            </m:sSub>
          </m:sup>
        </m:sSup>
        <m:r>
          <w:rPr>
            <w:rFonts w:ascii="Cambria Math" w:hAnsi="Cambria Math" w:cs="Times New Roman"/>
            <w:sz w:val="24"/>
            <w:szCs w:val="24"/>
          </w:rPr>
          <m:t xml:space="preserve">+ </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2</m:t>
            </m:r>
          </m:den>
        </m:f>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μ</m:t>
                </m:r>
              </m:e>
              <m:sub>
                <m:r>
                  <w:rPr>
                    <w:rFonts w:ascii="Cambria Math" w:hAnsi="Cambria Math" w:cs="Times New Roman"/>
                    <w:sz w:val="24"/>
                    <w:szCs w:val="24"/>
                  </w:rPr>
                  <m:t>S</m:t>
                </m:r>
              </m:sub>
            </m:sSub>
            <m:r>
              <w:rPr>
                <w:rFonts w:ascii="Cambria Math" w:hAnsi="Cambria Math" w:cs="Times New Roman"/>
                <w:sz w:val="24"/>
                <w:szCs w:val="24"/>
              </w:rPr>
              <m:t>+</m:t>
            </m:r>
            <m:sSub>
              <m:sSubPr>
                <m:ctrlPr>
                  <w:rPr>
                    <w:rFonts w:ascii="Cambria Math" w:hAnsi="Cambria Math" w:cs="Times New Roman"/>
                    <w:i/>
                    <w:sz w:val="24"/>
                    <w:szCs w:val="24"/>
                  </w:rPr>
                </m:ctrlPr>
              </m:sSubPr>
              <m:e>
                <m:acc>
                  <m:accPr>
                    <m:ctrlPr>
                      <w:rPr>
                        <w:rFonts w:ascii="Cambria Math" w:hAnsi="Cambria Math" w:cs="Times New Roman"/>
                        <w:i/>
                        <w:sz w:val="24"/>
                        <w:szCs w:val="24"/>
                      </w:rPr>
                    </m:ctrlPr>
                  </m:accPr>
                  <m:e>
                    <m:r>
                      <w:rPr>
                        <w:rFonts w:ascii="Cambria Math" w:hAnsi="Cambria Math" w:cs="Times New Roman"/>
                        <w:sz w:val="24"/>
                        <w:szCs w:val="24"/>
                      </w:rPr>
                      <m:t>z</m:t>
                    </m:r>
                  </m:e>
                </m:acc>
              </m:e>
              <m:sub>
                <m:r>
                  <w:rPr>
                    <w:rFonts w:ascii="Cambria Math" w:hAnsi="Cambria Math" w:cs="Times New Roman"/>
                    <w:sz w:val="24"/>
                    <w:szCs w:val="24"/>
                  </w:rPr>
                  <m:t>α</m:t>
                </m:r>
              </m:sub>
            </m:sSub>
            <m:d>
              <m:dPr>
                <m:ctrlPr>
                  <w:rPr>
                    <w:rFonts w:ascii="Cambria Math" w:hAnsi="Cambria Math" w:cs="Times New Roman"/>
                    <w:i/>
                    <w:sz w:val="24"/>
                    <w:szCs w:val="24"/>
                  </w:rPr>
                </m:ctrlPr>
              </m:dPr>
              <m:e>
                <m:r>
                  <w:rPr>
                    <w:rFonts w:ascii="Cambria Math" w:hAnsi="Cambria Math" w:cs="Times New Roman"/>
                    <w:sz w:val="24"/>
                    <w:szCs w:val="24"/>
                  </w:rPr>
                  <m:t>S</m:t>
                </m:r>
              </m:e>
            </m:d>
            <m:sSub>
              <m:sSubPr>
                <m:ctrlPr>
                  <w:rPr>
                    <w:rFonts w:ascii="Cambria Math" w:hAnsi="Cambria Math" w:cs="Times New Roman"/>
                    <w:i/>
                    <w:sz w:val="24"/>
                    <w:szCs w:val="24"/>
                  </w:rPr>
                </m:ctrlPr>
              </m:sSubPr>
              <m:e>
                <m:r>
                  <w:rPr>
                    <w:rFonts w:ascii="Cambria Math" w:hAnsi="Cambria Math" w:cs="Times New Roman"/>
                    <w:sz w:val="24"/>
                    <w:szCs w:val="24"/>
                  </w:rPr>
                  <m:t>σ</m:t>
                </m:r>
              </m:e>
              <m:sub>
                <m:r>
                  <w:rPr>
                    <w:rFonts w:ascii="Cambria Math" w:hAnsi="Cambria Math" w:cs="Times New Roman"/>
                    <w:sz w:val="24"/>
                    <w:szCs w:val="24"/>
                  </w:rPr>
                  <m:t>S</m:t>
                </m:r>
              </m:sub>
            </m:sSub>
          </m:e>
        </m:d>
      </m:oMath>
      <w:r w:rsidRPr="009F3255">
        <w:rPr>
          <w:rFonts w:ascii="Times New Roman" w:hAnsi="Times New Roman" w:cs="Times New Roman"/>
          <w:sz w:val="24"/>
          <w:szCs w:val="24"/>
        </w:rPr>
        <w:t xml:space="preserve"> </w:t>
      </w:r>
      <w:r w:rsidR="00E20A55">
        <w:rPr>
          <w:rFonts w:ascii="Times New Roman" w:hAnsi="Times New Roman" w:cs="Times New Roman"/>
          <w:sz w:val="24"/>
          <w:szCs w:val="24"/>
        </w:rPr>
        <w:t>..........</w:t>
      </w:r>
      <w:r w:rsidR="001F6516">
        <w:rPr>
          <w:rFonts w:ascii="Times New Roman" w:hAnsi="Times New Roman" w:cs="Times New Roman"/>
          <w:sz w:val="24"/>
          <w:szCs w:val="24"/>
        </w:rPr>
        <w:t>...............</w:t>
      </w:r>
      <w:r>
        <w:rPr>
          <w:rFonts w:ascii="Times New Roman" w:hAnsi="Times New Roman" w:cs="Times New Roman"/>
          <w:sz w:val="24"/>
          <w:szCs w:val="24"/>
        </w:rPr>
        <w:t>...................</w:t>
      </w:r>
      <w:r w:rsidR="00006DF5">
        <w:rPr>
          <w:rFonts w:ascii="Times New Roman" w:hAnsi="Times New Roman" w:cs="Times New Roman"/>
          <w:sz w:val="24"/>
          <w:szCs w:val="24"/>
        </w:rPr>
        <w:t>.......... (Equation 2</w:t>
      </w:r>
      <w:r>
        <w:rPr>
          <w:rFonts w:ascii="Times New Roman" w:hAnsi="Times New Roman" w:cs="Times New Roman"/>
          <w:sz w:val="24"/>
          <w:szCs w:val="24"/>
        </w:rPr>
        <w:t>)</w:t>
      </w:r>
    </w:p>
    <w:p w14:paraId="633F1291" w14:textId="77777777" w:rsidR="00515475" w:rsidRDefault="00515475" w:rsidP="00515475">
      <w:pPr>
        <w:spacing w:line="480" w:lineRule="auto"/>
        <w:jc w:val="both"/>
        <w:rPr>
          <w:rFonts w:ascii="Times New Roman" w:hAnsi="Times New Roman" w:cs="Times New Roman"/>
          <w:sz w:val="24"/>
          <w:szCs w:val="24"/>
        </w:rPr>
      </w:pPr>
      <w:r>
        <w:rPr>
          <w:rFonts w:ascii="Times New Roman" w:hAnsi="Times New Roman" w:cs="Times New Roman"/>
          <w:sz w:val="24"/>
          <w:szCs w:val="24"/>
        </w:rPr>
        <w:t>A normal distribution is fully described by its first two moments: mean and variance. Higher centralized moments like skewness and excess kurtosis are zero. However, if the distribution is non-Gaussian, higher moments will also determine loss probabilities. For this reason, it is not accurate to use standard percentiles of a normal distribution for the calculation of the LVaR of nonnormally distributed returns.</w:t>
      </w:r>
      <w:r w:rsidR="0080081D">
        <w:rPr>
          <w:rFonts w:ascii="Times New Roman" w:hAnsi="Times New Roman" w:cs="Times New Roman"/>
          <w:sz w:val="24"/>
          <w:szCs w:val="24"/>
        </w:rPr>
        <w:t xml:space="preserve"> </w:t>
      </w:r>
      <w:r>
        <w:rPr>
          <w:rFonts w:ascii="Times New Roman" w:hAnsi="Times New Roman" w:cs="Times New Roman"/>
          <w:sz w:val="24"/>
          <w:szCs w:val="24"/>
        </w:rPr>
        <w:t xml:space="preserve">Cornish and Fischer (1937) were the first to modify the standardized percentiles of a normal distribution in a manner that accounted for higher moments. They obtained explicit polynomial expansions for standardized percentiles of a general distribution in terms of its standardized moments and the corresponding percentiles of the standard normal distribution. Their procedure is commonly known as the Cornish-Fischer expansion. Using the first four moments (mean, variance, skewness and kurtosis), the Cornish-Fischer expansion approximating the α-percentile </w:t>
      </w:r>
      <m:oMath>
        <m:sSub>
          <m:sSubPr>
            <m:ctrlPr>
              <w:rPr>
                <w:rFonts w:ascii="Cambria Math" w:hAnsi="Cambria Math" w:cs="Times New Roman"/>
                <w:i/>
                <w:sz w:val="24"/>
                <w:szCs w:val="24"/>
              </w:rPr>
            </m:ctrlPr>
          </m:sSubPr>
          <m:e>
            <m:acc>
              <m:accPr>
                <m:chr m:val="̃"/>
                <m:ctrlPr>
                  <w:rPr>
                    <w:rFonts w:ascii="Cambria Math" w:hAnsi="Cambria Math" w:cs="Times New Roman"/>
                    <w:i/>
                    <w:sz w:val="24"/>
                    <w:szCs w:val="24"/>
                  </w:rPr>
                </m:ctrlPr>
              </m:accPr>
              <m:e>
                <m:r>
                  <w:rPr>
                    <w:rFonts w:ascii="Cambria Math" w:hAnsi="Cambria Math" w:cs="Times New Roman"/>
                    <w:sz w:val="24"/>
                    <w:szCs w:val="24"/>
                  </w:rPr>
                  <m:t>z</m:t>
                </m:r>
              </m:e>
            </m:acc>
          </m:e>
          <m:sub>
            <m:r>
              <w:rPr>
                <w:rFonts w:ascii="Cambria Math" w:hAnsi="Cambria Math" w:cs="Times New Roman"/>
                <w:sz w:val="24"/>
                <w:szCs w:val="24"/>
              </w:rPr>
              <m:t>α</m:t>
            </m:r>
          </m:sub>
        </m:sSub>
      </m:oMath>
      <w:r>
        <w:rPr>
          <w:rFonts w:ascii="Times New Roman" w:hAnsi="Times New Roman" w:cs="Times New Roman"/>
          <w:sz w:val="24"/>
          <w:szCs w:val="24"/>
        </w:rPr>
        <w:t xml:space="preserve"> of a standardized random variable is calculated as:</w:t>
      </w:r>
    </w:p>
    <w:p w14:paraId="05B826B0" w14:textId="77777777" w:rsidR="00515475" w:rsidRDefault="00EC34E3" w:rsidP="00515475">
      <w:pPr>
        <w:spacing w:line="480" w:lineRule="auto"/>
        <w:jc w:val="both"/>
        <w:rPr>
          <w:rFonts w:ascii="Times New Roman" w:hAnsi="Times New Roman" w:cs="Times New Roman"/>
          <w:sz w:val="24"/>
          <w:szCs w:val="24"/>
        </w:rPr>
      </w:pPr>
      <m:oMath>
        <m:sSub>
          <m:sSubPr>
            <m:ctrlPr>
              <w:rPr>
                <w:rFonts w:ascii="Cambria Math" w:hAnsi="Cambria Math" w:cs="Times New Roman"/>
                <w:i/>
                <w:sz w:val="24"/>
                <w:szCs w:val="24"/>
              </w:rPr>
            </m:ctrlPr>
          </m:sSubPr>
          <m:e>
            <m:acc>
              <m:accPr>
                <m:chr m:val="̃"/>
                <m:ctrlPr>
                  <w:rPr>
                    <w:rFonts w:ascii="Cambria Math" w:hAnsi="Cambria Math" w:cs="Times New Roman"/>
                    <w:i/>
                    <w:sz w:val="24"/>
                    <w:szCs w:val="24"/>
                  </w:rPr>
                </m:ctrlPr>
              </m:accPr>
              <m:e>
                <m:r>
                  <w:rPr>
                    <w:rFonts w:ascii="Cambria Math" w:hAnsi="Cambria Math" w:cs="Times New Roman"/>
                    <w:sz w:val="24"/>
                    <w:szCs w:val="24"/>
                  </w:rPr>
                  <m:t>z</m:t>
                </m:r>
              </m:e>
            </m:acc>
          </m:e>
          <m:sub>
            <m:r>
              <w:rPr>
                <w:rFonts w:ascii="Cambria Math" w:hAnsi="Cambria Math" w:cs="Times New Roman"/>
                <w:sz w:val="24"/>
                <w:szCs w:val="24"/>
              </w:rPr>
              <m:t>α</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z</m:t>
            </m:r>
          </m:e>
          <m:sub>
            <m:r>
              <w:rPr>
                <w:rFonts w:ascii="Cambria Math" w:hAnsi="Cambria Math" w:cs="Times New Roman"/>
                <w:sz w:val="24"/>
                <w:szCs w:val="24"/>
              </w:rPr>
              <m:t>α</m:t>
            </m:r>
          </m:sub>
        </m:sSub>
        <m:r>
          <w:rPr>
            <w:rFonts w:ascii="Cambria Math" w:hAnsi="Cambria Math" w:cs="Times New Roman"/>
            <w:sz w:val="24"/>
            <w:szCs w:val="24"/>
          </w:rPr>
          <m:t xml:space="preserve">+ </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6</m:t>
            </m:r>
          </m:den>
        </m:f>
        <m:d>
          <m:dPr>
            <m:ctrlPr>
              <w:rPr>
                <w:rFonts w:ascii="Cambria Math" w:hAnsi="Cambria Math" w:cs="Times New Roman"/>
                <w:i/>
                <w:sz w:val="24"/>
                <w:szCs w:val="24"/>
              </w:rPr>
            </m:ctrlPr>
          </m:dPr>
          <m:e>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w:rPr>
                        <w:rFonts w:ascii="Cambria Math" w:hAnsi="Cambria Math" w:cs="Times New Roman"/>
                        <w:sz w:val="24"/>
                        <w:szCs w:val="24"/>
                      </w:rPr>
                      <m:t>z</m:t>
                    </m:r>
                  </m:e>
                  <m:sub>
                    <m:r>
                      <w:rPr>
                        <w:rFonts w:ascii="Cambria Math" w:hAnsi="Cambria Math" w:cs="Times New Roman"/>
                        <w:sz w:val="24"/>
                        <w:szCs w:val="24"/>
                      </w:rPr>
                      <m:t>α</m:t>
                    </m:r>
                  </m:sub>
                </m:sSub>
              </m:e>
              <m:sup>
                <m:r>
                  <w:rPr>
                    <w:rFonts w:ascii="Cambria Math" w:hAnsi="Cambria Math" w:cs="Times New Roman"/>
                    <w:sz w:val="24"/>
                    <w:szCs w:val="24"/>
                  </w:rPr>
                  <m:t>2</m:t>
                </m:r>
              </m:sup>
            </m:sSup>
            <m:r>
              <w:rPr>
                <w:rFonts w:ascii="Cambria Math" w:hAnsi="Cambria Math" w:cs="Times New Roman"/>
                <w:sz w:val="24"/>
                <w:szCs w:val="24"/>
              </w:rPr>
              <m:t>-1</m:t>
            </m:r>
          </m:e>
        </m:d>
        <m:r>
          <w:rPr>
            <w:rFonts w:ascii="Cambria Math" w:hAnsi="Cambria Math" w:cs="Times New Roman"/>
            <w:sz w:val="24"/>
            <w:szCs w:val="24"/>
          </w:rPr>
          <m:t xml:space="preserve">*γ+ </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24</m:t>
            </m:r>
          </m:den>
        </m:f>
        <m:d>
          <m:dPr>
            <m:ctrlPr>
              <w:rPr>
                <w:rFonts w:ascii="Cambria Math" w:hAnsi="Cambria Math" w:cs="Times New Roman"/>
                <w:i/>
                <w:sz w:val="24"/>
                <w:szCs w:val="24"/>
              </w:rPr>
            </m:ctrlPr>
          </m:dPr>
          <m:e>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w:rPr>
                        <w:rFonts w:ascii="Cambria Math" w:hAnsi="Cambria Math" w:cs="Times New Roman"/>
                        <w:sz w:val="24"/>
                        <w:szCs w:val="24"/>
                      </w:rPr>
                      <m:t>z</m:t>
                    </m:r>
                  </m:e>
                  <m:sub>
                    <m:r>
                      <w:rPr>
                        <w:rFonts w:ascii="Cambria Math" w:hAnsi="Cambria Math" w:cs="Times New Roman"/>
                        <w:sz w:val="24"/>
                        <w:szCs w:val="24"/>
                      </w:rPr>
                      <m:t>α</m:t>
                    </m:r>
                  </m:sub>
                </m:sSub>
              </m:e>
              <m:sup>
                <m:r>
                  <w:rPr>
                    <w:rFonts w:ascii="Cambria Math" w:hAnsi="Cambria Math" w:cs="Times New Roman"/>
                    <w:sz w:val="24"/>
                    <w:szCs w:val="24"/>
                  </w:rPr>
                  <m:t>3</m:t>
                </m:r>
              </m:sup>
            </m:sSup>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3z</m:t>
                </m:r>
              </m:e>
              <m:sub>
                <m:r>
                  <w:rPr>
                    <w:rFonts w:ascii="Cambria Math" w:hAnsi="Cambria Math" w:cs="Times New Roman"/>
                    <w:sz w:val="24"/>
                    <w:szCs w:val="24"/>
                  </w:rPr>
                  <m:t>α</m:t>
                </m:r>
              </m:sub>
            </m:sSub>
          </m:e>
        </m:d>
        <m:r>
          <w:rPr>
            <w:rFonts w:ascii="Cambria Math" w:hAnsi="Cambria Math" w:cs="Times New Roman"/>
            <w:sz w:val="24"/>
            <w:szCs w:val="24"/>
          </w:rPr>
          <m:t xml:space="preserve">*κ- </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36</m:t>
            </m:r>
          </m:den>
        </m:f>
        <m:d>
          <m:dPr>
            <m:ctrlPr>
              <w:rPr>
                <w:rFonts w:ascii="Cambria Math" w:hAnsi="Cambria Math" w:cs="Times New Roman"/>
                <w:i/>
                <w:sz w:val="24"/>
                <w:szCs w:val="24"/>
              </w:rPr>
            </m:ctrlPr>
          </m:dPr>
          <m:e>
            <m:r>
              <w:rPr>
                <w:rFonts w:ascii="Cambria Math" w:hAnsi="Cambria Math" w:cs="Times New Roman"/>
                <w:sz w:val="24"/>
                <w:szCs w:val="24"/>
              </w:rPr>
              <m:t>2</m:t>
            </m:r>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w:rPr>
                        <w:rFonts w:ascii="Cambria Math" w:hAnsi="Cambria Math" w:cs="Times New Roman"/>
                        <w:sz w:val="24"/>
                        <w:szCs w:val="24"/>
                      </w:rPr>
                      <m:t>z</m:t>
                    </m:r>
                  </m:e>
                  <m:sub>
                    <m:r>
                      <w:rPr>
                        <w:rFonts w:ascii="Cambria Math" w:hAnsi="Cambria Math" w:cs="Times New Roman"/>
                        <w:sz w:val="24"/>
                        <w:szCs w:val="24"/>
                      </w:rPr>
                      <m:t>α</m:t>
                    </m:r>
                  </m:sub>
                </m:sSub>
              </m:e>
              <m:sup>
                <m:r>
                  <w:rPr>
                    <w:rFonts w:ascii="Cambria Math" w:hAnsi="Cambria Math" w:cs="Times New Roman"/>
                    <w:sz w:val="24"/>
                    <w:szCs w:val="24"/>
                  </w:rPr>
                  <m:t>3</m:t>
                </m:r>
              </m:sup>
            </m:sSup>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5z</m:t>
                </m:r>
              </m:e>
              <m:sub>
                <m:r>
                  <w:rPr>
                    <w:rFonts w:ascii="Cambria Math" w:hAnsi="Cambria Math" w:cs="Times New Roman"/>
                    <w:sz w:val="24"/>
                    <w:szCs w:val="24"/>
                  </w:rPr>
                  <m:t>α</m:t>
                </m:r>
              </m:sub>
            </m:sSub>
          </m:e>
        </m:d>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γ</m:t>
            </m:r>
          </m:e>
          <m:sup>
            <m:r>
              <w:rPr>
                <w:rFonts w:ascii="Cambria Math" w:hAnsi="Cambria Math" w:cs="Times New Roman"/>
                <w:sz w:val="24"/>
                <w:szCs w:val="24"/>
              </w:rPr>
              <m:t>2</m:t>
            </m:r>
          </m:sup>
        </m:sSup>
      </m:oMath>
      <w:r w:rsidR="001F6516">
        <w:rPr>
          <w:rFonts w:ascii="Times New Roman" w:hAnsi="Times New Roman" w:cs="Times New Roman"/>
          <w:sz w:val="24"/>
          <w:szCs w:val="24"/>
        </w:rPr>
        <w:t xml:space="preserve">....... (Equation </w:t>
      </w:r>
      <w:r w:rsidR="00006DF5">
        <w:rPr>
          <w:rFonts w:ascii="Times New Roman" w:hAnsi="Times New Roman" w:cs="Times New Roman"/>
          <w:sz w:val="24"/>
          <w:szCs w:val="24"/>
        </w:rPr>
        <w:t>3</w:t>
      </w:r>
      <w:r w:rsidR="00515475">
        <w:rPr>
          <w:rFonts w:ascii="Times New Roman" w:hAnsi="Times New Roman" w:cs="Times New Roman"/>
          <w:sz w:val="24"/>
          <w:szCs w:val="24"/>
        </w:rPr>
        <w:t>)</w:t>
      </w:r>
    </w:p>
    <w:p w14:paraId="04B0D188" w14:textId="77777777" w:rsidR="00515475" w:rsidRDefault="00515475" w:rsidP="00515475">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Where </w:t>
      </w:r>
      <m:oMath>
        <m:sSub>
          <m:sSubPr>
            <m:ctrlPr>
              <w:rPr>
                <w:rFonts w:ascii="Cambria Math" w:hAnsi="Cambria Math" w:cs="Times New Roman"/>
                <w:i/>
                <w:sz w:val="24"/>
                <w:szCs w:val="24"/>
              </w:rPr>
            </m:ctrlPr>
          </m:sSubPr>
          <m:e>
            <m:r>
              <w:rPr>
                <w:rFonts w:ascii="Cambria Math" w:hAnsi="Cambria Math" w:cs="Times New Roman"/>
                <w:sz w:val="24"/>
                <w:szCs w:val="24"/>
              </w:rPr>
              <m:t>z</m:t>
            </m:r>
          </m:e>
          <m:sub>
            <m:r>
              <w:rPr>
                <w:rFonts w:ascii="Cambria Math" w:hAnsi="Cambria Math" w:cs="Times New Roman"/>
                <w:sz w:val="24"/>
                <w:szCs w:val="24"/>
              </w:rPr>
              <m:t>α</m:t>
            </m:r>
          </m:sub>
        </m:sSub>
      </m:oMath>
      <w:r>
        <w:rPr>
          <w:rFonts w:ascii="Times New Roman" w:hAnsi="Times New Roman" w:cs="Times New Roman"/>
          <w:sz w:val="24"/>
          <w:szCs w:val="24"/>
        </w:rPr>
        <w:t xml:space="preserve"> is the α-percentile of an N (0,1) distribution, where </w:t>
      </w:r>
      <m:oMath>
        <m:r>
          <w:rPr>
            <w:rFonts w:ascii="Cambria Math" w:hAnsi="Cambria Math" w:cs="Times New Roman"/>
            <w:sz w:val="24"/>
            <w:szCs w:val="24"/>
          </w:rPr>
          <m:t>γ</m:t>
        </m:r>
      </m:oMath>
      <w:r>
        <w:rPr>
          <w:rFonts w:ascii="Times New Roman" w:hAnsi="Times New Roman" w:cs="Times New Roman"/>
          <w:sz w:val="24"/>
          <w:szCs w:val="24"/>
        </w:rPr>
        <w:t xml:space="preserve"> denotes skewness and </w:t>
      </w:r>
      <m:oMath>
        <m:r>
          <w:rPr>
            <w:rFonts w:ascii="Cambria Math" w:hAnsi="Cambria Math" w:cs="Times New Roman"/>
            <w:sz w:val="24"/>
            <w:szCs w:val="24"/>
          </w:rPr>
          <m:t>κ</m:t>
        </m:r>
      </m:oMath>
      <w:r>
        <w:rPr>
          <w:rFonts w:ascii="Times New Roman" w:hAnsi="Times New Roman" w:cs="Times New Roman"/>
          <w:sz w:val="24"/>
          <w:szCs w:val="24"/>
        </w:rPr>
        <w:t xml:space="preserve"> denotes the excess kurtosis of the random variable. The skewness of y is computed from historical data over n days as:</w:t>
      </w:r>
    </w:p>
    <w:p w14:paraId="0E630C9A" w14:textId="77777777" w:rsidR="00515475" w:rsidRDefault="00515475" w:rsidP="00515475">
      <w:pPr>
        <w:spacing w:line="480" w:lineRule="auto"/>
        <w:jc w:val="both"/>
        <w:rPr>
          <w:rFonts w:ascii="Times New Roman" w:hAnsi="Times New Roman" w:cs="Times New Roman"/>
          <w:sz w:val="24"/>
          <w:szCs w:val="24"/>
        </w:rPr>
      </w:pPr>
      <m:oMath>
        <m:r>
          <w:rPr>
            <w:rFonts w:ascii="Cambria Math" w:hAnsi="Cambria Math" w:cs="Times New Roman"/>
            <w:sz w:val="24"/>
            <w:szCs w:val="24"/>
          </w:rPr>
          <m:t xml:space="preserve">γ= </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n</m:t>
            </m:r>
          </m:den>
        </m:f>
        <m:nary>
          <m:naryPr>
            <m:chr m:val="∑"/>
            <m:limLoc m:val="undOvr"/>
            <m:ctrlPr>
              <w:rPr>
                <w:rFonts w:ascii="Cambria Math" w:hAnsi="Cambria Math" w:cs="Times New Roman"/>
                <w:i/>
                <w:sz w:val="24"/>
                <w:szCs w:val="24"/>
              </w:rPr>
            </m:ctrlPr>
          </m:naryPr>
          <m:sub>
            <m:r>
              <w:rPr>
                <w:rFonts w:ascii="Cambria Math" w:hAnsi="Cambria Math" w:cs="Times New Roman"/>
                <w:sz w:val="24"/>
                <w:szCs w:val="24"/>
              </w:rPr>
              <m:t>t=1</m:t>
            </m:r>
          </m:sub>
          <m:sup>
            <m:r>
              <w:rPr>
                <w:rFonts w:ascii="Cambria Math" w:hAnsi="Cambria Math" w:cs="Times New Roman"/>
                <w:sz w:val="24"/>
                <w:szCs w:val="24"/>
              </w:rPr>
              <m:t>n</m:t>
            </m:r>
          </m:sup>
          <m:e>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t</m:t>
                        </m:r>
                      </m:sub>
                    </m:sSub>
                    <m:r>
                      <w:rPr>
                        <w:rFonts w:ascii="Cambria Math" w:hAnsi="Cambria Math" w:cs="Times New Roman"/>
                        <w:sz w:val="24"/>
                        <w:szCs w:val="24"/>
                      </w:rPr>
                      <m:t>-</m:t>
                    </m:r>
                    <m:acc>
                      <m:accPr>
                        <m:chr m:val="̅"/>
                        <m:ctrlPr>
                          <w:rPr>
                            <w:rFonts w:ascii="Cambria Math" w:hAnsi="Cambria Math" w:cs="Times New Roman"/>
                            <w:i/>
                            <w:sz w:val="24"/>
                            <w:szCs w:val="24"/>
                          </w:rPr>
                        </m:ctrlPr>
                      </m:accPr>
                      <m:e>
                        <m:r>
                          <w:rPr>
                            <w:rFonts w:ascii="Cambria Math" w:hAnsi="Cambria Math" w:cs="Times New Roman"/>
                            <w:sz w:val="24"/>
                            <w:szCs w:val="24"/>
                          </w:rPr>
                          <m:t>y</m:t>
                        </m:r>
                      </m:e>
                    </m:acc>
                    <m:r>
                      <w:rPr>
                        <w:rFonts w:ascii="Cambria Math" w:hAnsi="Cambria Math" w:cs="Times New Roman"/>
                        <w:sz w:val="24"/>
                        <w:szCs w:val="24"/>
                      </w:rPr>
                      <m:t>)</m:t>
                    </m:r>
                  </m:e>
                  <m:sup>
                    <m:r>
                      <w:rPr>
                        <w:rFonts w:ascii="Cambria Math" w:hAnsi="Cambria Math" w:cs="Times New Roman"/>
                        <w:sz w:val="24"/>
                        <w:szCs w:val="24"/>
                      </w:rPr>
                      <m:t>3</m:t>
                    </m:r>
                  </m:sup>
                </m:sSup>
              </m:num>
              <m:den>
                <m:sSup>
                  <m:sSupPr>
                    <m:ctrlPr>
                      <w:rPr>
                        <w:rFonts w:ascii="Cambria Math" w:hAnsi="Cambria Math" w:cs="Times New Roman"/>
                        <w:i/>
                        <w:sz w:val="24"/>
                        <w:szCs w:val="24"/>
                      </w:rPr>
                    </m:ctrlPr>
                  </m:sSupPr>
                  <m:e>
                    <m:acc>
                      <m:accPr>
                        <m:ctrlPr>
                          <w:rPr>
                            <w:rFonts w:ascii="Cambria Math" w:hAnsi="Cambria Math" w:cs="Times New Roman"/>
                            <w:i/>
                            <w:sz w:val="24"/>
                            <w:szCs w:val="24"/>
                          </w:rPr>
                        </m:ctrlPr>
                      </m:accPr>
                      <m:e>
                        <m:r>
                          <w:rPr>
                            <w:rFonts w:ascii="Cambria Math" w:hAnsi="Cambria Math" w:cs="Times New Roman"/>
                            <w:sz w:val="24"/>
                            <w:szCs w:val="24"/>
                          </w:rPr>
                          <m:t>σ</m:t>
                        </m:r>
                      </m:e>
                    </m:acc>
                  </m:e>
                  <m:sup>
                    <m:r>
                      <w:rPr>
                        <w:rFonts w:ascii="Cambria Math" w:hAnsi="Cambria Math" w:cs="Times New Roman"/>
                        <w:sz w:val="24"/>
                        <w:szCs w:val="24"/>
                      </w:rPr>
                      <m:t>3</m:t>
                    </m:r>
                  </m:sup>
                </m:sSup>
              </m:den>
            </m:f>
          </m:e>
        </m:nary>
      </m:oMath>
      <w:r>
        <w:rPr>
          <w:rFonts w:ascii="Times New Roman" w:hAnsi="Times New Roman" w:cs="Times New Roman"/>
          <w:sz w:val="24"/>
          <w:szCs w:val="24"/>
        </w:rPr>
        <w:t>............................................................................</w:t>
      </w:r>
      <w:r w:rsidR="001F6516">
        <w:rPr>
          <w:rFonts w:ascii="Times New Roman" w:hAnsi="Times New Roman" w:cs="Times New Roman"/>
          <w:sz w:val="24"/>
          <w:szCs w:val="24"/>
        </w:rPr>
        <w:t xml:space="preserve">.................... </w:t>
      </w:r>
      <w:r w:rsidR="00006DF5">
        <w:rPr>
          <w:rFonts w:ascii="Times New Roman" w:hAnsi="Times New Roman" w:cs="Times New Roman"/>
          <w:sz w:val="24"/>
          <w:szCs w:val="24"/>
        </w:rPr>
        <w:t>(Equation 4</w:t>
      </w:r>
      <w:r>
        <w:rPr>
          <w:rFonts w:ascii="Times New Roman" w:hAnsi="Times New Roman" w:cs="Times New Roman"/>
          <w:sz w:val="24"/>
          <w:szCs w:val="24"/>
        </w:rPr>
        <w:t>)</w:t>
      </w:r>
    </w:p>
    <w:p w14:paraId="08E71A49" w14:textId="77777777" w:rsidR="00515475" w:rsidRDefault="00515475" w:rsidP="00515475">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With </w:t>
      </w:r>
      <m:oMath>
        <m:acc>
          <m:accPr>
            <m:chr m:val="̅"/>
            <m:ctrlPr>
              <w:rPr>
                <w:rFonts w:ascii="Cambria Math" w:hAnsi="Cambria Math" w:cs="Times New Roman"/>
                <w:i/>
                <w:sz w:val="24"/>
                <w:szCs w:val="24"/>
              </w:rPr>
            </m:ctrlPr>
          </m:accPr>
          <m:e>
            <m:r>
              <w:rPr>
                <w:rFonts w:ascii="Cambria Math" w:hAnsi="Cambria Math" w:cs="Times New Roman"/>
                <w:sz w:val="24"/>
                <w:szCs w:val="24"/>
              </w:rPr>
              <m:t>y</m:t>
            </m:r>
          </m:e>
        </m:acc>
      </m:oMath>
      <w:r>
        <w:rPr>
          <w:rFonts w:ascii="Times New Roman" w:hAnsi="Times New Roman" w:cs="Times New Roman"/>
          <w:sz w:val="24"/>
          <w:szCs w:val="24"/>
        </w:rPr>
        <w:t xml:space="preserve"> being the expected value and </w:t>
      </w:r>
      <m:oMath>
        <m:acc>
          <m:accPr>
            <m:ctrlPr>
              <w:rPr>
                <w:rFonts w:ascii="Cambria Math" w:hAnsi="Cambria Math" w:cs="Times New Roman"/>
                <w:i/>
                <w:sz w:val="24"/>
                <w:szCs w:val="24"/>
              </w:rPr>
            </m:ctrlPr>
          </m:accPr>
          <m:e>
            <m:r>
              <w:rPr>
                <w:rFonts w:ascii="Cambria Math" w:hAnsi="Cambria Math" w:cs="Times New Roman"/>
                <w:sz w:val="24"/>
                <w:szCs w:val="24"/>
              </w:rPr>
              <m:t>σ</m:t>
            </m:r>
          </m:e>
        </m:acc>
      </m:oMath>
      <w:r>
        <w:rPr>
          <w:rFonts w:ascii="Times New Roman" w:hAnsi="Times New Roman" w:cs="Times New Roman"/>
          <w:sz w:val="24"/>
          <w:szCs w:val="24"/>
        </w:rPr>
        <w:t xml:space="preserve"> being the volatility of y. The excess kurtosis for y is: </w:t>
      </w:r>
    </w:p>
    <w:p w14:paraId="24E807B0" w14:textId="77777777" w:rsidR="00515475" w:rsidRDefault="00515475" w:rsidP="00515475">
      <w:pPr>
        <w:spacing w:line="480" w:lineRule="auto"/>
        <w:jc w:val="both"/>
        <w:rPr>
          <w:rFonts w:ascii="Times New Roman" w:hAnsi="Times New Roman" w:cs="Times New Roman"/>
          <w:sz w:val="24"/>
          <w:szCs w:val="24"/>
        </w:rPr>
      </w:pPr>
      <m:oMath>
        <m:r>
          <w:rPr>
            <w:rFonts w:ascii="Cambria Math" w:hAnsi="Cambria Math" w:cs="Times New Roman"/>
            <w:sz w:val="24"/>
            <w:szCs w:val="24"/>
          </w:rPr>
          <m:t xml:space="preserve">κ= </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n</m:t>
            </m:r>
          </m:den>
        </m:f>
        <m:nary>
          <m:naryPr>
            <m:chr m:val="∑"/>
            <m:limLoc m:val="undOvr"/>
            <m:ctrlPr>
              <w:rPr>
                <w:rFonts w:ascii="Cambria Math" w:hAnsi="Cambria Math" w:cs="Times New Roman"/>
                <w:i/>
                <w:sz w:val="24"/>
                <w:szCs w:val="24"/>
              </w:rPr>
            </m:ctrlPr>
          </m:naryPr>
          <m:sub>
            <m:r>
              <w:rPr>
                <w:rFonts w:ascii="Cambria Math" w:hAnsi="Cambria Math" w:cs="Times New Roman"/>
                <w:sz w:val="24"/>
                <w:szCs w:val="24"/>
              </w:rPr>
              <m:t>t=1</m:t>
            </m:r>
          </m:sub>
          <m:sup>
            <m:r>
              <w:rPr>
                <w:rFonts w:ascii="Cambria Math" w:hAnsi="Cambria Math" w:cs="Times New Roman"/>
                <w:sz w:val="24"/>
                <w:szCs w:val="24"/>
              </w:rPr>
              <m:t>n</m:t>
            </m:r>
          </m:sup>
          <m:e>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t</m:t>
                        </m:r>
                      </m:sub>
                    </m:sSub>
                    <m:r>
                      <w:rPr>
                        <w:rFonts w:ascii="Cambria Math" w:hAnsi="Cambria Math" w:cs="Times New Roman"/>
                        <w:sz w:val="24"/>
                        <w:szCs w:val="24"/>
                      </w:rPr>
                      <m:t>-</m:t>
                    </m:r>
                    <m:acc>
                      <m:accPr>
                        <m:chr m:val="̅"/>
                        <m:ctrlPr>
                          <w:rPr>
                            <w:rFonts w:ascii="Cambria Math" w:hAnsi="Cambria Math" w:cs="Times New Roman"/>
                            <w:i/>
                            <w:sz w:val="24"/>
                            <w:szCs w:val="24"/>
                          </w:rPr>
                        </m:ctrlPr>
                      </m:accPr>
                      <m:e>
                        <m:r>
                          <w:rPr>
                            <w:rFonts w:ascii="Cambria Math" w:hAnsi="Cambria Math" w:cs="Times New Roman"/>
                            <w:sz w:val="24"/>
                            <w:szCs w:val="24"/>
                          </w:rPr>
                          <m:t>y</m:t>
                        </m:r>
                      </m:e>
                    </m:acc>
                    <m:r>
                      <w:rPr>
                        <w:rFonts w:ascii="Cambria Math" w:hAnsi="Cambria Math" w:cs="Times New Roman"/>
                        <w:sz w:val="24"/>
                        <w:szCs w:val="24"/>
                      </w:rPr>
                      <m:t>)</m:t>
                    </m:r>
                  </m:e>
                  <m:sup>
                    <m:r>
                      <w:rPr>
                        <w:rFonts w:ascii="Cambria Math" w:hAnsi="Cambria Math" w:cs="Times New Roman"/>
                        <w:sz w:val="24"/>
                        <w:szCs w:val="24"/>
                      </w:rPr>
                      <m:t>4</m:t>
                    </m:r>
                  </m:sup>
                </m:sSup>
              </m:num>
              <m:den>
                <m:sSup>
                  <m:sSupPr>
                    <m:ctrlPr>
                      <w:rPr>
                        <w:rFonts w:ascii="Cambria Math" w:hAnsi="Cambria Math" w:cs="Times New Roman"/>
                        <w:i/>
                        <w:sz w:val="24"/>
                        <w:szCs w:val="24"/>
                      </w:rPr>
                    </m:ctrlPr>
                  </m:sSupPr>
                  <m:e>
                    <m:acc>
                      <m:accPr>
                        <m:ctrlPr>
                          <w:rPr>
                            <w:rFonts w:ascii="Cambria Math" w:hAnsi="Cambria Math" w:cs="Times New Roman"/>
                            <w:i/>
                            <w:sz w:val="24"/>
                            <w:szCs w:val="24"/>
                          </w:rPr>
                        </m:ctrlPr>
                      </m:accPr>
                      <m:e>
                        <m:r>
                          <w:rPr>
                            <w:rFonts w:ascii="Cambria Math" w:hAnsi="Cambria Math" w:cs="Times New Roman"/>
                            <w:sz w:val="24"/>
                            <w:szCs w:val="24"/>
                          </w:rPr>
                          <m:t>σ</m:t>
                        </m:r>
                      </m:e>
                    </m:acc>
                  </m:e>
                  <m:sup>
                    <m:r>
                      <w:rPr>
                        <w:rFonts w:ascii="Cambria Math" w:hAnsi="Cambria Math" w:cs="Times New Roman"/>
                        <w:sz w:val="24"/>
                        <w:szCs w:val="24"/>
                      </w:rPr>
                      <m:t>4</m:t>
                    </m:r>
                  </m:sup>
                </m:sSup>
              </m:den>
            </m:f>
          </m:e>
        </m:nary>
        <m:r>
          <w:rPr>
            <w:rFonts w:ascii="Cambria Math" w:hAnsi="Cambria Math" w:cs="Times New Roman"/>
            <w:sz w:val="24"/>
            <w:szCs w:val="24"/>
          </w:rPr>
          <m:t>- 3</m:t>
        </m:r>
      </m:oMath>
      <w:r>
        <w:rPr>
          <w:rFonts w:ascii="Times New Roman" w:hAnsi="Times New Roman" w:cs="Times New Roman"/>
          <w:sz w:val="24"/>
          <w:szCs w:val="24"/>
        </w:rPr>
        <w:t>..........................................................</w:t>
      </w:r>
      <w:r w:rsidR="00006DF5">
        <w:rPr>
          <w:rFonts w:ascii="Times New Roman" w:hAnsi="Times New Roman" w:cs="Times New Roman"/>
          <w:sz w:val="24"/>
          <w:szCs w:val="24"/>
        </w:rPr>
        <w:t>..</w:t>
      </w:r>
      <w:r>
        <w:rPr>
          <w:rFonts w:ascii="Times New Roman" w:hAnsi="Times New Roman" w:cs="Times New Roman"/>
          <w:sz w:val="24"/>
          <w:szCs w:val="24"/>
        </w:rPr>
        <w:t>..........</w:t>
      </w:r>
      <w:r w:rsidR="00006DF5">
        <w:rPr>
          <w:rFonts w:ascii="Times New Roman" w:hAnsi="Times New Roman" w:cs="Times New Roman"/>
          <w:sz w:val="24"/>
          <w:szCs w:val="24"/>
        </w:rPr>
        <w:t>.................. (Equation 5</w:t>
      </w:r>
      <w:r>
        <w:rPr>
          <w:rFonts w:ascii="Times New Roman" w:hAnsi="Times New Roman" w:cs="Times New Roman"/>
          <w:sz w:val="24"/>
          <w:szCs w:val="24"/>
        </w:rPr>
        <w:t>)</w:t>
      </w:r>
    </w:p>
    <w:p w14:paraId="747BA202" w14:textId="77777777" w:rsidR="00515475" w:rsidRPr="0080081D" w:rsidRDefault="0080081D" w:rsidP="00515475">
      <w:pPr>
        <w:spacing w:line="480" w:lineRule="auto"/>
        <w:jc w:val="both"/>
        <w:rPr>
          <w:rFonts w:ascii="Times New Roman" w:hAnsi="Times New Roman" w:cs="Times New Roman"/>
          <w:noProof/>
          <w:sz w:val="24"/>
          <w:szCs w:val="24"/>
          <w:lang w:val="en-IN" w:eastAsia="en-IN"/>
        </w:rPr>
      </w:pPr>
      <w:r>
        <w:rPr>
          <w:rFonts w:ascii="Times New Roman" w:hAnsi="Times New Roman" w:cs="Times New Roman"/>
          <w:sz w:val="24"/>
          <w:szCs w:val="24"/>
        </w:rPr>
        <w:t>Ernst et al. (2012) propose an adapted model based on the Cornish Fisher expansion technique used to correct the percentiles of a standard normal distribution. They</w:t>
      </w:r>
      <w:r w:rsidR="00515475">
        <w:rPr>
          <w:rFonts w:ascii="Times New Roman" w:hAnsi="Times New Roman" w:cs="Times New Roman"/>
          <w:sz w:val="24"/>
          <w:szCs w:val="24"/>
        </w:rPr>
        <w:t xml:space="preserve"> apply the Cornish-Fischer approximation </w:t>
      </w:r>
      <m:oMath>
        <m:sSub>
          <m:sSubPr>
            <m:ctrlPr>
              <w:rPr>
                <w:rFonts w:ascii="Cambria Math" w:hAnsi="Cambria Math" w:cs="Times New Roman"/>
                <w:i/>
                <w:sz w:val="24"/>
                <w:szCs w:val="24"/>
              </w:rPr>
            </m:ctrlPr>
          </m:sSubPr>
          <m:e>
            <m:acc>
              <m:accPr>
                <m:chr m:val="̃"/>
                <m:ctrlPr>
                  <w:rPr>
                    <w:rFonts w:ascii="Cambria Math" w:hAnsi="Cambria Math" w:cs="Times New Roman"/>
                    <w:i/>
                    <w:sz w:val="24"/>
                    <w:szCs w:val="24"/>
                  </w:rPr>
                </m:ctrlPr>
              </m:accPr>
              <m:e>
                <m:r>
                  <w:rPr>
                    <w:rFonts w:ascii="Cambria Math" w:hAnsi="Cambria Math" w:cs="Times New Roman"/>
                    <w:sz w:val="24"/>
                    <w:szCs w:val="24"/>
                  </w:rPr>
                  <m:t>z</m:t>
                </m:r>
              </m:e>
            </m:acc>
          </m:e>
          <m:sub>
            <m:r>
              <w:rPr>
                <w:rFonts w:ascii="Cambria Math" w:hAnsi="Cambria Math" w:cs="Times New Roman"/>
                <w:sz w:val="24"/>
                <w:szCs w:val="24"/>
              </w:rPr>
              <m:t>α</m:t>
            </m:r>
          </m:sub>
        </m:sSub>
      </m:oMath>
      <w:r w:rsidR="00515475">
        <w:rPr>
          <w:rFonts w:ascii="Times New Roman" w:hAnsi="Times New Roman" w:cs="Times New Roman"/>
          <w:sz w:val="24"/>
          <w:szCs w:val="24"/>
        </w:rPr>
        <w:t xml:space="preserve"> to the basic spread model of Bangia et al. (2002) to obtain the following modified LVaR estimate:</w:t>
      </w:r>
    </w:p>
    <w:p w14:paraId="460313F9" w14:textId="77777777" w:rsidR="003654F1" w:rsidRDefault="003654F1" w:rsidP="003654F1">
      <w:pPr>
        <w:spacing w:line="480" w:lineRule="auto"/>
        <w:jc w:val="both"/>
        <w:rPr>
          <w:rFonts w:ascii="Times New Roman" w:hAnsi="Times New Roman" w:cs="Times New Roman"/>
          <w:sz w:val="24"/>
          <w:szCs w:val="24"/>
        </w:rPr>
      </w:pPr>
      <m:oMath>
        <m:r>
          <w:rPr>
            <w:rFonts w:ascii="Cambria Math" w:hAnsi="Cambria Math" w:cs="Times New Roman"/>
            <w:sz w:val="24"/>
            <w:szCs w:val="24"/>
          </w:rPr>
          <m:t xml:space="preserve">LVaR=1- </m:t>
        </m:r>
        <m:sSup>
          <m:sSupPr>
            <m:ctrlPr>
              <w:rPr>
                <w:rFonts w:ascii="Cambria Math" w:hAnsi="Cambria Math" w:cs="Times New Roman"/>
                <w:i/>
                <w:sz w:val="24"/>
                <w:szCs w:val="24"/>
              </w:rPr>
            </m:ctrlPr>
          </m:sSupPr>
          <m:e>
            <m:r>
              <w:rPr>
                <w:rFonts w:ascii="Cambria Math" w:hAnsi="Cambria Math" w:cs="Times New Roman"/>
                <w:sz w:val="24"/>
                <w:szCs w:val="24"/>
              </w:rPr>
              <m:t>e</m:t>
            </m:r>
          </m:e>
          <m:sup>
            <m:sSub>
              <m:sSubPr>
                <m:ctrlPr>
                  <w:rPr>
                    <w:rFonts w:ascii="Cambria Math" w:hAnsi="Cambria Math" w:cs="Times New Roman"/>
                    <w:i/>
                    <w:sz w:val="24"/>
                    <w:szCs w:val="24"/>
                  </w:rPr>
                </m:ctrlPr>
              </m:sSubPr>
              <m:e>
                <m:r>
                  <w:rPr>
                    <w:rFonts w:ascii="Cambria Math" w:hAnsi="Cambria Math" w:cs="Times New Roman"/>
                    <w:sz w:val="24"/>
                    <w:szCs w:val="24"/>
                  </w:rPr>
                  <m:t>μ</m:t>
                </m:r>
              </m:e>
              <m:sub>
                <m:r>
                  <w:rPr>
                    <w:rFonts w:ascii="Cambria Math" w:hAnsi="Cambria Math" w:cs="Times New Roman"/>
                    <w:sz w:val="24"/>
                    <w:szCs w:val="24"/>
                  </w:rPr>
                  <m:t>r</m:t>
                </m:r>
              </m:sub>
            </m:sSub>
            <m:r>
              <w:rPr>
                <w:rFonts w:ascii="Cambria Math" w:hAnsi="Cambria Math" w:cs="Times New Roman"/>
                <w:sz w:val="24"/>
                <w:szCs w:val="24"/>
              </w:rPr>
              <m:t>-</m:t>
            </m:r>
            <m:sSub>
              <m:sSubPr>
                <m:ctrlPr>
                  <w:rPr>
                    <w:rFonts w:ascii="Cambria Math" w:hAnsi="Cambria Math" w:cs="Times New Roman"/>
                    <w:i/>
                    <w:sz w:val="24"/>
                    <w:szCs w:val="24"/>
                  </w:rPr>
                </m:ctrlPr>
              </m:sSubPr>
              <m:e>
                <m:acc>
                  <m:accPr>
                    <m:chr m:val="̃"/>
                    <m:ctrlPr>
                      <w:rPr>
                        <w:rFonts w:ascii="Cambria Math" w:hAnsi="Cambria Math" w:cs="Times New Roman"/>
                        <w:i/>
                        <w:sz w:val="24"/>
                        <w:szCs w:val="24"/>
                      </w:rPr>
                    </m:ctrlPr>
                  </m:accPr>
                  <m:e>
                    <m:r>
                      <w:rPr>
                        <w:rFonts w:ascii="Cambria Math" w:hAnsi="Cambria Math" w:cs="Times New Roman"/>
                        <w:sz w:val="24"/>
                        <w:szCs w:val="24"/>
                      </w:rPr>
                      <m:t>z</m:t>
                    </m:r>
                  </m:e>
                </m:acc>
              </m:e>
              <m:sub>
                <m:r>
                  <w:rPr>
                    <w:rFonts w:ascii="Cambria Math" w:hAnsi="Cambria Math" w:cs="Times New Roman"/>
                    <w:sz w:val="24"/>
                    <w:szCs w:val="24"/>
                  </w:rPr>
                  <m:t>α</m:t>
                </m:r>
              </m:sub>
            </m:sSub>
            <m:d>
              <m:dPr>
                <m:ctrlPr>
                  <w:rPr>
                    <w:rFonts w:ascii="Cambria Math" w:hAnsi="Cambria Math" w:cs="Times New Roman"/>
                    <w:i/>
                    <w:sz w:val="24"/>
                    <w:szCs w:val="24"/>
                  </w:rPr>
                </m:ctrlPr>
              </m:dPr>
              <m:e>
                <m:r>
                  <w:rPr>
                    <w:rFonts w:ascii="Cambria Math" w:hAnsi="Cambria Math" w:cs="Times New Roman"/>
                    <w:sz w:val="24"/>
                    <w:szCs w:val="24"/>
                  </w:rPr>
                  <m:t>r</m:t>
                </m:r>
              </m:e>
            </m:d>
            <m:sSub>
              <m:sSubPr>
                <m:ctrlPr>
                  <w:rPr>
                    <w:rFonts w:ascii="Cambria Math" w:hAnsi="Cambria Math" w:cs="Times New Roman"/>
                    <w:i/>
                    <w:sz w:val="24"/>
                    <w:szCs w:val="24"/>
                  </w:rPr>
                </m:ctrlPr>
              </m:sSubPr>
              <m:e>
                <m:r>
                  <w:rPr>
                    <w:rFonts w:ascii="Cambria Math" w:hAnsi="Cambria Math" w:cs="Times New Roman"/>
                    <w:sz w:val="24"/>
                    <w:szCs w:val="24"/>
                  </w:rPr>
                  <m:t>σ</m:t>
                </m:r>
              </m:e>
              <m:sub>
                <m:r>
                  <w:rPr>
                    <w:rFonts w:ascii="Cambria Math" w:hAnsi="Cambria Math" w:cs="Times New Roman"/>
                    <w:sz w:val="24"/>
                    <w:szCs w:val="24"/>
                  </w:rPr>
                  <m:t>r</m:t>
                </m:r>
              </m:sub>
            </m:sSub>
          </m:sup>
        </m:sSup>
        <m:r>
          <w:rPr>
            <w:rFonts w:ascii="Cambria Math" w:hAnsi="Cambria Math" w:cs="Times New Roman"/>
            <w:sz w:val="24"/>
            <w:szCs w:val="24"/>
          </w:rPr>
          <m:t xml:space="preserve">(1- </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2</m:t>
            </m:r>
          </m:den>
        </m:f>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μ</m:t>
                </m:r>
              </m:e>
              <m:sub>
                <m:r>
                  <w:rPr>
                    <w:rFonts w:ascii="Cambria Math" w:hAnsi="Cambria Math" w:cs="Times New Roman"/>
                    <w:sz w:val="24"/>
                    <w:szCs w:val="24"/>
                  </w:rPr>
                  <m:t>S</m:t>
                </m:r>
              </m:sub>
            </m:sSub>
            <m:r>
              <w:rPr>
                <w:rFonts w:ascii="Cambria Math" w:hAnsi="Cambria Math" w:cs="Times New Roman"/>
                <w:sz w:val="24"/>
                <w:szCs w:val="24"/>
              </w:rPr>
              <m:t>+</m:t>
            </m:r>
            <m:sSub>
              <m:sSubPr>
                <m:ctrlPr>
                  <w:rPr>
                    <w:rFonts w:ascii="Cambria Math" w:hAnsi="Cambria Math" w:cs="Times New Roman"/>
                    <w:i/>
                    <w:sz w:val="24"/>
                    <w:szCs w:val="24"/>
                  </w:rPr>
                </m:ctrlPr>
              </m:sSubPr>
              <m:e>
                <m:acc>
                  <m:accPr>
                    <m:chr m:val="̃"/>
                    <m:ctrlPr>
                      <w:rPr>
                        <w:rFonts w:ascii="Cambria Math" w:hAnsi="Cambria Math" w:cs="Times New Roman"/>
                        <w:i/>
                        <w:sz w:val="24"/>
                        <w:szCs w:val="24"/>
                      </w:rPr>
                    </m:ctrlPr>
                  </m:accPr>
                  <m:e>
                    <m:r>
                      <w:rPr>
                        <w:rFonts w:ascii="Cambria Math" w:hAnsi="Cambria Math" w:cs="Times New Roman"/>
                        <w:sz w:val="24"/>
                        <w:szCs w:val="24"/>
                      </w:rPr>
                      <m:t>z</m:t>
                    </m:r>
                  </m:e>
                </m:acc>
              </m:e>
              <m:sub>
                <m:r>
                  <w:rPr>
                    <w:rFonts w:ascii="Cambria Math" w:hAnsi="Cambria Math" w:cs="Times New Roman"/>
                    <w:sz w:val="24"/>
                    <w:szCs w:val="24"/>
                  </w:rPr>
                  <m:t>α</m:t>
                </m:r>
              </m:sub>
            </m:sSub>
            <m:d>
              <m:dPr>
                <m:ctrlPr>
                  <w:rPr>
                    <w:rFonts w:ascii="Cambria Math" w:hAnsi="Cambria Math" w:cs="Times New Roman"/>
                    <w:i/>
                    <w:sz w:val="24"/>
                    <w:szCs w:val="24"/>
                  </w:rPr>
                </m:ctrlPr>
              </m:dPr>
              <m:e>
                <m:r>
                  <w:rPr>
                    <w:rFonts w:ascii="Cambria Math" w:hAnsi="Cambria Math" w:cs="Times New Roman"/>
                    <w:sz w:val="24"/>
                    <w:szCs w:val="24"/>
                  </w:rPr>
                  <m:t>S</m:t>
                </m:r>
              </m:e>
            </m:d>
            <m:sSub>
              <m:sSubPr>
                <m:ctrlPr>
                  <w:rPr>
                    <w:rFonts w:ascii="Cambria Math" w:hAnsi="Cambria Math" w:cs="Times New Roman"/>
                    <w:i/>
                    <w:sz w:val="24"/>
                    <w:szCs w:val="24"/>
                  </w:rPr>
                </m:ctrlPr>
              </m:sSubPr>
              <m:e>
                <m:r>
                  <w:rPr>
                    <w:rFonts w:ascii="Cambria Math" w:hAnsi="Cambria Math" w:cs="Times New Roman"/>
                    <w:sz w:val="24"/>
                    <w:szCs w:val="24"/>
                  </w:rPr>
                  <m:t>σ</m:t>
                </m:r>
              </m:e>
              <m:sub>
                <m:r>
                  <w:rPr>
                    <w:rFonts w:ascii="Cambria Math" w:hAnsi="Cambria Math" w:cs="Times New Roman"/>
                    <w:sz w:val="24"/>
                    <w:szCs w:val="24"/>
                  </w:rPr>
                  <m:t>S</m:t>
                </m:r>
              </m:sub>
            </m:sSub>
          </m:e>
        </m:d>
        <m:r>
          <w:rPr>
            <w:rFonts w:ascii="Cambria Math" w:hAnsi="Cambria Math" w:cs="Times New Roman"/>
            <w:sz w:val="24"/>
            <w:szCs w:val="24"/>
          </w:rPr>
          <m:t>)</m:t>
        </m:r>
      </m:oMath>
      <w:r w:rsidR="00F82BA9">
        <w:rPr>
          <w:rFonts w:ascii="Times New Roman" w:hAnsi="Times New Roman" w:cs="Times New Roman"/>
          <w:sz w:val="24"/>
          <w:szCs w:val="24"/>
        </w:rPr>
        <w:t>..............................</w:t>
      </w:r>
      <w:r w:rsidR="003C2D60">
        <w:rPr>
          <w:rFonts w:ascii="Times New Roman" w:hAnsi="Times New Roman" w:cs="Times New Roman"/>
          <w:sz w:val="24"/>
          <w:szCs w:val="24"/>
        </w:rPr>
        <w:t>.............</w:t>
      </w:r>
      <w:r w:rsidR="00006DF5">
        <w:rPr>
          <w:rFonts w:ascii="Times New Roman" w:hAnsi="Times New Roman" w:cs="Times New Roman"/>
          <w:sz w:val="24"/>
          <w:szCs w:val="24"/>
        </w:rPr>
        <w:t>.... (Equation 6</w:t>
      </w:r>
      <w:r w:rsidR="003C2D60">
        <w:rPr>
          <w:rFonts w:ascii="Times New Roman" w:hAnsi="Times New Roman" w:cs="Times New Roman"/>
          <w:sz w:val="24"/>
          <w:szCs w:val="24"/>
        </w:rPr>
        <w:t>)</w:t>
      </w:r>
    </w:p>
    <w:p w14:paraId="7F220B00" w14:textId="77777777" w:rsidR="00383FF3" w:rsidRDefault="003654F1" w:rsidP="00FF2AAC">
      <w:pPr>
        <w:spacing w:line="480" w:lineRule="auto"/>
        <w:jc w:val="both"/>
        <w:rPr>
          <w:rFonts w:ascii="Times New Roman" w:hAnsi="Times New Roman" w:cs="Times New Roman"/>
          <w:sz w:val="24"/>
          <w:szCs w:val="24"/>
        </w:rPr>
      </w:pPr>
      <w:r w:rsidRPr="00976FD9">
        <w:rPr>
          <w:rFonts w:ascii="Times New Roman" w:hAnsi="Times New Roman" w:cs="Times New Roman"/>
          <w:noProof/>
          <w:sz w:val="24"/>
          <w:szCs w:val="24"/>
          <w:lang w:val="en-IN" w:eastAsia="en-IN"/>
        </w:rPr>
        <w:t xml:space="preserve">where </w:t>
      </w:r>
      <m:oMath>
        <m:sSub>
          <m:sSubPr>
            <m:ctrlPr>
              <w:rPr>
                <w:rFonts w:ascii="Cambria Math" w:hAnsi="Cambria Math" w:cs="Times New Roman"/>
                <w:i/>
                <w:sz w:val="24"/>
                <w:szCs w:val="24"/>
              </w:rPr>
            </m:ctrlPr>
          </m:sSubPr>
          <m:e>
            <m:acc>
              <m:accPr>
                <m:chr m:val="̃"/>
                <m:ctrlPr>
                  <w:rPr>
                    <w:rFonts w:ascii="Cambria Math" w:hAnsi="Cambria Math" w:cs="Times New Roman"/>
                    <w:i/>
                    <w:sz w:val="24"/>
                    <w:szCs w:val="24"/>
                  </w:rPr>
                </m:ctrlPr>
              </m:accPr>
              <m:e>
                <m:r>
                  <w:rPr>
                    <w:rFonts w:ascii="Cambria Math" w:hAnsi="Cambria Math" w:cs="Times New Roman"/>
                    <w:sz w:val="24"/>
                    <w:szCs w:val="24"/>
                  </w:rPr>
                  <m:t>z</m:t>
                </m:r>
              </m:e>
            </m:acc>
          </m:e>
          <m:sub>
            <m:r>
              <w:rPr>
                <w:rFonts w:ascii="Cambria Math" w:hAnsi="Cambria Math" w:cs="Times New Roman"/>
                <w:sz w:val="24"/>
                <w:szCs w:val="24"/>
              </w:rPr>
              <m:t>α</m:t>
            </m:r>
          </m:sub>
        </m:sSub>
        <m:d>
          <m:dPr>
            <m:ctrlPr>
              <w:rPr>
                <w:rFonts w:ascii="Cambria Math" w:hAnsi="Cambria Math" w:cs="Times New Roman"/>
                <w:i/>
                <w:sz w:val="24"/>
                <w:szCs w:val="24"/>
              </w:rPr>
            </m:ctrlPr>
          </m:dPr>
          <m:e>
            <m:r>
              <w:rPr>
                <w:rFonts w:ascii="Cambria Math" w:hAnsi="Cambria Math" w:cs="Times New Roman"/>
                <w:sz w:val="24"/>
                <w:szCs w:val="24"/>
              </w:rPr>
              <m:t>r</m:t>
            </m:r>
          </m:e>
        </m:d>
      </m:oMath>
      <w:r>
        <w:rPr>
          <w:rFonts w:ascii="Times New Roman" w:hAnsi="Times New Roman" w:cs="Times New Roman"/>
          <w:noProof/>
          <w:sz w:val="24"/>
          <w:szCs w:val="24"/>
        </w:rPr>
        <w:t xml:space="preserve"> is the percentile of the return distribution accounting for its skewness and kurtosis, </w:t>
      </w:r>
      <m:oMath>
        <m:sSub>
          <m:sSubPr>
            <m:ctrlPr>
              <w:rPr>
                <w:rFonts w:ascii="Cambria Math" w:hAnsi="Cambria Math" w:cs="Times New Roman"/>
                <w:i/>
                <w:sz w:val="24"/>
                <w:szCs w:val="24"/>
              </w:rPr>
            </m:ctrlPr>
          </m:sSubPr>
          <m:e>
            <m:acc>
              <m:accPr>
                <m:chr m:val="̃"/>
                <m:ctrlPr>
                  <w:rPr>
                    <w:rFonts w:ascii="Cambria Math" w:hAnsi="Cambria Math" w:cs="Times New Roman"/>
                    <w:i/>
                    <w:sz w:val="24"/>
                    <w:szCs w:val="24"/>
                  </w:rPr>
                </m:ctrlPr>
              </m:accPr>
              <m:e>
                <m:r>
                  <w:rPr>
                    <w:rFonts w:ascii="Cambria Math" w:hAnsi="Cambria Math" w:cs="Times New Roman"/>
                    <w:sz w:val="24"/>
                    <w:szCs w:val="24"/>
                  </w:rPr>
                  <m:t>z</m:t>
                </m:r>
              </m:e>
            </m:acc>
          </m:e>
          <m:sub>
            <m:r>
              <w:rPr>
                <w:rFonts w:ascii="Cambria Math" w:hAnsi="Cambria Math" w:cs="Times New Roman"/>
                <w:sz w:val="24"/>
                <w:szCs w:val="24"/>
              </w:rPr>
              <m:t>α</m:t>
            </m:r>
          </m:sub>
        </m:sSub>
        <m:d>
          <m:dPr>
            <m:ctrlPr>
              <w:rPr>
                <w:rFonts w:ascii="Cambria Math" w:hAnsi="Cambria Math" w:cs="Times New Roman"/>
                <w:i/>
                <w:sz w:val="24"/>
                <w:szCs w:val="24"/>
              </w:rPr>
            </m:ctrlPr>
          </m:dPr>
          <m:e>
            <m:r>
              <w:rPr>
                <w:rFonts w:ascii="Cambria Math" w:hAnsi="Cambria Math" w:cs="Times New Roman"/>
                <w:sz w:val="24"/>
                <w:szCs w:val="24"/>
              </w:rPr>
              <m:t>S</m:t>
            </m:r>
          </m:e>
        </m:d>
      </m:oMath>
      <w:r>
        <w:rPr>
          <w:rFonts w:ascii="Times New Roman" w:hAnsi="Times New Roman" w:cs="Times New Roman"/>
          <w:noProof/>
          <w:sz w:val="24"/>
          <w:szCs w:val="24"/>
        </w:rPr>
        <w:t xml:space="preserve"> is the corresponding</w:t>
      </w:r>
      <w:r w:rsidR="0080081D">
        <w:rPr>
          <w:rFonts w:ascii="Times New Roman" w:hAnsi="Times New Roman" w:cs="Times New Roman"/>
          <w:noProof/>
          <w:sz w:val="24"/>
          <w:szCs w:val="24"/>
        </w:rPr>
        <w:t xml:space="preserve"> spread distribution percentile.</w:t>
      </w:r>
      <w:r w:rsidR="009C7CF2">
        <w:rPr>
          <w:rFonts w:ascii="Times New Roman" w:hAnsi="Times New Roman" w:cs="Times New Roman"/>
          <w:noProof/>
          <w:sz w:val="24"/>
          <w:szCs w:val="24"/>
        </w:rPr>
        <w:t xml:space="preserve"> </w:t>
      </w:r>
      <w:r w:rsidR="00722DA1">
        <w:rPr>
          <w:rFonts w:ascii="Times New Roman" w:hAnsi="Times New Roman" w:cs="Times New Roman"/>
          <w:sz w:val="24"/>
          <w:szCs w:val="24"/>
        </w:rPr>
        <w:t>T</w:t>
      </w:r>
      <w:r w:rsidR="00406B6B">
        <w:rPr>
          <w:rFonts w:ascii="Times New Roman" w:hAnsi="Times New Roman" w:cs="Times New Roman"/>
          <w:sz w:val="24"/>
          <w:szCs w:val="24"/>
        </w:rPr>
        <w:t>h</w:t>
      </w:r>
      <w:r w:rsidR="00383FF3">
        <w:rPr>
          <w:rFonts w:ascii="Times New Roman" w:hAnsi="Times New Roman" w:cs="Times New Roman"/>
          <w:sz w:val="24"/>
          <w:szCs w:val="24"/>
        </w:rPr>
        <w:t>e methodology described in Equation 6</w:t>
      </w:r>
      <w:r w:rsidR="00C206DD">
        <w:rPr>
          <w:rFonts w:ascii="Times New Roman" w:hAnsi="Times New Roman" w:cs="Times New Roman"/>
          <w:sz w:val="24"/>
          <w:szCs w:val="24"/>
        </w:rPr>
        <w:t xml:space="preserve"> </w:t>
      </w:r>
      <w:r w:rsidR="00722DA1">
        <w:rPr>
          <w:rFonts w:ascii="Times New Roman" w:hAnsi="Times New Roman" w:cs="Times New Roman"/>
          <w:sz w:val="24"/>
          <w:szCs w:val="24"/>
        </w:rPr>
        <w:t xml:space="preserve">is then used to </w:t>
      </w:r>
      <w:r w:rsidR="00C206DD">
        <w:rPr>
          <w:rFonts w:ascii="Times New Roman" w:hAnsi="Times New Roman" w:cs="Times New Roman"/>
          <w:sz w:val="24"/>
          <w:szCs w:val="24"/>
        </w:rPr>
        <w:t>compute LVaR estimates at</w:t>
      </w:r>
      <w:r w:rsidR="007E0644">
        <w:rPr>
          <w:rFonts w:ascii="Times New Roman" w:hAnsi="Times New Roman" w:cs="Times New Roman"/>
          <w:sz w:val="24"/>
          <w:szCs w:val="24"/>
        </w:rPr>
        <w:t xml:space="preserve"> instrument level</w:t>
      </w:r>
      <w:r w:rsidR="00C206DD">
        <w:rPr>
          <w:rFonts w:ascii="Times New Roman" w:hAnsi="Times New Roman" w:cs="Times New Roman"/>
          <w:sz w:val="24"/>
          <w:szCs w:val="24"/>
        </w:rPr>
        <w:t xml:space="preserve"> </w:t>
      </w:r>
      <w:r w:rsidR="0041006E">
        <w:rPr>
          <w:rFonts w:ascii="Times New Roman" w:hAnsi="Times New Roman" w:cs="Times New Roman"/>
          <w:sz w:val="24"/>
          <w:szCs w:val="24"/>
        </w:rPr>
        <w:t>and simply take the mean of the LVaR estimates for the analysis of more than one instrument</w:t>
      </w:r>
      <w:r w:rsidR="00C206DD">
        <w:rPr>
          <w:rFonts w:ascii="Times New Roman" w:hAnsi="Times New Roman" w:cs="Times New Roman"/>
          <w:sz w:val="24"/>
          <w:szCs w:val="24"/>
        </w:rPr>
        <w:t>.</w:t>
      </w:r>
      <w:r w:rsidR="007E0644">
        <w:rPr>
          <w:rFonts w:ascii="Times New Roman" w:hAnsi="Times New Roman" w:cs="Times New Roman"/>
          <w:sz w:val="24"/>
          <w:szCs w:val="24"/>
        </w:rPr>
        <w:t xml:space="preserve"> </w:t>
      </w:r>
      <w:r w:rsidR="0041006E">
        <w:rPr>
          <w:rFonts w:ascii="Times New Roman" w:hAnsi="Times New Roman" w:cs="Times New Roman"/>
          <w:sz w:val="24"/>
          <w:szCs w:val="24"/>
        </w:rPr>
        <w:t xml:space="preserve">There is no explicit </w:t>
      </w:r>
      <w:r w:rsidR="007E0644">
        <w:rPr>
          <w:rFonts w:ascii="Times New Roman" w:hAnsi="Times New Roman" w:cs="Times New Roman"/>
          <w:sz w:val="24"/>
          <w:szCs w:val="24"/>
        </w:rPr>
        <w:t xml:space="preserve">methodology suggested </w:t>
      </w:r>
      <w:r w:rsidR="0041006E">
        <w:rPr>
          <w:rFonts w:ascii="Times New Roman" w:hAnsi="Times New Roman" w:cs="Times New Roman"/>
          <w:sz w:val="24"/>
          <w:szCs w:val="24"/>
        </w:rPr>
        <w:t xml:space="preserve">in their paper to compute </w:t>
      </w:r>
      <w:r w:rsidR="007E0644">
        <w:rPr>
          <w:rFonts w:ascii="Times New Roman" w:hAnsi="Times New Roman" w:cs="Times New Roman"/>
          <w:sz w:val="24"/>
          <w:szCs w:val="24"/>
        </w:rPr>
        <w:t xml:space="preserve">a portfolio level LVaR model. </w:t>
      </w:r>
    </w:p>
    <w:p w14:paraId="580CED25" w14:textId="77777777" w:rsidR="009C7CF2" w:rsidRDefault="009C7CF2" w:rsidP="00FF2AAC">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One approach for a full portfolio level treatment for liquidity risk is suggested in Bangia et al. (2002). They suggest computing the portfolio-level bid and ask series by taking the weighted sum of the bids and asks of the instruments. However, Bangia et al. (2002) assume that the returns are normally distributed while computing the portfolio LVaR estimates using this approach. Many studies (Stange and Kaserere 2011, Ernst et al. 2012) </w:t>
      </w:r>
      <w:r>
        <w:rPr>
          <w:rFonts w:ascii="Times New Roman" w:hAnsi="Times New Roman" w:cs="Times New Roman"/>
          <w:sz w:val="24"/>
          <w:szCs w:val="24"/>
        </w:rPr>
        <w:lastRenderedPageBreak/>
        <w:t>show that the assumption of normally distributed returns is rejected for most financial time series, including those for individual stocks, exchange rates, precious metals etc.</w:t>
      </w:r>
    </w:p>
    <w:p w14:paraId="02F27EE2" w14:textId="77777777" w:rsidR="009C7CF2" w:rsidRDefault="009C7CF2" w:rsidP="009C7CF2">
      <w:pPr>
        <w:spacing w:line="480" w:lineRule="auto"/>
        <w:jc w:val="both"/>
        <w:rPr>
          <w:rFonts w:ascii="Times New Roman" w:hAnsi="Times New Roman" w:cs="Times New Roman"/>
          <w:sz w:val="24"/>
          <w:szCs w:val="24"/>
        </w:rPr>
      </w:pPr>
      <w:r>
        <w:rPr>
          <w:rFonts w:ascii="Times New Roman" w:hAnsi="Times New Roman" w:cs="Times New Roman"/>
          <w:sz w:val="24"/>
          <w:szCs w:val="24"/>
        </w:rPr>
        <w:t>In this paper, the portfolio level bid and ask series is computed by taking the weighted sum of the bids and asks of the instruments (suggested by Bangia et al. 2002) and this bid-ask data is used for calculating the portfolio-level estimate LVaR (Modified) using Equation 6 (discussed by Ernst at al. 2012). Therefore, this paper discusses the approach for calculating a portfolio-level LVaR (Modified) measure by using the adapted model based on the Cornish-Fisher expansion technique used for correcting the percentiles of a standard normal distribution for non-normality.</w:t>
      </w:r>
    </w:p>
    <w:p w14:paraId="2BFA60CC" w14:textId="77777777" w:rsidR="00BB1891" w:rsidRDefault="00BB1891" w:rsidP="00FF2AAC">
      <w:pPr>
        <w:spacing w:line="480" w:lineRule="auto"/>
        <w:jc w:val="both"/>
        <w:rPr>
          <w:rFonts w:ascii="Times New Roman" w:hAnsi="Times New Roman" w:cs="Times New Roman"/>
          <w:sz w:val="24"/>
          <w:szCs w:val="24"/>
        </w:rPr>
      </w:pPr>
    </w:p>
    <w:p w14:paraId="3F602A88" w14:textId="77777777" w:rsidR="003654F1" w:rsidRPr="00976FD9" w:rsidRDefault="00657A1C" w:rsidP="00115D01">
      <w:pPr>
        <w:pStyle w:val="Heading1"/>
        <w:numPr>
          <w:ilvl w:val="0"/>
          <w:numId w:val="6"/>
        </w:numPr>
        <w:spacing w:line="480" w:lineRule="auto"/>
        <w:jc w:val="both"/>
        <w:rPr>
          <w:rFonts w:ascii="Times New Roman" w:hAnsi="Times New Roman" w:cs="Times New Roman"/>
          <w:sz w:val="24"/>
          <w:szCs w:val="24"/>
        </w:rPr>
      </w:pPr>
      <w:bookmarkStart w:id="77" w:name="_Toc431418253"/>
      <w:r>
        <w:rPr>
          <w:rFonts w:ascii="Times New Roman" w:hAnsi="Times New Roman" w:cs="Times New Roman"/>
          <w:sz w:val="24"/>
          <w:szCs w:val="24"/>
        </w:rPr>
        <w:t>Data Description</w:t>
      </w:r>
      <w:bookmarkEnd w:id="77"/>
    </w:p>
    <w:p w14:paraId="674C8BA1" w14:textId="77777777" w:rsidR="00876C49" w:rsidRDefault="00452166" w:rsidP="007C7FCE">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The required </w:t>
      </w:r>
      <w:r w:rsidRPr="00280058">
        <w:rPr>
          <w:rFonts w:ascii="Times New Roman" w:hAnsi="Times New Roman" w:cs="Times New Roman"/>
          <w:sz w:val="24"/>
          <w:szCs w:val="24"/>
        </w:rPr>
        <w:t xml:space="preserve">price and bid-ask spread data </w:t>
      </w:r>
      <w:r>
        <w:rPr>
          <w:rFonts w:ascii="Times New Roman" w:hAnsi="Times New Roman" w:cs="Times New Roman"/>
          <w:sz w:val="24"/>
          <w:szCs w:val="24"/>
        </w:rPr>
        <w:t xml:space="preserve">of the stocks </w:t>
      </w:r>
      <w:r w:rsidRPr="00280058">
        <w:rPr>
          <w:rFonts w:ascii="Times New Roman" w:hAnsi="Times New Roman" w:cs="Times New Roman"/>
          <w:sz w:val="24"/>
          <w:szCs w:val="24"/>
        </w:rPr>
        <w:t xml:space="preserve">is obtained from </w:t>
      </w:r>
      <w:r>
        <w:rPr>
          <w:rFonts w:ascii="Times New Roman" w:hAnsi="Times New Roman" w:cs="Times New Roman"/>
          <w:sz w:val="24"/>
          <w:szCs w:val="24"/>
        </w:rPr>
        <w:t xml:space="preserve">the database Datastream for the time period </w:t>
      </w:r>
      <w:r w:rsidRPr="00280058">
        <w:rPr>
          <w:rFonts w:ascii="Times New Roman" w:hAnsi="Times New Roman" w:cs="Times New Roman"/>
          <w:sz w:val="24"/>
          <w:szCs w:val="24"/>
        </w:rPr>
        <w:t>from J</w:t>
      </w:r>
      <w:r>
        <w:rPr>
          <w:rFonts w:ascii="Times New Roman" w:hAnsi="Times New Roman" w:cs="Times New Roman"/>
          <w:sz w:val="24"/>
          <w:szCs w:val="24"/>
        </w:rPr>
        <w:t xml:space="preserve">anuary 2010 to December 2014. </w:t>
      </w:r>
      <w:r w:rsidR="007C7FCE">
        <w:rPr>
          <w:rFonts w:ascii="Times New Roman" w:hAnsi="Times New Roman" w:cs="Times New Roman"/>
          <w:sz w:val="24"/>
          <w:szCs w:val="24"/>
        </w:rPr>
        <w:t xml:space="preserve">Table 1 contains the exact description of the sample portfolios used for the analysis. Indian stocks belonging to diverse sectors are selected based on data availability during the </w:t>
      </w:r>
      <w:r w:rsidR="00876C49">
        <w:rPr>
          <w:rFonts w:ascii="Times New Roman" w:hAnsi="Times New Roman" w:cs="Times New Roman"/>
          <w:sz w:val="24"/>
          <w:szCs w:val="24"/>
        </w:rPr>
        <w:t>analysis</w:t>
      </w:r>
      <w:r w:rsidR="007C7FCE">
        <w:rPr>
          <w:rFonts w:ascii="Times New Roman" w:hAnsi="Times New Roman" w:cs="Times New Roman"/>
          <w:sz w:val="24"/>
          <w:szCs w:val="24"/>
        </w:rPr>
        <w:t xml:space="preserve"> period. </w:t>
      </w:r>
      <w:r w:rsidR="00876C49">
        <w:rPr>
          <w:rFonts w:ascii="Times New Roman" w:hAnsi="Times New Roman" w:cs="Times New Roman"/>
          <w:sz w:val="24"/>
          <w:szCs w:val="24"/>
        </w:rPr>
        <w:t>D</w:t>
      </w:r>
      <w:r w:rsidR="00876C49" w:rsidRPr="00280058">
        <w:rPr>
          <w:rFonts w:ascii="Times New Roman" w:hAnsi="Times New Roman" w:cs="Times New Roman"/>
          <w:sz w:val="24"/>
          <w:szCs w:val="24"/>
        </w:rPr>
        <w:t>escriptive statistics of relative bid-ask spreads</w:t>
      </w:r>
      <w:r w:rsidR="00876C49">
        <w:rPr>
          <w:rFonts w:ascii="Times New Roman" w:hAnsi="Times New Roman" w:cs="Times New Roman"/>
          <w:sz w:val="24"/>
          <w:szCs w:val="24"/>
        </w:rPr>
        <w:t xml:space="preserve"> for the stocks in the Nifty portfolio are presented in Table 2.</w:t>
      </w:r>
      <w:r w:rsidR="00722DA1">
        <w:rPr>
          <w:rFonts w:ascii="Times New Roman" w:hAnsi="Times New Roman" w:cs="Times New Roman"/>
          <w:sz w:val="24"/>
          <w:szCs w:val="24"/>
        </w:rPr>
        <w:t xml:space="preserve"> The analysis for the remaining portfolios is included in the Appendix.</w:t>
      </w:r>
    </w:p>
    <w:p w14:paraId="7E9592B9" w14:textId="77777777" w:rsidR="00876C49" w:rsidRDefault="00876C49" w:rsidP="00876C49">
      <w:pPr>
        <w:autoSpaceDE w:val="0"/>
        <w:autoSpaceDN w:val="0"/>
        <w:adjustRightInd w:val="0"/>
        <w:spacing w:line="480" w:lineRule="auto"/>
        <w:jc w:val="both"/>
        <w:rPr>
          <w:rFonts w:ascii="Times New Roman" w:hAnsi="Times New Roman" w:cs="Times New Roman"/>
          <w:sz w:val="24"/>
          <w:szCs w:val="24"/>
        </w:rPr>
      </w:pPr>
      <w:r w:rsidRPr="00280058">
        <w:rPr>
          <w:rFonts w:ascii="Times New Roman" w:hAnsi="Times New Roman" w:cs="Times New Roman"/>
          <w:sz w:val="24"/>
          <w:szCs w:val="24"/>
        </w:rPr>
        <w:t xml:space="preserve">The relative bid-ask is found via formula, </w:t>
      </w:r>
    </w:p>
    <w:p w14:paraId="4B2AD158" w14:textId="77777777" w:rsidR="00876C49" w:rsidRDefault="00876C49" w:rsidP="00876C49">
      <w:pPr>
        <w:autoSpaceDE w:val="0"/>
        <w:autoSpaceDN w:val="0"/>
        <w:adjustRightInd w:val="0"/>
        <w:spacing w:line="480" w:lineRule="auto"/>
        <w:jc w:val="both"/>
        <w:rPr>
          <w:rFonts w:ascii="Times New Roman" w:hAnsi="Times New Roman" w:cs="Times New Roman"/>
          <w:sz w:val="24"/>
          <w:szCs w:val="24"/>
        </w:rPr>
      </w:pPr>
      <m:oMath>
        <m:r>
          <w:rPr>
            <w:rFonts w:ascii="Cambria Math" w:hAnsi="Cambria Math" w:cs="Times New Roman"/>
            <w:sz w:val="24"/>
            <w:szCs w:val="24"/>
          </w:rPr>
          <m:t xml:space="preserve">Relative bid-ask spread= </m:t>
        </m:r>
        <m:r>
          <w:rPr>
            <w:rFonts w:ascii="Cambria Math" w:hAnsi="Times New Roman" w:cs="Times New Roman"/>
            <w:sz w:val="24"/>
            <w:szCs w:val="24"/>
          </w:rPr>
          <m:t>2</m:t>
        </m:r>
        <m:r>
          <w:rPr>
            <w:rFonts w:ascii="Cambria Math" w:hAnsi="Cambria Math" w:cs="Times New Roman"/>
            <w:sz w:val="24"/>
            <w:szCs w:val="24"/>
          </w:rPr>
          <m:t>*</m:t>
        </m:r>
        <m:f>
          <m:fPr>
            <m:ctrlPr>
              <w:rPr>
                <w:rFonts w:ascii="Cambria Math" w:hAnsi="Times New Roman" w:cs="Times New Roman"/>
                <w:i/>
                <w:sz w:val="24"/>
                <w:szCs w:val="24"/>
              </w:rPr>
            </m:ctrlPr>
          </m:fPr>
          <m:num>
            <m:r>
              <w:rPr>
                <w:rFonts w:ascii="Cambria Math" w:hAnsi="Times New Roman" w:cs="Times New Roman"/>
                <w:sz w:val="24"/>
                <w:szCs w:val="24"/>
              </w:rPr>
              <m:t>(</m:t>
            </m:r>
            <m:r>
              <w:rPr>
                <w:rFonts w:ascii="Cambria Math" w:hAnsi="Cambria Math" w:cs="Times New Roman"/>
                <w:sz w:val="24"/>
                <w:szCs w:val="24"/>
              </w:rPr>
              <m:t>ask-bid</m:t>
            </m:r>
            <m:r>
              <w:rPr>
                <w:rFonts w:ascii="Cambria Math" w:hAnsi="Times New Roman" w:cs="Times New Roman"/>
                <w:sz w:val="24"/>
                <w:szCs w:val="24"/>
              </w:rPr>
              <m:t>)</m:t>
            </m:r>
          </m:num>
          <m:den>
            <m:r>
              <w:rPr>
                <w:rFonts w:ascii="Cambria Math" w:hAnsi="Cambria Math" w:cs="Times New Roman"/>
                <w:sz w:val="24"/>
                <w:szCs w:val="24"/>
              </w:rPr>
              <m:t>ask</m:t>
            </m:r>
            <m:r>
              <w:rPr>
                <w:rFonts w:ascii="Cambria Math" w:hAnsi="Times New Roman" w:cs="Times New Roman"/>
                <w:sz w:val="24"/>
                <w:szCs w:val="24"/>
              </w:rPr>
              <m:t>+</m:t>
            </m:r>
            <m:r>
              <w:rPr>
                <w:rFonts w:ascii="Cambria Math" w:hAnsi="Cambria Math" w:cs="Times New Roman"/>
                <w:sz w:val="24"/>
                <w:szCs w:val="24"/>
              </w:rPr>
              <m:t>bid</m:t>
            </m:r>
          </m:den>
        </m:f>
      </m:oMath>
      <w:r>
        <w:rPr>
          <w:rFonts w:ascii="Times New Roman" w:hAnsi="Times New Roman" w:cs="Times New Roman"/>
          <w:sz w:val="24"/>
          <w:szCs w:val="24"/>
        </w:rPr>
        <w:t>................................................... (Equation 7)</w:t>
      </w:r>
    </w:p>
    <w:p w14:paraId="44AE0CD6" w14:textId="77777777" w:rsidR="009C7CF2" w:rsidRDefault="009C7CF2" w:rsidP="00876C49">
      <w:pPr>
        <w:autoSpaceDE w:val="0"/>
        <w:autoSpaceDN w:val="0"/>
        <w:adjustRightInd w:val="0"/>
        <w:spacing w:line="480" w:lineRule="auto"/>
        <w:jc w:val="both"/>
        <w:rPr>
          <w:rFonts w:ascii="Times New Roman" w:hAnsi="Times New Roman" w:cs="Times New Roman"/>
          <w:sz w:val="24"/>
          <w:szCs w:val="24"/>
        </w:rPr>
      </w:pPr>
    </w:p>
    <w:p w14:paraId="642F4ED9" w14:textId="77777777" w:rsidR="009C7CF2" w:rsidRDefault="009C7CF2" w:rsidP="00876C49">
      <w:pPr>
        <w:autoSpaceDE w:val="0"/>
        <w:autoSpaceDN w:val="0"/>
        <w:adjustRightInd w:val="0"/>
        <w:spacing w:line="480" w:lineRule="auto"/>
        <w:jc w:val="both"/>
        <w:rPr>
          <w:rFonts w:ascii="Times New Roman" w:hAnsi="Times New Roman" w:cs="Times New Roman"/>
          <w:sz w:val="24"/>
          <w:szCs w:val="24"/>
        </w:rPr>
      </w:pPr>
    </w:p>
    <w:p w14:paraId="05F0C443" w14:textId="77777777" w:rsidR="007C7FCE" w:rsidRDefault="007C7FCE" w:rsidP="007C7FCE">
      <w:pPr>
        <w:pStyle w:val="Caption"/>
        <w:keepNext/>
      </w:pPr>
      <w:r>
        <w:lastRenderedPageBreak/>
        <w:t xml:space="preserve">Table </w:t>
      </w:r>
      <w:r w:rsidR="00EC34E3">
        <w:fldChar w:fldCharType="begin"/>
      </w:r>
      <w:r w:rsidR="00EC34E3">
        <w:instrText xml:space="preserve"> SEQ Table \* ARABIC </w:instrText>
      </w:r>
      <w:r w:rsidR="00EC34E3">
        <w:fldChar w:fldCharType="separate"/>
      </w:r>
      <w:r w:rsidR="00B0578D">
        <w:rPr>
          <w:noProof/>
        </w:rPr>
        <w:t>1</w:t>
      </w:r>
      <w:r w:rsidR="00EC34E3">
        <w:rPr>
          <w:noProof/>
        </w:rPr>
        <w:fldChar w:fldCharType="end"/>
      </w:r>
      <w:r>
        <w:t xml:space="preserve"> Compositions of equally-weighted portfolios for analysis</w:t>
      </w:r>
    </w:p>
    <w:tbl>
      <w:tblPr>
        <w:tblW w:w="9033" w:type="dxa"/>
        <w:tblInd w:w="93" w:type="dxa"/>
        <w:tblLook w:val="04A0" w:firstRow="1" w:lastRow="0" w:firstColumn="1" w:lastColumn="0" w:noHBand="0" w:noVBand="1"/>
      </w:tblPr>
      <w:tblGrid>
        <w:gridCol w:w="1390"/>
        <w:gridCol w:w="2226"/>
        <w:gridCol w:w="1317"/>
        <w:gridCol w:w="1789"/>
        <w:gridCol w:w="2311"/>
      </w:tblGrid>
      <w:tr w:rsidR="007C7FCE" w:rsidRPr="00164812" w14:paraId="17B44056" w14:textId="77777777" w:rsidTr="00876C49">
        <w:trPr>
          <w:trHeight w:val="291"/>
        </w:trPr>
        <w:tc>
          <w:tcPr>
            <w:tcW w:w="139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0A5E143" w14:textId="77777777" w:rsidR="007C7FCE" w:rsidRPr="00164812" w:rsidRDefault="007C7FCE" w:rsidP="00B96CCF">
            <w:pPr>
              <w:spacing w:after="0" w:line="240" w:lineRule="auto"/>
              <w:jc w:val="center"/>
              <w:rPr>
                <w:rFonts w:cs="Times New Roman"/>
                <w:b/>
                <w:bCs/>
                <w:color w:val="000000"/>
              </w:rPr>
            </w:pPr>
            <w:r w:rsidRPr="00164812">
              <w:rPr>
                <w:rFonts w:cs="Times New Roman"/>
                <w:b/>
                <w:bCs/>
                <w:color w:val="000000"/>
              </w:rPr>
              <w:t>Nifty</w:t>
            </w:r>
          </w:p>
        </w:tc>
        <w:tc>
          <w:tcPr>
            <w:tcW w:w="2226" w:type="dxa"/>
            <w:tcBorders>
              <w:top w:val="single" w:sz="8" w:space="0" w:color="auto"/>
              <w:left w:val="nil"/>
              <w:bottom w:val="single" w:sz="8" w:space="0" w:color="auto"/>
              <w:right w:val="single" w:sz="8" w:space="0" w:color="auto"/>
            </w:tcBorders>
            <w:shd w:val="clear" w:color="auto" w:fill="auto"/>
            <w:vAlign w:val="center"/>
            <w:hideMark/>
          </w:tcPr>
          <w:p w14:paraId="76BF6D2D" w14:textId="77777777" w:rsidR="007C7FCE" w:rsidRPr="00164812" w:rsidRDefault="007C7FCE" w:rsidP="00B96CCF">
            <w:pPr>
              <w:spacing w:after="0" w:line="240" w:lineRule="auto"/>
              <w:jc w:val="center"/>
              <w:rPr>
                <w:rFonts w:cs="Times New Roman"/>
                <w:b/>
                <w:bCs/>
                <w:color w:val="000000"/>
              </w:rPr>
            </w:pPr>
            <w:r w:rsidRPr="00164812">
              <w:rPr>
                <w:rFonts w:cs="Times New Roman"/>
                <w:b/>
                <w:bCs/>
                <w:color w:val="000000"/>
              </w:rPr>
              <w:t>Infra</w:t>
            </w:r>
          </w:p>
        </w:tc>
        <w:tc>
          <w:tcPr>
            <w:tcW w:w="1317" w:type="dxa"/>
            <w:tcBorders>
              <w:top w:val="single" w:sz="8" w:space="0" w:color="auto"/>
              <w:left w:val="nil"/>
              <w:bottom w:val="single" w:sz="8" w:space="0" w:color="auto"/>
              <w:right w:val="single" w:sz="8" w:space="0" w:color="auto"/>
            </w:tcBorders>
            <w:shd w:val="clear" w:color="auto" w:fill="auto"/>
            <w:vAlign w:val="center"/>
            <w:hideMark/>
          </w:tcPr>
          <w:p w14:paraId="28CC4D23" w14:textId="77777777" w:rsidR="007C7FCE" w:rsidRPr="00164812" w:rsidRDefault="007C7FCE" w:rsidP="00B96CCF">
            <w:pPr>
              <w:spacing w:after="0" w:line="240" w:lineRule="auto"/>
              <w:jc w:val="center"/>
              <w:rPr>
                <w:rFonts w:cs="Times New Roman"/>
                <w:b/>
                <w:bCs/>
                <w:color w:val="000000"/>
              </w:rPr>
            </w:pPr>
            <w:r w:rsidRPr="00164812">
              <w:rPr>
                <w:rFonts w:cs="Times New Roman"/>
                <w:b/>
                <w:bCs/>
                <w:color w:val="000000"/>
              </w:rPr>
              <w:t>Service</w:t>
            </w:r>
          </w:p>
        </w:tc>
        <w:tc>
          <w:tcPr>
            <w:tcW w:w="1789" w:type="dxa"/>
            <w:tcBorders>
              <w:top w:val="single" w:sz="8" w:space="0" w:color="auto"/>
              <w:left w:val="nil"/>
              <w:bottom w:val="single" w:sz="8" w:space="0" w:color="auto"/>
              <w:right w:val="single" w:sz="8" w:space="0" w:color="auto"/>
            </w:tcBorders>
            <w:shd w:val="clear" w:color="auto" w:fill="auto"/>
            <w:vAlign w:val="center"/>
            <w:hideMark/>
          </w:tcPr>
          <w:p w14:paraId="40B80B69" w14:textId="77777777" w:rsidR="007C7FCE" w:rsidRPr="00164812" w:rsidRDefault="007C7FCE" w:rsidP="00B96CCF">
            <w:pPr>
              <w:spacing w:after="0" w:line="240" w:lineRule="auto"/>
              <w:jc w:val="center"/>
              <w:rPr>
                <w:rFonts w:cs="Times New Roman"/>
                <w:b/>
                <w:bCs/>
                <w:color w:val="000000"/>
              </w:rPr>
            </w:pPr>
            <w:r w:rsidRPr="00164812">
              <w:rPr>
                <w:rFonts w:cs="Times New Roman"/>
                <w:b/>
                <w:bCs/>
                <w:color w:val="000000"/>
              </w:rPr>
              <w:t>Midcap</w:t>
            </w:r>
          </w:p>
        </w:tc>
        <w:tc>
          <w:tcPr>
            <w:tcW w:w="2311" w:type="dxa"/>
            <w:tcBorders>
              <w:top w:val="single" w:sz="8" w:space="0" w:color="auto"/>
              <w:left w:val="nil"/>
              <w:bottom w:val="single" w:sz="8" w:space="0" w:color="auto"/>
              <w:right w:val="single" w:sz="8" w:space="0" w:color="auto"/>
            </w:tcBorders>
            <w:shd w:val="clear" w:color="auto" w:fill="auto"/>
            <w:vAlign w:val="center"/>
            <w:hideMark/>
          </w:tcPr>
          <w:p w14:paraId="6F9A90DC" w14:textId="77777777" w:rsidR="007C7FCE" w:rsidRPr="00164812" w:rsidRDefault="007C7FCE" w:rsidP="00B96CCF">
            <w:pPr>
              <w:spacing w:after="0" w:line="240" w:lineRule="auto"/>
              <w:jc w:val="center"/>
              <w:rPr>
                <w:rFonts w:cs="Times New Roman"/>
                <w:b/>
                <w:bCs/>
                <w:color w:val="000000"/>
              </w:rPr>
            </w:pPr>
            <w:r w:rsidRPr="00164812">
              <w:rPr>
                <w:rFonts w:cs="Times New Roman"/>
                <w:b/>
                <w:bCs/>
                <w:color w:val="000000"/>
              </w:rPr>
              <w:t>Smallcap</w:t>
            </w:r>
          </w:p>
        </w:tc>
      </w:tr>
      <w:tr w:rsidR="007C7FCE" w:rsidRPr="00164812" w14:paraId="3E38E69F" w14:textId="77777777" w:rsidTr="00876C49">
        <w:trPr>
          <w:trHeight w:val="554"/>
        </w:trPr>
        <w:tc>
          <w:tcPr>
            <w:tcW w:w="1390" w:type="dxa"/>
            <w:tcBorders>
              <w:top w:val="nil"/>
              <w:left w:val="single" w:sz="8" w:space="0" w:color="000000"/>
              <w:bottom w:val="nil"/>
              <w:right w:val="single" w:sz="8" w:space="0" w:color="auto"/>
            </w:tcBorders>
            <w:shd w:val="clear" w:color="auto" w:fill="auto"/>
            <w:vAlign w:val="center"/>
            <w:hideMark/>
          </w:tcPr>
          <w:p w14:paraId="7914D2D2" w14:textId="77777777" w:rsidR="007C7FCE" w:rsidRPr="00164812" w:rsidRDefault="007C7FCE" w:rsidP="00B96CCF">
            <w:pPr>
              <w:spacing w:after="0" w:line="240" w:lineRule="auto"/>
              <w:jc w:val="center"/>
              <w:rPr>
                <w:rFonts w:cs="Times New Roman"/>
                <w:color w:val="000000"/>
              </w:rPr>
            </w:pPr>
            <w:r w:rsidRPr="00164812">
              <w:rPr>
                <w:rFonts w:cs="Times New Roman"/>
                <w:color w:val="000000"/>
              </w:rPr>
              <w:t>Bajaj Auto</w:t>
            </w:r>
          </w:p>
        </w:tc>
        <w:tc>
          <w:tcPr>
            <w:tcW w:w="2226" w:type="dxa"/>
            <w:tcBorders>
              <w:top w:val="nil"/>
              <w:left w:val="nil"/>
              <w:bottom w:val="nil"/>
              <w:right w:val="single" w:sz="8" w:space="0" w:color="auto"/>
            </w:tcBorders>
            <w:shd w:val="clear" w:color="auto" w:fill="auto"/>
            <w:vAlign w:val="center"/>
            <w:hideMark/>
          </w:tcPr>
          <w:p w14:paraId="2EE8A93E" w14:textId="77777777" w:rsidR="007C7FCE" w:rsidRPr="00164812" w:rsidRDefault="007C7FCE" w:rsidP="00B96CCF">
            <w:pPr>
              <w:spacing w:after="0" w:line="240" w:lineRule="auto"/>
              <w:jc w:val="center"/>
              <w:rPr>
                <w:rFonts w:cs="Times New Roman"/>
                <w:color w:val="000000"/>
              </w:rPr>
            </w:pPr>
            <w:r w:rsidRPr="00164812">
              <w:rPr>
                <w:rFonts w:cs="Times New Roman"/>
                <w:color w:val="000000"/>
              </w:rPr>
              <w:t>JSW Energy</w:t>
            </w:r>
          </w:p>
        </w:tc>
        <w:tc>
          <w:tcPr>
            <w:tcW w:w="1317" w:type="dxa"/>
            <w:tcBorders>
              <w:top w:val="nil"/>
              <w:left w:val="nil"/>
              <w:bottom w:val="nil"/>
              <w:right w:val="single" w:sz="8" w:space="0" w:color="auto"/>
            </w:tcBorders>
            <w:shd w:val="clear" w:color="auto" w:fill="auto"/>
            <w:vAlign w:val="center"/>
            <w:hideMark/>
          </w:tcPr>
          <w:p w14:paraId="2EB1792E" w14:textId="77777777" w:rsidR="007C7FCE" w:rsidRPr="00164812" w:rsidRDefault="007C7FCE" w:rsidP="00B96CCF">
            <w:pPr>
              <w:spacing w:after="0" w:line="240" w:lineRule="auto"/>
              <w:jc w:val="center"/>
              <w:rPr>
                <w:rFonts w:cs="Times New Roman"/>
                <w:color w:val="000000"/>
              </w:rPr>
            </w:pPr>
            <w:r w:rsidRPr="00164812">
              <w:rPr>
                <w:rFonts w:cs="Times New Roman"/>
                <w:color w:val="000000"/>
              </w:rPr>
              <w:t>Infosys</w:t>
            </w:r>
          </w:p>
        </w:tc>
        <w:tc>
          <w:tcPr>
            <w:tcW w:w="1789" w:type="dxa"/>
            <w:tcBorders>
              <w:top w:val="nil"/>
              <w:left w:val="nil"/>
              <w:bottom w:val="nil"/>
              <w:right w:val="single" w:sz="8" w:space="0" w:color="auto"/>
            </w:tcBorders>
            <w:shd w:val="clear" w:color="auto" w:fill="auto"/>
            <w:vAlign w:val="center"/>
            <w:hideMark/>
          </w:tcPr>
          <w:p w14:paraId="6982A264" w14:textId="77777777" w:rsidR="007C7FCE" w:rsidRPr="00164812" w:rsidRDefault="007C7FCE" w:rsidP="00B96CCF">
            <w:pPr>
              <w:spacing w:after="0" w:line="240" w:lineRule="auto"/>
              <w:jc w:val="center"/>
              <w:rPr>
                <w:rFonts w:cs="Times New Roman"/>
                <w:color w:val="000000"/>
              </w:rPr>
            </w:pPr>
            <w:r w:rsidRPr="00164812">
              <w:rPr>
                <w:rFonts w:cs="Times New Roman"/>
                <w:color w:val="000000"/>
              </w:rPr>
              <w:t>Apollo Hospitals</w:t>
            </w:r>
          </w:p>
        </w:tc>
        <w:tc>
          <w:tcPr>
            <w:tcW w:w="2311" w:type="dxa"/>
            <w:tcBorders>
              <w:top w:val="nil"/>
              <w:left w:val="nil"/>
              <w:bottom w:val="nil"/>
              <w:right w:val="single" w:sz="8" w:space="0" w:color="auto"/>
            </w:tcBorders>
            <w:shd w:val="clear" w:color="auto" w:fill="auto"/>
            <w:vAlign w:val="center"/>
            <w:hideMark/>
          </w:tcPr>
          <w:p w14:paraId="539CB782" w14:textId="77777777" w:rsidR="007C7FCE" w:rsidRPr="00164812" w:rsidRDefault="007C7FCE" w:rsidP="00B96CCF">
            <w:pPr>
              <w:spacing w:after="0" w:line="240" w:lineRule="auto"/>
              <w:jc w:val="center"/>
              <w:rPr>
                <w:rFonts w:cs="Times New Roman"/>
                <w:color w:val="000000"/>
              </w:rPr>
            </w:pPr>
            <w:r w:rsidRPr="00164812">
              <w:rPr>
                <w:rFonts w:cs="Times New Roman"/>
                <w:color w:val="000000"/>
              </w:rPr>
              <w:t>Bombay Dyeing</w:t>
            </w:r>
          </w:p>
        </w:tc>
      </w:tr>
      <w:tr w:rsidR="007C7FCE" w:rsidRPr="00164812" w14:paraId="44A81866" w14:textId="77777777" w:rsidTr="00876C49">
        <w:trPr>
          <w:trHeight w:val="831"/>
        </w:trPr>
        <w:tc>
          <w:tcPr>
            <w:tcW w:w="1390" w:type="dxa"/>
            <w:tcBorders>
              <w:top w:val="nil"/>
              <w:left w:val="single" w:sz="8" w:space="0" w:color="000000"/>
              <w:bottom w:val="nil"/>
              <w:right w:val="single" w:sz="8" w:space="0" w:color="auto"/>
            </w:tcBorders>
            <w:shd w:val="clear" w:color="auto" w:fill="auto"/>
            <w:vAlign w:val="center"/>
            <w:hideMark/>
          </w:tcPr>
          <w:p w14:paraId="27F426EC" w14:textId="77777777" w:rsidR="007C7FCE" w:rsidRPr="00164812" w:rsidRDefault="007C7FCE" w:rsidP="00B96CCF">
            <w:pPr>
              <w:spacing w:after="0" w:line="240" w:lineRule="auto"/>
              <w:jc w:val="center"/>
              <w:rPr>
                <w:rFonts w:cs="Times New Roman"/>
                <w:color w:val="000000"/>
              </w:rPr>
            </w:pPr>
            <w:r w:rsidRPr="00164812">
              <w:rPr>
                <w:rFonts w:cs="Times New Roman"/>
                <w:color w:val="000000"/>
              </w:rPr>
              <w:t>Cipla</w:t>
            </w:r>
          </w:p>
        </w:tc>
        <w:tc>
          <w:tcPr>
            <w:tcW w:w="2226" w:type="dxa"/>
            <w:tcBorders>
              <w:top w:val="nil"/>
              <w:left w:val="nil"/>
              <w:bottom w:val="nil"/>
              <w:right w:val="single" w:sz="8" w:space="0" w:color="auto"/>
            </w:tcBorders>
            <w:shd w:val="clear" w:color="auto" w:fill="auto"/>
            <w:vAlign w:val="center"/>
            <w:hideMark/>
          </w:tcPr>
          <w:p w14:paraId="5C85F84F" w14:textId="77777777" w:rsidR="007C7FCE" w:rsidRPr="00164812" w:rsidRDefault="007C7FCE" w:rsidP="00B96CCF">
            <w:pPr>
              <w:spacing w:after="0" w:line="240" w:lineRule="auto"/>
              <w:jc w:val="center"/>
              <w:rPr>
                <w:rFonts w:cs="Times New Roman"/>
                <w:color w:val="000000"/>
              </w:rPr>
            </w:pPr>
            <w:r w:rsidRPr="00164812">
              <w:rPr>
                <w:rFonts w:cs="Times New Roman"/>
                <w:color w:val="000000"/>
              </w:rPr>
              <w:t>Crompton Greaves</w:t>
            </w:r>
          </w:p>
        </w:tc>
        <w:tc>
          <w:tcPr>
            <w:tcW w:w="1317" w:type="dxa"/>
            <w:tcBorders>
              <w:top w:val="nil"/>
              <w:left w:val="nil"/>
              <w:bottom w:val="nil"/>
              <w:right w:val="single" w:sz="8" w:space="0" w:color="auto"/>
            </w:tcBorders>
            <w:shd w:val="clear" w:color="auto" w:fill="auto"/>
            <w:vAlign w:val="center"/>
            <w:hideMark/>
          </w:tcPr>
          <w:p w14:paraId="1A93E0F8" w14:textId="77777777" w:rsidR="007C7FCE" w:rsidRPr="00164812" w:rsidRDefault="007C7FCE" w:rsidP="00B96CCF">
            <w:pPr>
              <w:spacing w:after="0" w:line="240" w:lineRule="auto"/>
              <w:jc w:val="center"/>
              <w:rPr>
                <w:rFonts w:cs="Times New Roman"/>
                <w:color w:val="000000"/>
              </w:rPr>
            </w:pPr>
            <w:r w:rsidRPr="00164812">
              <w:rPr>
                <w:rFonts w:cs="Times New Roman"/>
                <w:color w:val="000000"/>
              </w:rPr>
              <w:t>Adani Ports</w:t>
            </w:r>
          </w:p>
        </w:tc>
        <w:tc>
          <w:tcPr>
            <w:tcW w:w="1789" w:type="dxa"/>
            <w:tcBorders>
              <w:top w:val="nil"/>
              <w:left w:val="nil"/>
              <w:bottom w:val="nil"/>
              <w:right w:val="single" w:sz="8" w:space="0" w:color="auto"/>
            </w:tcBorders>
            <w:shd w:val="clear" w:color="auto" w:fill="auto"/>
            <w:vAlign w:val="center"/>
            <w:hideMark/>
          </w:tcPr>
          <w:p w14:paraId="362A3DA5" w14:textId="77777777" w:rsidR="007C7FCE" w:rsidRPr="00164812" w:rsidRDefault="007C7FCE" w:rsidP="00B96CCF">
            <w:pPr>
              <w:spacing w:after="0" w:line="240" w:lineRule="auto"/>
              <w:jc w:val="center"/>
              <w:rPr>
                <w:rFonts w:cs="Times New Roman"/>
                <w:color w:val="000000"/>
              </w:rPr>
            </w:pPr>
            <w:r w:rsidRPr="00164812">
              <w:rPr>
                <w:rFonts w:cs="Times New Roman"/>
                <w:color w:val="000000"/>
              </w:rPr>
              <w:t>DLF</w:t>
            </w:r>
          </w:p>
        </w:tc>
        <w:tc>
          <w:tcPr>
            <w:tcW w:w="2311" w:type="dxa"/>
            <w:tcBorders>
              <w:top w:val="nil"/>
              <w:left w:val="nil"/>
              <w:bottom w:val="nil"/>
              <w:right w:val="single" w:sz="8" w:space="0" w:color="auto"/>
            </w:tcBorders>
            <w:shd w:val="clear" w:color="auto" w:fill="auto"/>
            <w:vAlign w:val="center"/>
            <w:hideMark/>
          </w:tcPr>
          <w:p w14:paraId="0D8BBB96" w14:textId="77777777" w:rsidR="007C7FCE" w:rsidRPr="00164812" w:rsidRDefault="007C7FCE" w:rsidP="00B96CCF">
            <w:pPr>
              <w:spacing w:after="0" w:line="240" w:lineRule="auto"/>
              <w:jc w:val="center"/>
              <w:rPr>
                <w:rFonts w:cs="Times New Roman"/>
                <w:color w:val="000000"/>
              </w:rPr>
            </w:pPr>
            <w:r w:rsidRPr="00164812">
              <w:rPr>
                <w:rFonts w:cs="Times New Roman"/>
                <w:color w:val="000000"/>
              </w:rPr>
              <w:t>Escorts</w:t>
            </w:r>
          </w:p>
        </w:tc>
      </w:tr>
      <w:tr w:rsidR="007C7FCE" w:rsidRPr="00164812" w14:paraId="50AD930B" w14:textId="77777777" w:rsidTr="00876C49">
        <w:trPr>
          <w:trHeight w:val="831"/>
        </w:trPr>
        <w:tc>
          <w:tcPr>
            <w:tcW w:w="1390" w:type="dxa"/>
            <w:tcBorders>
              <w:top w:val="nil"/>
              <w:left w:val="single" w:sz="8" w:space="0" w:color="000000"/>
              <w:bottom w:val="nil"/>
              <w:right w:val="single" w:sz="8" w:space="0" w:color="auto"/>
            </w:tcBorders>
            <w:shd w:val="clear" w:color="auto" w:fill="auto"/>
            <w:vAlign w:val="center"/>
            <w:hideMark/>
          </w:tcPr>
          <w:p w14:paraId="7FBCCFA7" w14:textId="77777777" w:rsidR="007C7FCE" w:rsidRPr="00164812" w:rsidRDefault="007C7FCE" w:rsidP="00B96CCF">
            <w:pPr>
              <w:spacing w:after="0" w:line="240" w:lineRule="auto"/>
              <w:jc w:val="center"/>
              <w:rPr>
                <w:rFonts w:cs="Times New Roman"/>
                <w:color w:val="000000"/>
              </w:rPr>
            </w:pPr>
            <w:r w:rsidRPr="00164812">
              <w:rPr>
                <w:rFonts w:cs="Times New Roman"/>
                <w:color w:val="000000"/>
              </w:rPr>
              <w:t>ITC</w:t>
            </w:r>
          </w:p>
        </w:tc>
        <w:tc>
          <w:tcPr>
            <w:tcW w:w="2226" w:type="dxa"/>
            <w:tcBorders>
              <w:top w:val="nil"/>
              <w:left w:val="nil"/>
              <w:bottom w:val="nil"/>
              <w:right w:val="single" w:sz="8" w:space="0" w:color="auto"/>
            </w:tcBorders>
            <w:shd w:val="clear" w:color="auto" w:fill="auto"/>
            <w:vAlign w:val="center"/>
            <w:hideMark/>
          </w:tcPr>
          <w:p w14:paraId="09772844" w14:textId="77777777" w:rsidR="007C7FCE" w:rsidRPr="00164812" w:rsidRDefault="007C7FCE" w:rsidP="00B96CCF">
            <w:pPr>
              <w:spacing w:after="0" w:line="240" w:lineRule="auto"/>
              <w:jc w:val="center"/>
              <w:rPr>
                <w:rFonts w:cs="Times New Roman"/>
                <w:color w:val="000000"/>
              </w:rPr>
            </w:pPr>
            <w:r w:rsidRPr="00164812">
              <w:rPr>
                <w:rFonts w:cs="Times New Roman"/>
                <w:color w:val="000000"/>
              </w:rPr>
              <w:t>Tata Communications</w:t>
            </w:r>
          </w:p>
        </w:tc>
        <w:tc>
          <w:tcPr>
            <w:tcW w:w="1317" w:type="dxa"/>
            <w:tcBorders>
              <w:top w:val="nil"/>
              <w:left w:val="nil"/>
              <w:bottom w:val="nil"/>
              <w:right w:val="single" w:sz="8" w:space="0" w:color="auto"/>
            </w:tcBorders>
            <w:shd w:val="clear" w:color="auto" w:fill="auto"/>
            <w:vAlign w:val="center"/>
            <w:hideMark/>
          </w:tcPr>
          <w:p w14:paraId="3B507013" w14:textId="77777777" w:rsidR="007C7FCE" w:rsidRPr="00164812" w:rsidRDefault="007C7FCE" w:rsidP="00B96CCF">
            <w:pPr>
              <w:spacing w:after="0" w:line="240" w:lineRule="auto"/>
              <w:jc w:val="center"/>
              <w:rPr>
                <w:rFonts w:cs="Times New Roman"/>
                <w:color w:val="000000"/>
              </w:rPr>
            </w:pPr>
            <w:r w:rsidRPr="00164812">
              <w:rPr>
                <w:rFonts w:cs="Times New Roman"/>
                <w:color w:val="000000"/>
              </w:rPr>
              <w:t>Axis Bank</w:t>
            </w:r>
          </w:p>
        </w:tc>
        <w:tc>
          <w:tcPr>
            <w:tcW w:w="1789" w:type="dxa"/>
            <w:tcBorders>
              <w:top w:val="nil"/>
              <w:left w:val="nil"/>
              <w:bottom w:val="nil"/>
              <w:right w:val="single" w:sz="8" w:space="0" w:color="auto"/>
            </w:tcBorders>
            <w:shd w:val="clear" w:color="auto" w:fill="auto"/>
            <w:vAlign w:val="center"/>
            <w:hideMark/>
          </w:tcPr>
          <w:p w14:paraId="17E86BA9" w14:textId="77777777" w:rsidR="007C7FCE" w:rsidRPr="00164812" w:rsidRDefault="007C7FCE" w:rsidP="00B96CCF">
            <w:pPr>
              <w:spacing w:after="0" w:line="240" w:lineRule="auto"/>
              <w:jc w:val="center"/>
              <w:rPr>
                <w:rFonts w:cs="Times New Roman"/>
                <w:color w:val="000000"/>
              </w:rPr>
            </w:pPr>
            <w:r w:rsidRPr="00164812">
              <w:rPr>
                <w:rFonts w:cs="Times New Roman"/>
                <w:color w:val="000000"/>
              </w:rPr>
              <w:t>Jindal Steel</w:t>
            </w:r>
          </w:p>
        </w:tc>
        <w:tc>
          <w:tcPr>
            <w:tcW w:w="2311" w:type="dxa"/>
            <w:tcBorders>
              <w:top w:val="nil"/>
              <w:left w:val="nil"/>
              <w:bottom w:val="nil"/>
              <w:right w:val="single" w:sz="8" w:space="0" w:color="auto"/>
            </w:tcBorders>
            <w:shd w:val="clear" w:color="auto" w:fill="auto"/>
            <w:vAlign w:val="center"/>
            <w:hideMark/>
          </w:tcPr>
          <w:p w14:paraId="4A76F54E" w14:textId="77777777" w:rsidR="007C7FCE" w:rsidRPr="00164812" w:rsidRDefault="007C7FCE" w:rsidP="00B96CCF">
            <w:pPr>
              <w:spacing w:after="0" w:line="240" w:lineRule="auto"/>
              <w:jc w:val="center"/>
              <w:rPr>
                <w:rFonts w:cs="Times New Roman"/>
                <w:color w:val="000000"/>
              </w:rPr>
            </w:pPr>
            <w:r w:rsidRPr="00164812">
              <w:rPr>
                <w:rFonts w:cs="Times New Roman"/>
                <w:color w:val="000000"/>
              </w:rPr>
              <w:t>Chambal Fertilizers</w:t>
            </w:r>
          </w:p>
        </w:tc>
      </w:tr>
      <w:tr w:rsidR="007C7FCE" w:rsidRPr="00164812" w14:paraId="33BDFFDC" w14:textId="77777777" w:rsidTr="00876C49">
        <w:trPr>
          <w:trHeight w:val="845"/>
        </w:trPr>
        <w:tc>
          <w:tcPr>
            <w:tcW w:w="1390" w:type="dxa"/>
            <w:tcBorders>
              <w:top w:val="nil"/>
              <w:left w:val="single" w:sz="8" w:space="0" w:color="000000"/>
              <w:bottom w:val="single" w:sz="8" w:space="0" w:color="auto"/>
              <w:right w:val="single" w:sz="8" w:space="0" w:color="auto"/>
            </w:tcBorders>
            <w:shd w:val="clear" w:color="auto" w:fill="auto"/>
            <w:vAlign w:val="center"/>
            <w:hideMark/>
          </w:tcPr>
          <w:p w14:paraId="2DEEE171" w14:textId="77777777" w:rsidR="007C7FCE" w:rsidRPr="00164812" w:rsidRDefault="007C7FCE" w:rsidP="00B96CCF">
            <w:pPr>
              <w:spacing w:after="0" w:line="240" w:lineRule="auto"/>
              <w:jc w:val="center"/>
              <w:rPr>
                <w:rFonts w:cs="Times New Roman"/>
                <w:color w:val="000000"/>
              </w:rPr>
            </w:pPr>
            <w:r w:rsidRPr="00164812">
              <w:rPr>
                <w:rFonts w:cs="Times New Roman"/>
                <w:color w:val="000000"/>
              </w:rPr>
              <w:t>Gail</w:t>
            </w:r>
          </w:p>
        </w:tc>
        <w:tc>
          <w:tcPr>
            <w:tcW w:w="2226" w:type="dxa"/>
            <w:tcBorders>
              <w:top w:val="nil"/>
              <w:left w:val="nil"/>
              <w:bottom w:val="single" w:sz="8" w:space="0" w:color="auto"/>
              <w:right w:val="single" w:sz="8" w:space="0" w:color="auto"/>
            </w:tcBorders>
            <w:shd w:val="clear" w:color="auto" w:fill="auto"/>
            <w:vAlign w:val="center"/>
            <w:hideMark/>
          </w:tcPr>
          <w:p w14:paraId="404B7ABA" w14:textId="77777777" w:rsidR="007C7FCE" w:rsidRPr="00164812" w:rsidRDefault="007C7FCE" w:rsidP="00B96CCF">
            <w:pPr>
              <w:spacing w:after="0" w:line="240" w:lineRule="auto"/>
              <w:jc w:val="center"/>
              <w:rPr>
                <w:rFonts w:cs="Times New Roman"/>
                <w:color w:val="000000"/>
              </w:rPr>
            </w:pPr>
            <w:r w:rsidRPr="00164812">
              <w:rPr>
                <w:rFonts w:cs="Times New Roman"/>
                <w:color w:val="000000"/>
              </w:rPr>
              <w:t>IRB Infra.</w:t>
            </w:r>
          </w:p>
        </w:tc>
        <w:tc>
          <w:tcPr>
            <w:tcW w:w="1317" w:type="dxa"/>
            <w:tcBorders>
              <w:top w:val="nil"/>
              <w:left w:val="nil"/>
              <w:bottom w:val="single" w:sz="8" w:space="0" w:color="auto"/>
              <w:right w:val="single" w:sz="8" w:space="0" w:color="auto"/>
            </w:tcBorders>
            <w:shd w:val="clear" w:color="auto" w:fill="auto"/>
            <w:vAlign w:val="center"/>
            <w:hideMark/>
          </w:tcPr>
          <w:p w14:paraId="2AB000C5" w14:textId="77777777" w:rsidR="007C7FCE" w:rsidRPr="00164812" w:rsidRDefault="007C7FCE" w:rsidP="00B96CCF">
            <w:pPr>
              <w:spacing w:after="0" w:line="240" w:lineRule="auto"/>
              <w:jc w:val="center"/>
              <w:rPr>
                <w:rFonts w:cs="Times New Roman"/>
                <w:color w:val="000000"/>
              </w:rPr>
            </w:pPr>
            <w:r w:rsidRPr="00164812">
              <w:rPr>
                <w:rFonts w:cs="Times New Roman"/>
                <w:color w:val="000000"/>
              </w:rPr>
              <w:t>Bharti Airtel</w:t>
            </w:r>
          </w:p>
        </w:tc>
        <w:tc>
          <w:tcPr>
            <w:tcW w:w="1789" w:type="dxa"/>
            <w:tcBorders>
              <w:top w:val="nil"/>
              <w:left w:val="nil"/>
              <w:bottom w:val="single" w:sz="8" w:space="0" w:color="auto"/>
              <w:right w:val="single" w:sz="8" w:space="0" w:color="auto"/>
            </w:tcBorders>
            <w:shd w:val="clear" w:color="auto" w:fill="auto"/>
            <w:vAlign w:val="center"/>
            <w:hideMark/>
          </w:tcPr>
          <w:p w14:paraId="3D1A5F2E" w14:textId="77777777" w:rsidR="007C7FCE" w:rsidRPr="00164812" w:rsidRDefault="007C7FCE" w:rsidP="00B96CCF">
            <w:pPr>
              <w:spacing w:after="0" w:line="240" w:lineRule="auto"/>
              <w:jc w:val="center"/>
              <w:rPr>
                <w:rFonts w:cs="Times New Roman"/>
                <w:color w:val="000000"/>
              </w:rPr>
            </w:pPr>
            <w:r w:rsidRPr="00164812">
              <w:rPr>
                <w:rFonts w:cs="Times New Roman"/>
                <w:color w:val="000000"/>
              </w:rPr>
              <w:t>SUN TV</w:t>
            </w:r>
          </w:p>
        </w:tc>
        <w:tc>
          <w:tcPr>
            <w:tcW w:w="2311" w:type="dxa"/>
            <w:tcBorders>
              <w:top w:val="nil"/>
              <w:left w:val="nil"/>
              <w:bottom w:val="single" w:sz="8" w:space="0" w:color="auto"/>
              <w:right w:val="single" w:sz="8" w:space="0" w:color="auto"/>
            </w:tcBorders>
            <w:shd w:val="clear" w:color="auto" w:fill="auto"/>
            <w:vAlign w:val="center"/>
            <w:hideMark/>
          </w:tcPr>
          <w:p w14:paraId="37C24AD8" w14:textId="77777777" w:rsidR="007C7FCE" w:rsidRPr="00164812" w:rsidRDefault="007C7FCE" w:rsidP="00B96CCF">
            <w:pPr>
              <w:spacing w:after="0" w:line="240" w:lineRule="auto"/>
              <w:jc w:val="center"/>
              <w:rPr>
                <w:rFonts w:cs="Times New Roman"/>
                <w:color w:val="000000"/>
              </w:rPr>
            </w:pPr>
            <w:r w:rsidRPr="00164812">
              <w:rPr>
                <w:rFonts w:cs="Times New Roman"/>
                <w:color w:val="000000"/>
              </w:rPr>
              <w:t>Gujarat Fluorochemicals</w:t>
            </w:r>
          </w:p>
        </w:tc>
      </w:tr>
    </w:tbl>
    <w:p w14:paraId="1B0D6807" w14:textId="77777777" w:rsidR="007C7FCE" w:rsidRDefault="007C7FCE" w:rsidP="007C7FCE">
      <w:pPr>
        <w:autoSpaceDE w:val="0"/>
        <w:autoSpaceDN w:val="0"/>
        <w:adjustRightInd w:val="0"/>
        <w:spacing w:line="480" w:lineRule="auto"/>
        <w:jc w:val="both"/>
        <w:rPr>
          <w:rFonts w:ascii="Times New Roman" w:hAnsi="Times New Roman" w:cs="Times New Roman"/>
          <w:sz w:val="24"/>
          <w:szCs w:val="24"/>
        </w:rPr>
      </w:pPr>
    </w:p>
    <w:p w14:paraId="6C5C847F" w14:textId="77777777" w:rsidR="00006DF5" w:rsidRDefault="00006DF5" w:rsidP="00006DF5">
      <w:pPr>
        <w:pStyle w:val="Caption"/>
        <w:keepNext/>
      </w:pPr>
      <w:r>
        <w:t xml:space="preserve">Table </w:t>
      </w:r>
      <w:r w:rsidR="00EC34E3">
        <w:fldChar w:fldCharType="begin"/>
      </w:r>
      <w:r w:rsidR="00EC34E3">
        <w:instrText xml:space="preserve"> SEQ Table \* ARABIC </w:instrText>
      </w:r>
      <w:r w:rsidR="00EC34E3">
        <w:fldChar w:fldCharType="separate"/>
      </w:r>
      <w:r w:rsidR="00B0578D">
        <w:rPr>
          <w:noProof/>
        </w:rPr>
        <w:t>2</w:t>
      </w:r>
      <w:r w:rsidR="00EC34E3">
        <w:rPr>
          <w:noProof/>
        </w:rPr>
        <w:fldChar w:fldCharType="end"/>
      </w:r>
      <w:r>
        <w:t xml:space="preserve"> Descriptive Statistics of relative bid-ask spreads calculation using Equation 7 (in percent)</w:t>
      </w:r>
    </w:p>
    <w:tbl>
      <w:tblPr>
        <w:tblW w:w="8671" w:type="dxa"/>
        <w:tblInd w:w="93" w:type="dxa"/>
        <w:tblLook w:val="04A0" w:firstRow="1" w:lastRow="0" w:firstColumn="1" w:lastColumn="0" w:noHBand="0" w:noVBand="1"/>
      </w:tblPr>
      <w:tblGrid>
        <w:gridCol w:w="2233"/>
        <w:gridCol w:w="1186"/>
        <w:gridCol w:w="1186"/>
        <w:gridCol w:w="1186"/>
        <w:gridCol w:w="1440"/>
        <w:gridCol w:w="1440"/>
      </w:tblGrid>
      <w:tr w:rsidR="003F203A" w:rsidRPr="003F203A" w14:paraId="09CCCE3B" w14:textId="77777777" w:rsidTr="00876C49">
        <w:trPr>
          <w:trHeight w:val="369"/>
        </w:trPr>
        <w:tc>
          <w:tcPr>
            <w:tcW w:w="2233"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3453DF91" w14:textId="77777777" w:rsidR="003F203A" w:rsidRPr="003F203A" w:rsidRDefault="003F203A" w:rsidP="003F203A">
            <w:pPr>
              <w:spacing w:after="0" w:line="240" w:lineRule="auto"/>
              <w:rPr>
                <w:rFonts w:cs="Times New Roman"/>
                <w:b/>
                <w:bCs/>
                <w:color w:val="000000"/>
              </w:rPr>
            </w:pPr>
            <w:r w:rsidRPr="003F203A">
              <w:rPr>
                <w:rFonts w:cs="Times New Roman"/>
                <w:b/>
                <w:bCs/>
                <w:color w:val="000000"/>
              </w:rPr>
              <w:t> </w:t>
            </w:r>
          </w:p>
        </w:tc>
        <w:tc>
          <w:tcPr>
            <w:tcW w:w="1186"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10B49904" w14:textId="77777777" w:rsidR="003F203A" w:rsidRPr="003F203A" w:rsidRDefault="003F203A" w:rsidP="003F203A">
            <w:pPr>
              <w:spacing w:after="0" w:line="240" w:lineRule="auto"/>
              <w:jc w:val="center"/>
              <w:rPr>
                <w:rFonts w:cs="Times New Roman"/>
                <w:b/>
                <w:bCs/>
                <w:color w:val="000000"/>
              </w:rPr>
            </w:pPr>
            <w:r w:rsidRPr="003F203A">
              <w:rPr>
                <w:rFonts w:cs="Times New Roman"/>
                <w:b/>
                <w:bCs/>
                <w:color w:val="000000"/>
              </w:rPr>
              <w:t>2010</w:t>
            </w:r>
          </w:p>
        </w:tc>
        <w:tc>
          <w:tcPr>
            <w:tcW w:w="1186"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7B5EF209" w14:textId="77777777" w:rsidR="003F203A" w:rsidRPr="003F203A" w:rsidRDefault="003F203A" w:rsidP="003F203A">
            <w:pPr>
              <w:spacing w:after="0" w:line="240" w:lineRule="auto"/>
              <w:jc w:val="center"/>
              <w:rPr>
                <w:rFonts w:cs="Times New Roman"/>
                <w:b/>
                <w:bCs/>
                <w:color w:val="000000"/>
              </w:rPr>
            </w:pPr>
            <w:r w:rsidRPr="003F203A">
              <w:rPr>
                <w:rFonts w:cs="Times New Roman"/>
                <w:b/>
                <w:bCs/>
                <w:color w:val="000000"/>
              </w:rPr>
              <w:t>2011</w:t>
            </w:r>
          </w:p>
        </w:tc>
        <w:tc>
          <w:tcPr>
            <w:tcW w:w="1186"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04783D55" w14:textId="77777777" w:rsidR="003F203A" w:rsidRPr="003F203A" w:rsidRDefault="003F203A" w:rsidP="003F203A">
            <w:pPr>
              <w:spacing w:after="0" w:line="240" w:lineRule="auto"/>
              <w:jc w:val="center"/>
              <w:rPr>
                <w:rFonts w:cs="Times New Roman"/>
                <w:b/>
                <w:bCs/>
                <w:color w:val="000000"/>
              </w:rPr>
            </w:pPr>
            <w:r w:rsidRPr="003F203A">
              <w:rPr>
                <w:rFonts w:cs="Times New Roman"/>
                <w:b/>
                <w:bCs/>
                <w:color w:val="000000"/>
              </w:rPr>
              <w:t>2012</w:t>
            </w:r>
          </w:p>
        </w:tc>
        <w:tc>
          <w:tcPr>
            <w:tcW w:w="144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13D59550" w14:textId="77777777" w:rsidR="003F203A" w:rsidRPr="003F203A" w:rsidRDefault="003F203A" w:rsidP="003F203A">
            <w:pPr>
              <w:spacing w:after="0" w:line="240" w:lineRule="auto"/>
              <w:jc w:val="center"/>
              <w:rPr>
                <w:rFonts w:cs="Times New Roman"/>
                <w:b/>
                <w:bCs/>
                <w:color w:val="000000"/>
              </w:rPr>
            </w:pPr>
            <w:r w:rsidRPr="003F203A">
              <w:rPr>
                <w:rFonts w:cs="Times New Roman"/>
                <w:b/>
                <w:bCs/>
                <w:color w:val="000000"/>
              </w:rPr>
              <w:t>2013</w:t>
            </w:r>
          </w:p>
        </w:tc>
        <w:tc>
          <w:tcPr>
            <w:tcW w:w="144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3CDD0B8" w14:textId="77777777" w:rsidR="003F203A" w:rsidRPr="003F203A" w:rsidRDefault="003F203A" w:rsidP="003F203A">
            <w:pPr>
              <w:spacing w:after="0" w:line="240" w:lineRule="auto"/>
              <w:jc w:val="center"/>
              <w:rPr>
                <w:rFonts w:cs="Times New Roman"/>
                <w:b/>
                <w:bCs/>
                <w:color w:val="000000"/>
              </w:rPr>
            </w:pPr>
            <w:r w:rsidRPr="003F203A">
              <w:rPr>
                <w:rFonts w:cs="Times New Roman"/>
                <w:b/>
                <w:bCs/>
                <w:color w:val="000000"/>
              </w:rPr>
              <w:t>2014</w:t>
            </w:r>
          </w:p>
        </w:tc>
      </w:tr>
      <w:tr w:rsidR="003F203A" w:rsidRPr="003F203A" w14:paraId="7E441C6F" w14:textId="77777777" w:rsidTr="00876C49">
        <w:trPr>
          <w:trHeight w:val="387"/>
        </w:trPr>
        <w:tc>
          <w:tcPr>
            <w:tcW w:w="2233" w:type="dxa"/>
            <w:vMerge/>
            <w:tcBorders>
              <w:top w:val="single" w:sz="8" w:space="0" w:color="auto"/>
              <w:left w:val="single" w:sz="8" w:space="0" w:color="auto"/>
              <w:bottom w:val="single" w:sz="8" w:space="0" w:color="000000"/>
              <w:right w:val="single" w:sz="8" w:space="0" w:color="auto"/>
            </w:tcBorders>
            <w:vAlign w:val="center"/>
            <w:hideMark/>
          </w:tcPr>
          <w:p w14:paraId="1110676E" w14:textId="77777777" w:rsidR="003F203A" w:rsidRPr="003F203A" w:rsidRDefault="003F203A" w:rsidP="003F203A">
            <w:pPr>
              <w:spacing w:after="0" w:line="240" w:lineRule="auto"/>
              <w:rPr>
                <w:rFonts w:cs="Times New Roman"/>
                <w:b/>
                <w:bCs/>
                <w:color w:val="000000"/>
              </w:rPr>
            </w:pPr>
          </w:p>
        </w:tc>
        <w:tc>
          <w:tcPr>
            <w:tcW w:w="1186" w:type="dxa"/>
            <w:vMerge/>
            <w:tcBorders>
              <w:top w:val="single" w:sz="8" w:space="0" w:color="auto"/>
              <w:left w:val="single" w:sz="8" w:space="0" w:color="auto"/>
              <w:bottom w:val="single" w:sz="8" w:space="0" w:color="000000"/>
              <w:right w:val="single" w:sz="8" w:space="0" w:color="auto"/>
            </w:tcBorders>
            <w:vAlign w:val="center"/>
            <w:hideMark/>
          </w:tcPr>
          <w:p w14:paraId="3D5CB111" w14:textId="77777777" w:rsidR="003F203A" w:rsidRPr="003F203A" w:rsidRDefault="003F203A" w:rsidP="003F203A">
            <w:pPr>
              <w:spacing w:after="0" w:line="240" w:lineRule="auto"/>
              <w:rPr>
                <w:rFonts w:cs="Times New Roman"/>
                <w:b/>
                <w:bCs/>
                <w:color w:val="000000"/>
              </w:rPr>
            </w:pPr>
          </w:p>
        </w:tc>
        <w:tc>
          <w:tcPr>
            <w:tcW w:w="1186" w:type="dxa"/>
            <w:vMerge/>
            <w:tcBorders>
              <w:top w:val="single" w:sz="8" w:space="0" w:color="auto"/>
              <w:left w:val="single" w:sz="8" w:space="0" w:color="auto"/>
              <w:bottom w:val="single" w:sz="8" w:space="0" w:color="000000"/>
              <w:right w:val="single" w:sz="8" w:space="0" w:color="auto"/>
            </w:tcBorders>
            <w:vAlign w:val="center"/>
            <w:hideMark/>
          </w:tcPr>
          <w:p w14:paraId="2801A54E" w14:textId="77777777" w:rsidR="003F203A" w:rsidRPr="003F203A" w:rsidRDefault="003F203A" w:rsidP="003F203A">
            <w:pPr>
              <w:spacing w:after="0" w:line="240" w:lineRule="auto"/>
              <w:rPr>
                <w:rFonts w:cs="Times New Roman"/>
                <w:b/>
                <w:bCs/>
                <w:color w:val="000000"/>
              </w:rPr>
            </w:pPr>
          </w:p>
        </w:tc>
        <w:tc>
          <w:tcPr>
            <w:tcW w:w="1186" w:type="dxa"/>
            <w:vMerge/>
            <w:tcBorders>
              <w:top w:val="single" w:sz="8" w:space="0" w:color="auto"/>
              <w:left w:val="single" w:sz="8" w:space="0" w:color="auto"/>
              <w:bottom w:val="single" w:sz="8" w:space="0" w:color="000000"/>
              <w:right w:val="single" w:sz="8" w:space="0" w:color="auto"/>
            </w:tcBorders>
            <w:vAlign w:val="center"/>
            <w:hideMark/>
          </w:tcPr>
          <w:p w14:paraId="622F69CA" w14:textId="77777777" w:rsidR="003F203A" w:rsidRPr="003F203A" w:rsidRDefault="003F203A" w:rsidP="003F203A">
            <w:pPr>
              <w:spacing w:after="0" w:line="240" w:lineRule="auto"/>
              <w:rPr>
                <w:rFonts w:cs="Times New Roman"/>
                <w:b/>
                <w:bCs/>
                <w:color w:val="000000"/>
              </w:rPr>
            </w:pPr>
          </w:p>
        </w:tc>
        <w:tc>
          <w:tcPr>
            <w:tcW w:w="1440" w:type="dxa"/>
            <w:vMerge/>
            <w:tcBorders>
              <w:top w:val="single" w:sz="8" w:space="0" w:color="auto"/>
              <w:left w:val="single" w:sz="8" w:space="0" w:color="auto"/>
              <w:bottom w:val="single" w:sz="8" w:space="0" w:color="000000"/>
              <w:right w:val="single" w:sz="8" w:space="0" w:color="auto"/>
            </w:tcBorders>
            <w:vAlign w:val="center"/>
            <w:hideMark/>
          </w:tcPr>
          <w:p w14:paraId="4FFA5D06" w14:textId="77777777" w:rsidR="003F203A" w:rsidRPr="003F203A" w:rsidRDefault="003F203A" w:rsidP="003F203A">
            <w:pPr>
              <w:spacing w:after="0" w:line="240" w:lineRule="auto"/>
              <w:rPr>
                <w:rFonts w:cs="Times New Roman"/>
                <w:b/>
                <w:bCs/>
                <w:color w:val="000000"/>
              </w:rPr>
            </w:pPr>
          </w:p>
        </w:tc>
        <w:tc>
          <w:tcPr>
            <w:tcW w:w="1440" w:type="dxa"/>
            <w:vMerge/>
            <w:tcBorders>
              <w:top w:val="single" w:sz="8" w:space="0" w:color="auto"/>
              <w:left w:val="single" w:sz="8" w:space="0" w:color="auto"/>
              <w:bottom w:val="single" w:sz="8" w:space="0" w:color="000000"/>
              <w:right w:val="single" w:sz="8" w:space="0" w:color="auto"/>
            </w:tcBorders>
            <w:vAlign w:val="center"/>
            <w:hideMark/>
          </w:tcPr>
          <w:p w14:paraId="52CF8592" w14:textId="77777777" w:rsidR="003F203A" w:rsidRPr="003F203A" w:rsidRDefault="003F203A" w:rsidP="003F203A">
            <w:pPr>
              <w:spacing w:after="0" w:line="240" w:lineRule="auto"/>
              <w:rPr>
                <w:rFonts w:cs="Times New Roman"/>
                <w:b/>
                <w:bCs/>
                <w:color w:val="000000"/>
              </w:rPr>
            </w:pPr>
          </w:p>
        </w:tc>
      </w:tr>
      <w:tr w:rsidR="003F203A" w:rsidRPr="003F203A" w14:paraId="439E20DA" w14:textId="77777777" w:rsidTr="00876C49">
        <w:trPr>
          <w:trHeight w:val="369"/>
        </w:trPr>
        <w:tc>
          <w:tcPr>
            <w:tcW w:w="2233" w:type="dxa"/>
            <w:tcBorders>
              <w:top w:val="nil"/>
              <w:left w:val="single" w:sz="8" w:space="0" w:color="auto"/>
              <w:bottom w:val="nil"/>
              <w:right w:val="single" w:sz="8" w:space="0" w:color="auto"/>
            </w:tcBorders>
            <w:shd w:val="clear" w:color="auto" w:fill="auto"/>
            <w:noWrap/>
            <w:vAlign w:val="center"/>
            <w:hideMark/>
          </w:tcPr>
          <w:p w14:paraId="1603CBD5" w14:textId="77777777" w:rsidR="003F203A" w:rsidRPr="003F203A" w:rsidRDefault="003F203A" w:rsidP="003F203A">
            <w:pPr>
              <w:spacing w:after="0" w:line="240" w:lineRule="auto"/>
              <w:rPr>
                <w:rFonts w:cs="Times New Roman"/>
                <w:b/>
                <w:bCs/>
                <w:color w:val="000000"/>
              </w:rPr>
            </w:pPr>
            <w:r w:rsidRPr="003F203A">
              <w:rPr>
                <w:rFonts w:cs="Times New Roman"/>
                <w:b/>
                <w:bCs/>
                <w:color w:val="000000"/>
              </w:rPr>
              <w:t xml:space="preserve">BAJAJ AUTO </w:t>
            </w:r>
          </w:p>
        </w:tc>
        <w:tc>
          <w:tcPr>
            <w:tcW w:w="1186" w:type="dxa"/>
            <w:tcBorders>
              <w:top w:val="nil"/>
              <w:left w:val="nil"/>
              <w:bottom w:val="nil"/>
              <w:right w:val="single" w:sz="8" w:space="0" w:color="auto"/>
            </w:tcBorders>
            <w:shd w:val="clear" w:color="auto" w:fill="auto"/>
            <w:noWrap/>
            <w:vAlign w:val="bottom"/>
            <w:hideMark/>
          </w:tcPr>
          <w:p w14:paraId="2AAF6772" w14:textId="77777777" w:rsidR="003F203A" w:rsidRPr="003F203A" w:rsidRDefault="003F203A" w:rsidP="003F203A">
            <w:pPr>
              <w:spacing w:after="0" w:line="240" w:lineRule="auto"/>
              <w:rPr>
                <w:rFonts w:cs="Times New Roman"/>
                <w:color w:val="000000"/>
              </w:rPr>
            </w:pPr>
            <w:r w:rsidRPr="003F203A">
              <w:rPr>
                <w:rFonts w:cs="Times New Roman"/>
                <w:color w:val="000000"/>
              </w:rPr>
              <w:t> </w:t>
            </w:r>
          </w:p>
        </w:tc>
        <w:tc>
          <w:tcPr>
            <w:tcW w:w="1186" w:type="dxa"/>
            <w:tcBorders>
              <w:top w:val="nil"/>
              <w:left w:val="nil"/>
              <w:bottom w:val="nil"/>
              <w:right w:val="single" w:sz="8" w:space="0" w:color="auto"/>
            </w:tcBorders>
            <w:shd w:val="clear" w:color="auto" w:fill="auto"/>
            <w:noWrap/>
            <w:vAlign w:val="bottom"/>
            <w:hideMark/>
          </w:tcPr>
          <w:p w14:paraId="26205BAE" w14:textId="77777777" w:rsidR="003F203A" w:rsidRPr="003F203A" w:rsidRDefault="003F203A" w:rsidP="003F203A">
            <w:pPr>
              <w:spacing w:after="0" w:line="240" w:lineRule="auto"/>
              <w:rPr>
                <w:rFonts w:cs="Times New Roman"/>
                <w:color w:val="000000"/>
              </w:rPr>
            </w:pPr>
            <w:r w:rsidRPr="003F203A">
              <w:rPr>
                <w:rFonts w:cs="Times New Roman"/>
                <w:color w:val="000000"/>
              </w:rPr>
              <w:t> </w:t>
            </w:r>
          </w:p>
        </w:tc>
        <w:tc>
          <w:tcPr>
            <w:tcW w:w="1186" w:type="dxa"/>
            <w:tcBorders>
              <w:top w:val="nil"/>
              <w:left w:val="nil"/>
              <w:bottom w:val="nil"/>
              <w:right w:val="single" w:sz="8" w:space="0" w:color="auto"/>
            </w:tcBorders>
            <w:shd w:val="clear" w:color="auto" w:fill="auto"/>
            <w:noWrap/>
            <w:vAlign w:val="bottom"/>
            <w:hideMark/>
          </w:tcPr>
          <w:p w14:paraId="4269DED4" w14:textId="77777777" w:rsidR="003F203A" w:rsidRPr="003F203A" w:rsidRDefault="003F203A" w:rsidP="003F203A">
            <w:pPr>
              <w:spacing w:after="0" w:line="240" w:lineRule="auto"/>
              <w:rPr>
                <w:rFonts w:cs="Times New Roman"/>
                <w:color w:val="000000"/>
              </w:rPr>
            </w:pPr>
            <w:r w:rsidRPr="003F203A">
              <w:rPr>
                <w:rFonts w:cs="Times New Roman"/>
                <w:color w:val="000000"/>
              </w:rPr>
              <w:t> </w:t>
            </w:r>
          </w:p>
        </w:tc>
        <w:tc>
          <w:tcPr>
            <w:tcW w:w="1440" w:type="dxa"/>
            <w:tcBorders>
              <w:top w:val="nil"/>
              <w:left w:val="nil"/>
              <w:bottom w:val="nil"/>
              <w:right w:val="single" w:sz="8" w:space="0" w:color="auto"/>
            </w:tcBorders>
            <w:shd w:val="clear" w:color="auto" w:fill="auto"/>
            <w:vAlign w:val="center"/>
            <w:hideMark/>
          </w:tcPr>
          <w:p w14:paraId="729642D4" w14:textId="77777777" w:rsidR="003F203A" w:rsidRPr="003F203A" w:rsidRDefault="003F203A" w:rsidP="003F203A">
            <w:pPr>
              <w:spacing w:after="0" w:line="240" w:lineRule="auto"/>
              <w:jc w:val="center"/>
              <w:rPr>
                <w:rFonts w:cs="Times New Roman"/>
                <w:color w:val="000000"/>
              </w:rPr>
            </w:pPr>
            <w:r w:rsidRPr="003F203A">
              <w:rPr>
                <w:rFonts w:cs="Times New Roman"/>
                <w:color w:val="000000"/>
              </w:rPr>
              <w:t> </w:t>
            </w:r>
          </w:p>
        </w:tc>
        <w:tc>
          <w:tcPr>
            <w:tcW w:w="1440" w:type="dxa"/>
            <w:tcBorders>
              <w:top w:val="nil"/>
              <w:left w:val="nil"/>
              <w:bottom w:val="nil"/>
              <w:right w:val="single" w:sz="8" w:space="0" w:color="auto"/>
            </w:tcBorders>
            <w:shd w:val="clear" w:color="auto" w:fill="auto"/>
            <w:vAlign w:val="center"/>
            <w:hideMark/>
          </w:tcPr>
          <w:p w14:paraId="098EBABA" w14:textId="77777777" w:rsidR="003F203A" w:rsidRPr="003F203A" w:rsidRDefault="003F203A" w:rsidP="003F203A">
            <w:pPr>
              <w:spacing w:after="0" w:line="240" w:lineRule="auto"/>
              <w:jc w:val="center"/>
              <w:rPr>
                <w:rFonts w:cs="Times New Roman"/>
                <w:color w:val="000000"/>
              </w:rPr>
            </w:pPr>
            <w:r w:rsidRPr="003F203A">
              <w:rPr>
                <w:rFonts w:cs="Times New Roman"/>
                <w:color w:val="000000"/>
              </w:rPr>
              <w:t> </w:t>
            </w:r>
          </w:p>
        </w:tc>
      </w:tr>
      <w:tr w:rsidR="003F203A" w:rsidRPr="003F203A" w14:paraId="39EA17C6" w14:textId="77777777" w:rsidTr="00876C49">
        <w:trPr>
          <w:trHeight w:val="369"/>
        </w:trPr>
        <w:tc>
          <w:tcPr>
            <w:tcW w:w="2233" w:type="dxa"/>
            <w:tcBorders>
              <w:top w:val="nil"/>
              <w:left w:val="single" w:sz="8" w:space="0" w:color="auto"/>
              <w:bottom w:val="nil"/>
              <w:right w:val="single" w:sz="8" w:space="0" w:color="auto"/>
            </w:tcBorders>
            <w:shd w:val="clear" w:color="auto" w:fill="auto"/>
            <w:noWrap/>
            <w:vAlign w:val="center"/>
            <w:hideMark/>
          </w:tcPr>
          <w:p w14:paraId="245F1647" w14:textId="77777777" w:rsidR="003F203A" w:rsidRPr="003F203A" w:rsidRDefault="003F203A" w:rsidP="003F203A">
            <w:pPr>
              <w:spacing w:after="0" w:line="240" w:lineRule="auto"/>
              <w:rPr>
                <w:rFonts w:cs="Times New Roman"/>
                <w:color w:val="000000"/>
              </w:rPr>
            </w:pPr>
            <w:r w:rsidRPr="003F203A">
              <w:rPr>
                <w:rFonts w:cs="Times New Roman"/>
                <w:color w:val="000000"/>
              </w:rPr>
              <w:t>Mean</w:t>
            </w:r>
          </w:p>
        </w:tc>
        <w:tc>
          <w:tcPr>
            <w:tcW w:w="1186" w:type="dxa"/>
            <w:tcBorders>
              <w:top w:val="nil"/>
              <w:left w:val="nil"/>
              <w:bottom w:val="nil"/>
              <w:right w:val="single" w:sz="8" w:space="0" w:color="auto"/>
            </w:tcBorders>
            <w:shd w:val="clear" w:color="auto" w:fill="auto"/>
            <w:noWrap/>
            <w:vAlign w:val="center"/>
            <w:hideMark/>
          </w:tcPr>
          <w:p w14:paraId="6EE6556B" w14:textId="77777777" w:rsidR="003F203A" w:rsidRPr="003F203A" w:rsidRDefault="003F203A" w:rsidP="003F203A">
            <w:pPr>
              <w:spacing w:after="0" w:line="240" w:lineRule="auto"/>
              <w:jc w:val="center"/>
              <w:rPr>
                <w:rFonts w:cs="Times New Roman"/>
                <w:color w:val="000000"/>
              </w:rPr>
            </w:pPr>
            <w:r w:rsidRPr="003F203A">
              <w:rPr>
                <w:rFonts w:cs="Times New Roman"/>
                <w:color w:val="000000"/>
              </w:rPr>
              <w:t>0.113697</w:t>
            </w:r>
          </w:p>
        </w:tc>
        <w:tc>
          <w:tcPr>
            <w:tcW w:w="1186" w:type="dxa"/>
            <w:tcBorders>
              <w:top w:val="nil"/>
              <w:left w:val="nil"/>
              <w:bottom w:val="nil"/>
              <w:right w:val="single" w:sz="8" w:space="0" w:color="auto"/>
            </w:tcBorders>
            <w:shd w:val="clear" w:color="auto" w:fill="auto"/>
            <w:noWrap/>
            <w:vAlign w:val="center"/>
            <w:hideMark/>
          </w:tcPr>
          <w:p w14:paraId="1567C97C" w14:textId="77777777" w:rsidR="003F203A" w:rsidRPr="003F203A" w:rsidRDefault="003F203A" w:rsidP="003F203A">
            <w:pPr>
              <w:spacing w:after="0" w:line="240" w:lineRule="auto"/>
              <w:jc w:val="center"/>
              <w:rPr>
                <w:rFonts w:cs="Times New Roman"/>
                <w:color w:val="000000"/>
              </w:rPr>
            </w:pPr>
            <w:r w:rsidRPr="003F203A">
              <w:rPr>
                <w:rFonts w:cs="Times New Roman"/>
                <w:color w:val="000000"/>
              </w:rPr>
              <w:t>0.120219</w:t>
            </w:r>
          </w:p>
        </w:tc>
        <w:tc>
          <w:tcPr>
            <w:tcW w:w="1186" w:type="dxa"/>
            <w:tcBorders>
              <w:top w:val="nil"/>
              <w:left w:val="nil"/>
              <w:bottom w:val="nil"/>
              <w:right w:val="single" w:sz="8" w:space="0" w:color="auto"/>
            </w:tcBorders>
            <w:shd w:val="clear" w:color="auto" w:fill="auto"/>
            <w:noWrap/>
            <w:vAlign w:val="center"/>
            <w:hideMark/>
          </w:tcPr>
          <w:p w14:paraId="49A944D5" w14:textId="77777777" w:rsidR="003F203A" w:rsidRPr="003F203A" w:rsidRDefault="003F203A" w:rsidP="003F203A">
            <w:pPr>
              <w:spacing w:after="0" w:line="240" w:lineRule="auto"/>
              <w:jc w:val="center"/>
              <w:rPr>
                <w:rFonts w:cs="Times New Roman"/>
                <w:color w:val="000000"/>
              </w:rPr>
            </w:pPr>
            <w:r w:rsidRPr="003F203A">
              <w:rPr>
                <w:rFonts w:cs="Times New Roman"/>
                <w:color w:val="000000"/>
              </w:rPr>
              <w:t>0.099602</w:t>
            </w:r>
          </w:p>
        </w:tc>
        <w:tc>
          <w:tcPr>
            <w:tcW w:w="1440" w:type="dxa"/>
            <w:tcBorders>
              <w:top w:val="nil"/>
              <w:left w:val="nil"/>
              <w:bottom w:val="nil"/>
              <w:right w:val="single" w:sz="8" w:space="0" w:color="auto"/>
            </w:tcBorders>
            <w:shd w:val="clear" w:color="auto" w:fill="auto"/>
            <w:vAlign w:val="center"/>
            <w:hideMark/>
          </w:tcPr>
          <w:p w14:paraId="7DC26E5A" w14:textId="77777777" w:rsidR="003F203A" w:rsidRPr="003F203A" w:rsidRDefault="003F203A" w:rsidP="003F203A">
            <w:pPr>
              <w:spacing w:after="0" w:line="240" w:lineRule="auto"/>
              <w:jc w:val="center"/>
              <w:rPr>
                <w:rFonts w:cs="Times New Roman"/>
                <w:color w:val="000000"/>
              </w:rPr>
            </w:pPr>
            <w:r w:rsidRPr="003F203A">
              <w:rPr>
                <w:rFonts w:cs="Times New Roman"/>
                <w:color w:val="000000"/>
              </w:rPr>
              <w:t>0.11798251</w:t>
            </w:r>
          </w:p>
        </w:tc>
        <w:tc>
          <w:tcPr>
            <w:tcW w:w="1440" w:type="dxa"/>
            <w:tcBorders>
              <w:top w:val="nil"/>
              <w:left w:val="nil"/>
              <w:bottom w:val="nil"/>
              <w:right w:val="single" w:sz="8" w:space="0" w:color="auto"/>
            </w:tcBorders>
            <w:shd w:val="clear" w:color="auto" w:fill="auto"/>
            <w:vAlign w:val="center"/>
            <w:hideMark/>
          </w:tcPr>
          <w:p w14:paraId="27105DC5" w14:textId="77777777" w:rsidR="003F203A" w:rsidRPr="003F203A" w:rsidRDefault="003F203A" w:rsidP="003F203A">
            <w:pPr>
              <w:spacing w:after="0" w:line="240" w:lineRule="auto"/>
              <w:jc w:val="center"/>
              <w:rPr>
                <w:rFonts w:cs="Times New Roman"/>
                <w:color w:val="000000"/>
              </w:rPr>
            </w:pPr>
            <w:r w:rsidRPr="003F203A">
              <w:rPr>
                <w:rFonts w:cs="Times New Roman"/>
                <w:color w:val="000000"/>
              </w:rPr>
              <w:t>0.10985539</w:t>
            </w:r>
          </w:p>
        </w:tc>
      </w:tr>
      <w:tr w:rsidR="003F203A" w:rsidRPr="003F203A" w14:paraId="2105A103" w14:textId="77777777" w:rsidTr="00876C49">
        <w:trPr>
          <w:trHeight w:val="369"/>
        </w:trPr>
        <w:tc>
          <w:tcPr>
            <w:tcW w:w="2233" w:type="dxa"/>
            <w:tcBorders>
              <w:top w:val="nil"/>
              <w:left w:val="single" w:sz="8" w:space="0" w:color="auto"/>
              <w:bottom w:val="nil"/>
              <w:right w:val="single" w:sz="8" w:space="0" w:color="auto"/>
            </w:tcBorders>
            <w:shd w:val="clear" w:color="auto" w:fill="auto"/>
            <w:noWrap/>
            <w:vAlign w:val="center"/>
            <w:hideMark/>
          </w:tcPr>
          <w:p w14:paraId="649ECC29" w14:textId="77777777" w:rsidR="003F203A" w:rsidRPr="003F203A" w:rsidRDefault="005162FA" w:rsidP="003F203A">
            <w:pPr>
              <w:spacing w:after="0" w:line="240" w:lineRule="auto"/>
              <w:rPr>
                <w:rFonts w:cs="Times New Roman"/>
                <w:color w:val="000000"/>
              </w:rPr>
            </w:pPr>
            <w:r>
              <w:rPr>
                <w:rFonts w:cs="Times New Roman"/>
                <w:color w:val="000000"/>
              </w:rPr>
              <w:t>Standard deviation</w:t>
            </w:r>
          </w:p>
        </w:tc>
        <w:tc>
          <w:tcPr>
            <w:tcW w:w="1186" w:type="dxa"/>
            <w:tcBorders>
              <w:top w:val="nil"/>
              <w:left w:val="nil"/>
              <w:bottom w:val="nil"/>
              <w:right w:val="single" w:sz="8" w:space="0" w:color="auto"/>
            </w:tcBorders>
            <w:shd w:val="clear" w:color="auto" w:fill="auto"/>
            <w:noWrap/>
            <w:vAlign w:val="center"/>
            <w:hideMark/>
          </w:tcPr>
          <w:p w14:paraId="3B0B3ACE" w14:textId="77777777" w:rsidR="003F203A" w:rsidRPr="003F203A" w:rsidRDefault="003F203A" w:rsidP="003F203A">
            <w:pPr>
              <w:spacing w:after="0" w:line="240" w:lineRule="auto"/>
              <w:jc w:val="center"/>
              <w:rPr>
                <w:rFonts w:cs="Times New Roman"/>
                <w:color w:val="000000"/>
              </w:rPr>
            </w:pPr>
            <w:r w:rsidRPr="003F203A">
              <w:rPr>
                <w:rFonts w:cs="Times New Roman"/>
                <w:color w:val="000000"/>
              </w:rPr>
              <w:t>0.093527</w:t>
            </w:r>
          </w:p>
        </w:tc>
        <w:tc>
          <w:tcPr>
            <w:tcW w:w="1186" w:type="dxa"/>
            <w:tcBorders>
              <w:top w:val="nil"/>
              <w:left w:val="nil"/>
              <w:bottom w:val="nil"/>
              <w:right w:val="single" w:sz="8" w:space="0" w:color="auto"/>
            </w:tcBorders>
            <w:shd w:val="clear" w:color="auto" w:fill="auto"/>
            <w:noWrap/>
            <w:vAlign w:val="center"/>
            <w:hideMark/>
          </w:tcPr>
          <w:p w14:paraId="38DBB89E" w14:textId="77777777" w:rsidR="003F203A" w:rsidRPr="003F203A" w:rsidRDefault="003F203A" w:rsidP="003F203A">
            <w:pPr>
              <w:spacing w:after="0" w:line="240" w:lineRule="auto"/>
              <w:jc w:val="center"/>
              <w:rPr>
                <w:rFonts w:cs="Times New Roman"/>
                <w:color w:val="000000"/>
              </w:rPr>
            </w:pPr>
            <w:r w:rsidRPr="003F203A">
              <w:rPr>
                <w:rFonts w:cs="Times New Roman"/>
                <w:color w:val="000000"/>
              </w:rPr>
              <w:t>0.112087</w:t>
            </w:r>
          </w:p>
        </w:tc>
        <w:tc>
          <w:tcPr>
            <w:tcW w:w="1186" w:type="dxa"/>
            <w:tcBorders>
              <w:top w:val="nil"/>
              <w:left w:val="nil"/>
              <w:bottom w:val="nil"/>
              <w:right w:val="single" w:sz="8" w:space="0" w:color="auto"/>
            </w:tcBorders>
            <w:shd w:val="clear" w:color="auto" w:fill="auto"/>
            <w:noWrap/>
            <w:vAlign w:val="center"/>
            <w:hideMark/>
          </w:tcPr>
          <w:p w14:paraId="60465FAF" w14:textId="77777777" w:rsidR="003F203A" w:rsidRPr="003F203A" w:rsidRDefault="003F203A" w:rsidP="003F203A">
            <w:pPr>
              <w:spacing w:after="0" w:line="240" w:lineRule="auto"/>
              <w:jc w:val="center"/>
              <w:rPr>
                <w:rFonts w:cs="Times New Roman"/>
                <w:color w:val="000000"/>
              </w:rPr>
            </w:pPr>
            <w:r w:rsidRPr="003F203A">
              <w:rPr>
                <w:rFonts w:cs="Times New Roman"/>
                <w:color w:val="000000"/>
              </w:rPr>
              <w:t>0.084476</w:t>
            </w:r>
          </w:p>
        </w:tc>
        <w:tc>
          <w:tcPr>
            <w:tcW w:w="1440" w:type="dxa"/>
            <w:tcBorders>
              <w:top w:val="nil"/>
              <w:left w:val="nil"/>
              <w:bottom w:val="nil"/>
              <w:right w:val="single" w:sz="8" w:space="0" w:color="auto"/>
            </w:tcBorders>
            <w:shd w:val="clear" w:color="auto" w:fill="auto"/>
            <w:vAlign w:val="center"/>
            <w:hideMark/>
          </w:tcPr>
          <w:p w14:paraId="06D1B80F" w14:textId="77777777" w:rsidR="003F203A" w:rsidRPr="003F203A" w:rsidRDefault="003F203A" w:rsidP="003F203A">
            <w:pPr>
              <w:spacing w:after="0" w:line="240" w:lineRule="auto"/>
              <w:jc w:val="center"/>
              <w:rPr>
                <w:rFonts w:cs="Times New Roman"/>
                <w:color w:val="000000"/>
              </w:rPr>
            </w:pPr>
            <w:r w:rsidRPr="003F203A">
              <w:rPr>
                <w:rFonts w:cs="Times New Roman"/>
                <w:color w:val="000000"/>
              </w:rPr>
              <w:t>0.11388243</w:t>
            </w:r>
          </w:p>
        </w:tc>
        <w:tc>
          <w:tcPr>
            <w:tcW w:w="1440" w:type="dxa"/>
            <w:tcBorders>
              <w:top w:val="nil"/>
              <w:left w:val="nil"/>
              <w:bottom w:val="nil"/>
              <w:right w:val="single" w:sz="8" w:space="0" w:color="auto"/>
            </w:tcBorders>
            <w:shd w:val="clear" w:color="auto" w:fill="auto"/>
            <w:vAlign w:val="center"/>
            <w:hideMark/>
          </w:tcPr>
          <w:p w14:paraId="368ED81D" w14:textId="77777777" w:rsidR="003F203A" w:rsidRPr="003F203A" w:rsidRDefault="003F203A" w:rsidP="003F203A">
            <w:pPr>
              <w:spacing w:after="0" w:line="240" w:lineRule="auto"/>
              <w:jc w:val="center"/>
              <w:rPr>
                <w:rFonts w:cs="Times New Roman"/>
                <w:color w:val="000000"/>
              </w:rPr>
            </w:pPr>
            <w:r w:rsidRPr="003F203A">
              <w:rPr>
                <w:rFonts w:cs="Times New Roman"/>
                <w:color w:val="000000"/>
              </w:rPr>
              <w:t>0.08982457</w:t>
            </w:r>
          </w:p>
        </w:tc>
      </w:tr>
      <w:tr w:rsidR="003F203A" w:rsidRPr="003F203A" w14:paraId="385357E5" w14:textId="77777777" w:rsidTr="00876C49">
        <w:trPr>
          <w:trHeight w:val="369"/>
        </w:trPr>
        <w:tc>
          <w:tcPr>
            <w:tcW w:w="2233" w:type="dxa"/>
            <w:tcBorders>
              <w:top w:val="nil"/>
              <w:left w:val="single" w:sz="8" w:space="0" w:color="auto"/>
              <w:bottom w:val="nil"/>
              <w:right w:val="single" w:sz="8" w:space="0" w:color="auto"/>
            </w:tcBorders>
            <w:shd w:val="clear" w:color="auto" w:fill="auto"/>
            <w:noWrap/>
            <w:vAlign w:val="center"/>
            <w:hideMark/>
          </w:tcPr>
          <w:p w14:paraId="6FFEA6B6" w14:textId="77777777" w:rsidR="003F203A" w:rsidRPr="003F203A" w:rsidRDefault="003F203A" w:rsidP="003F203A">
            <w:pPr>
              <w:spacing w:after="0" w:line="240" w:lineRule="auto"/>
              <w:rPr>
                <w:rFonts w:cs="Times New Roman"/>
                <w:color w:val="000000"/>
              </w:rPr>
            </w:pPr>
            <w:r w:rsidRPr="003F203A">
              <w:rPr>
                <w:rFonts w:cs="Times New Roman"/>
                <w:color w:val="000000"/>
              </w:rPr>
              <w:t> </w:t>
            </w:r>
          </w:p>
        </w:tc>
        <w:tc>
          <w:tcPr>
            <w:tcW w:w="1186" w:type="dxa"/>
            <w:tcBorders>
              <w:top w:val="nil"/>
              <w:left w:val="nil"/>
              <w:bottom w:val="nil"/>
              <w:right w:val="single" w:sz="8" w:space="0" w:color="auto"/>
            </w:tcBorders>
            <w:shd w:val="clear" w:color="auto" w:fill="auto"/>
            <w:noWrap/>
            <w:vAlign w:val="bottom"/>
            <w:hideMark/>
          </w:tcPr>
          <w:p w14:paraId="174E7DEB" w14:textId="77777777" w:rsidR="003F203A" w:rsidRPr="003F203A" w:rsidRDefault="003F203A" w:rsidP="003F203A">
            <w:pPr>
              <w:spacing w:after="0" w:line="240" w:lineRule="auto"/>
              <w:rPr>
                <w:rFonts w:cs="Times New Roman"/>
                <w:color w:val="000000"/>
              </w:rPr>
            </w:pPr>
            <w:r w:rsidRPr="003F203A">
              <w:rPr>
                <w:rFonts w:cs="Times New Roman"/>
                <w:color w:val="000000"/>
              </w:rPr>
              <w:t> </w:t>
            </w:r>
          </w:p>
        </w:tc>
        <w:tc>
          <w:tcPr>
            <w:tcW w:w="1186" w:type="dxa"/>
            <w:tcBorders>
              <w:top w:val="nil"/>
              <w:left w:val="nil"/>
              <w:bottom w:val="nil"/>
              <w:right w:val="single" w:sz="8" w:space="0" w:color="auto"/>
            </w:tcBorders>
            <w:shd w:val="clear" w:color="auto" w:fill="auto"/>
            <w:noWrap/>
            <w:vAlign w:val="bottom"/>
            <w:hideMark/>
          </w:tcPr>
          <w:p w14:paraId="39416621" w14:textId="77777777" w:rsidR="003F203A" w:rsidRPr="003F203A" w:rsidRDefault="003F203A" w:rsidP="003F203A">
            <w:pPr>
              <w:spacing w:after="0" w:line="240" w:lineRule="auto"/>
              <w:rPr>
                <w:rFonts w:cs="Times New Roman"/>
                <w:color w:val="000000"/>
              </w:rPr>
            </w:pPr>
            <w:r w:rsidRPr="003F203A">
              <w:rPr>
                <w:rFonts w:cs="Times New Roman"/>
                <w:color w:val="000000"/>
              </w:rPr>
              <w:t> </w:t>
            </w:r>
          </w:p>
        </w:tc>
        <w:tc>
          <w:tcPr>
            <w:tcW w:w="1186" w:type="dxa"/>
            <w:tcBorders>
              <w:top w:val="nil"/>
              <w:left w:val="nil"/>
              <w:bottom w:val="nil"/>
              <w:right w:val="single" w:sz="8" w:space="0" w:color="auto"/>
            </w:tcBorders>
            <w:shd w:val="clear" w:color="auto" w:fill="auto"/>
            <w:noWrap/>
            <w:vAlign w:val="bottom"/>
            <w:hideMark/>
          </w:tcPr>
          <w:p w14:paraId="1CF7DDF3" w14:textId="77777777" w:rsidR="003F203A" w:rsidRPr="003F203A" w:rsidRDefault="003F203A" w:rsidP="003F203A">
            <w:pPr>
              <w:spacing w:after="0" w:line="240" w:lineRule="auto"/>
              <w:rPr>
                <w:rFonts w:cs="Times New Roman"/>
                <w:color w:val="000000"/>
              </w:rPr>
            </w:pPr>
            <w:r w:rsidRPr="003F203A">
              <w:rPr>
                <w:rFonts w:cs="Times New Roman"/>
                <w:color w:val="000000"/>
              </w:rPr>
              <w:t> </w:t>
            </w:r>
          </w:p>
        </w:tc>
        <w:tc>
          <w:tcPr>
            <w:tcW w:w="1440" w:type="dxa"/>
            <w:tcBorders>
              <w:top w:val="nil"/>
              <w:left w:val="nil"/>
              <w:bottom w:val="nil"/>
              <w:right w:val="single" w:sz="8" w:space="0" w:color="auto"/>
            </w:tcBorders>
            <w:shd w:val="clear" w:color="auto" w:fill="auto"/>
            <w:vAlign w:val="center"/>
            <w:hideMark/>
          </w:tcPr>
          <w:p w14:paraId="6C0A8492" w14:textId="77777777" w:rsidR="003F203A" w:rsidRPr="003F203A" w:rsidRDefault="003F203A" w:rsidP="003F203A">
            <w:pPr>
              <w:spacing w:after="0" w:line="240" w:lineRule="auto"/>
              <w:jc w:val="center"/>
              <w:rPr>
                <w:rFonts w:cs="Times New Roman"/>
                <w:color w:val="000000"/>
              </w:rPr>
            </w:pPr>
            <w:r w:rsidRPr="003F203A">
              <w:rPr>
                <w:rFonts w:cs="Times New Roman"/>
                <w:color w:val="000000"/>
              </w:rPr>
              <w:t> </w:t>
            </w:r>
          </w:p>
        </w:tc>
        <w:tc>
          <w:tcPr>
            <w:tcW w:w="1440" w:type="dxa"/>
            <w:tcBorders>
              <w:top w:val="nil"/>
              <w:left w:val="nil"/>
              <w:bottom w:val="nil"/>
              <w:right w:val="single" w:sz="8" w:space="0" w:color="auto"/>
            </w:tcBorders>
            <w:shd w:val="clear" w:color="auto" w:fill="auto"/>
            <w:vAlign w:val="center"/>
            <w:hideMark/>
          </w:tcPr>
          <w:p w14:paraId="6A8CD850" w14:textId="77777777" w:rsidR="003F203A" w:rsidRPr="003F203A" w:rsidRDefault="003F203A" w:rsidP="003F203A">
            <w:pPr>
              <w:spacing w:after="0" w:line="240" w:lineRule="auto"/>
              <w:jc w:val="center"/>
              <w:rPr>
                <w:rFonts w:cs="Times New Roman"/>
                <w:color w:val="000000"/>
              </w:rPr>
            </w:pPr>
            <w:r w:rsidRPr="003F203A">
              <w:rPr>
                <w:rFonts w:cs="Times New Roman"/>
                <w:color w:val="000000"/>
              </w:rPr>
              <w:t> </w:t>
            </w:r>
          </w:p>
        </w:tc>
      </w:tr>
      <w:tr w:rsidR="003F203A" w:rsidRPr="003F203A" w14:paraId="5698D57F" w14:textId="77777777" w:rsidTr="00876C49">
        <w:trPr>
          <w:trHeight w:val="369"/>
        </w:trPr>
        <w:tc>
          <w:tcPr>
            <w:tcW w:w="2233" w:type="dxa"/>
            <w:tcBorders>
              <w:top w:val="nil"/>
              <w:left w:val="single" w:sz="8" w:space="0" w:color="auto"/>
              <w:bottom w:val="nil"/>
              <w:right w:val="single" w:sz="8" w:space="0" w:color="auto"/>
            </w:tcBorders>
            <w:shd w:val="clear" w:color="auto" w:fill="auto"/>
            <w:noWrap/>
            <w:vAlign w:val="center"/>
            <w:hideMark/>
          </w:tcPr>
          <w:p w14:paraId="705FB611" w14:textId="77777777" w:rsidR="003F203A" w:rsidRPr="003F203A" w:rsidRDefault="003F203A" w:rsidP="003F203A">
            <w:pPr>
              <w:spacing w:after="0" w:line="240" w:lineRule="auto"/>
              <w:rPr>
                <w:rFonts w:cs="Times New Roman"/>
                <w:b/>
                <w:bCs/>
                <w:color w:val="000000"/>
              </w:rPr>
            </w:pPr>
            <w:r w:rsidRPr="003F203A">
              <w:rPr>
                <w:rFonts w:cs="Times New Roman"/>
                <w:b/>
                <w:bCs/>
                <w:color w:val="000000"/>
              </w:rPr>
              <w:t xml:space="preserve">CIPLA </w:t>
            </w:r>
          </w:p>
        </w:tc>
        <w:tc>
          <w:tcPr>
            <w:tcW w:w="1186" w:type="dxa"/>
            <w:tcBorders>
              <w:top w:val="nil"/>
              <w:left w:val="nil"/>
              <w:bottom w:val="nil"/>
              <w:right w:val="single" w:sz="8" w:space="0" w:color="auto"/>
            </w:tcBorders>
            <w:shd w:val="clear" w:color="auto" w:fill="auto"/>
            <w:noWrap/>
            <w:vAlign w:val="bottom"/>
            <w:hideMark/>
          </w:tcPr>
          <w:p w14:paraId="22D8AE20" w14:textId="77777777" w:rsidR="003F203A" w:rsidRPr="003F203A" w:rsidRDefault="003F203A" w:rsidP="003F203A">
            <w:pPr>
              <w:spacing w:after="0" w:line="240" w:lineRule="auto"/>
              <w:rPr>
                <w:rFonts w:cs="Times New Roman"/>
                <w:color w:val="000000"/>
              </w:rPr>
            </w:pPr>
            <w:r w:rsidRPr="003F203A">
              <w:rPr>
                <w:rFonts w:cs="Times New Roman"/>
                <w:color w:val="000000"/>
              </w:rPr>
              <w:t> </w:t>
            </w:r>
          </w:p>
        </w:tc>
        <w:tc>
          <w:tcPr>
            <w:tcW w:w="1186" w:type="dxa"/>
            <w:tcBorders>
              <w:top w:val="nil"/>
              <w:left w:val="nil"/>
              <w:bottom w:val="nil"/>
              <w:right w:val="single" w:sz="8" w:space="0" w:color="auto"/>
            </w:tcBorders>
            <w:shd w:val="clear" w:color="auto" w:fill="auto"/>
            <w:noWrap/>
            <w:vAlign w:val="bottom"/>
            <w:hideMark/>
          </w:tcPr>
          <w:p w14:paraId="6D9CD684" w14:textId="77777777" w:rsidR="003F203A" w:rsidRPr="003F203A" w:rsidRDefault="003F203A" w:rsidP="003F203A">
            <w:pPr>
              <w:spacing w:after="0" w:line="240" w:lineRule="auto"/>
              <w:rPr>
                <w:rFonts w:cs="Times New Roman"/>
                <w:color w:val="000000"/>
              </w:rPr>
            </w:pPr>
            <w:r w:rsidRPr="003F203A">
              <w:rPr>
                <w:rFonts w:cs="Times New Roman"/>
                <w:color w:val="000000"/>
              </w:rPr>
              <w:t> </w:t>
            </w:r>
          </w:p>
        </w:tc>
        <w:tc>
          <w:tcPr>
            <w:tcW w:w="1186" w:type="dxa"/>
            <w:tcBorders>
              <w:top w:val="nil"/>
              <w:left w:val="nil"/>
              <w:bottom w:val="nil"/>
              <w:right w:val="single" w:sz="8" w:space="0" w:color="auto"/>
            </w:tcBorders>
            <w:shd w:val="clear" w:color="auto" w:fill="auto"/>
            <w:noWrap/>
            <w:vAlign w:val="bottom"/>
            <w:hideMark/>
          </w:tcPr>
          <w:p w14:paraId="34DE7E70" w14:textId="77777777" w:rsidR="003F203A" w:rsidRPr="003F203A" w:rsidRDefault="003F203A" w:rsidP="003F203A">
            <w:pPr>
              <w:spacing w:after="0" w:line="240" w:lineRule="auto"/>
              <w:rPr>
                <w:rFonts w:cs="Times New Roman"/>
                <w:color w:val="000000"/>
              </w:rPr>
            </w:pPr>
            <w:r w:rsidRPr="003F203A">
              <w:rPr>
                <w:rFonts w:cs="Times New Roman"/>
                <w:color w:val="000000"/>
              </w:rPr>
              <w:t> </w:t>
            </w:r>
          </w:p>
        </w:tc>
        <w:tc>
          <w:tcPr>
            <w:tcW w:w="1440" w:type="dxa"/>
            <w:tcBorders>
              <w:top w:val="nil"/>
              <w:left w:val="nil"/>
              <w:bottom w:val="nil"/>
              <w:right w:val="single" w:sz="8" w:space="0" w:color="auto"/>
            </w:tcBorders>
            <w:shd w:val="clear" w:color="auto" w:fill="auto"/>
            <w:vAlign w:val="center"/>
            <w:hideMark/>
          </w:tcPr>
          <w:p w14:paraId="56A56B86" w14:textId="77777777" w:rsidR="003F203A" w:rsidRPr="003F203A" w:rsidRDefault="003F203A" w:rsidP="003F203A">
            <w:pPr>
              <w:spacing w:after="0" w:line="240" w:lineRule="auto"/>
              <w:jc w:val="center"/>
              <w:rPr>
                <w:rFonts w:cs="Times New Roman"/>
                <w:color w:val="000000"/>
              </w:rPr>
            </w:pPr>
            <w:r w:rsidRPr="003F203A">
              <w:rPr>
                <w:rFonts w:cs="Times New Roman"/>
                <w:color w:val="000000"/>
              </w:rPr>
              <w:t> </w:t>
            </w:r>
          </w:p>
        </w:tc>
        <w:tc>
          <w:tcPr>
            <w:tcW w:w="1440" w:type="dxa"/>
            <w:tcBorders>
              <w:top w:val="nil"/>
              <w:left w:val="nil"/>
              <w:bottom w:val="nil"/>
              <w:right w:val="single" w:sz="8" w:space="0" w:color="auto"/>
            </w:tcBorders>
            <w:shd w:val="clear" w:color="auto" w:fill="auto"/>
            <w:vAlign w:val="center"/>
            <w:hideMark/>
          </w:tcPr>
          <w:p w14:paraId="231ACF8B" w14:textId="77777777" w:rsidR="003F203A" w:rsidRPr="003F203A" w:rsidRDefault="003F203A" w:rsidP="003F203A">
            <w:pPr>
              <w:spacing w:after="0" w:line="240" w:lineRule="auto"/>
              <w:jc w:val="center"/>
              <w:rPr>
                <w:rFonts w:cs="Times New Roman"/>
                <w:color w:val="000000"/>
              </w:rPr>
            </w:pPr>
            <w:r w:rsidRPr="003F203A">
              <w:rPr>
                <w:rFonts w:cs="Times New Roman"/>
                <w:color w:val="000000"/>
              </w:rPr>
              <w:t> </w:t>
            </w:r>
          </w:p>
        </w:tc>
      </w:tr>
      <w:tr w:rsidR="003F203A" w:rsidRPr="003F203A" w14:paraId="45F01A04" w14:textId="77777777" w:rsidTr="00876C49">
        <w:trPr>
          <w:trHeight w:val="369"/>
        </w:trPr>
        <w:tc>
          <w:tcPr>
            <w:tcW w:w="2233" w:type="dxa"/>
            <w:tcBorders>
              <w:top w:val="nil"/>
              <w:left w:val="single" w:sz="8" w:space="0" w:color="auto"/>
              <w:bottom w:val="nil"/>
              <w:right w:val="single" w:sz="8" w:space="0" w:color="auto"/>
            </w:tcBorders>
            <w:shd w:val="clear" w:color="auto" w:fill="auto"/>
            <w:noWrap/>
            <w:vAlign w:val="center"/>
            <w:hideMark/>
          </w:tcPr>
          <w:p w14:paraId="40434659" w14:textId="77777777" w:rsidR="003F203A" w:rsidRPr="003F203A" w:rsidRDefault="003F203A" w:rsidP="003F203A">
            <w:pPr>
              <w:spacing w:after="0" w:line="240" w:lineRule="auto"/>
              <w:rPr>
                <w:rFonts w:cs="Times New Roman"/>
                <w:color w:val="000000"/>
              </w:rPr>
            </w:pPr>
            <w:r w:rsidRPr="003F203A">
              <w:rPr>
                <w:rFonts w:cs="Times New Roman"/>
                <w:color w:val="000000"/>
              </w:rPr>
              <w:t>Mean</w:t>
            </w:r>
          </w:p>
        </w:tc>
        <w:tc>
          <w:tcPr>
            <w:tcW w:w="1186" w:type="dxa"/>
            <w:tcBorders>
              <w:top w:val="nil"/>
              <w:left w:val="nil"/>
              <w:bottom w:val="nil"/>
              <w:right w:val="single" w:sz="8" w:space="0" w:color="auto"/>
            </w:tcBorders>
            <w:shd w:val="clear" w:color="auto" w:fill="auto"/>
            <w:noWrap/>
            <w:vAlign w:val="center"/>
            <w:hideMark/>
          </w:tcPr>
          <w:p w14:paraId="6FEE9CAB" w14:textId="77777777" w:rsidR="003F203A" w:rsidRPr="003F203A" w:rsidRDefault="003F203A" w:rsidP="003F203A">
            <w:pPr>
              <w:spacing w:after="0" w:line="240" w:lineRule="auto"/>
              <w:jc w:val="center"/>
              <w:rPr>
                <w:rFonts w:cs="Times New Roman"/>
                <w:color w:val="000000"/>
              </w:rPr>
            </w:pPr>
            <w:r w:rsidRPr="003F203A">
              <w:rPr>
                <w:rFonts w:cs="Times New Roman"/>
                <w:color w:val="000000"/>
              </w:rPr>
              <w:t>0.098872</w:t>
            </w:r>
          </w:p>
        </w:tc>
        <w:tc>
          <w:tcPr>
            <w:tcW w:w="1186" w:type="dxa"/>
            <w:tcBorders>
              <w:top w:val="nil"/>
              <w:left w:val="nil"/>
              <w:bottom w:val="nil"/>
              <w:right w:val="single" w:sz="8" w:space="0" w:color="auto"/>
            </w:tcBorders>
            <w:shd w:val="clear" w:color="auto" w:fill="auto"/>
            <w:noWrap/>
            <w:vAlign w:val="center"/>
            <w:hideMark/>
          </w:tcPr>
          <w:p w14:paraId="2FFD523E" w14:textId="77777777" w:rsidR="003F203A" w:rsidRPr="003F203A" w:rsidRDefault="003F203A" w:rsidP="003F203A">
            <w:pPr>
              <w:spacing w:after="0" w:line="240" w:lineRule="auto"/>
              <w:jc w:val="center"/>
              <w:rPr>
                <w:rFonts w:cs="Times New Roman"/>
                <w:color w:val="000000"/>
              </w:rPr>
            </w:pPr>
            <w:r w:rsidRPr="003F203A">
              <w:rPr>
                <w:rFonts w:cs="Times New Roman"/>
                <w:color w:val="000000"/>
              </w:rPr>
              <w:t>0.09883</w:t>
            </w:r>
          </w:p>
        </w:tc>
        <w:tc>
          <w:tcPr>
            <w:tcW w:w="1186" w:type="dxa"/>
            <w:tcBorders>
              <w:top w:val="nil"/>
              <w:left w:val="nil"/>
              <w:bottom w:val="nil"/>
              <w:right w:val="single" w:sz="8" w:space="0" w:color="auto"/>
            </w:tcBorders>
            <w:shd w:val="clear" w:color="auto" w:fill="auto"/>
            <w:noWrap/>
            <w:vAlign w:val="center"/>
            <w:hideMark/>
          </w:tcPr>
          <w:p w14:paraId="2448F3C2" w14:textId="77777777" w:rsidR="003F203A" w:rsidRPr="003F203A" w:rsidRDefault="003F203A" w:rsidP="003F203A">
            <w:pPr>
              <w:spacing w:after="0" w:line="240" w:lineRule="auto"/>
              <w:jc w:val="center"/>
              <w:rPr>
                <w:rFonts w:cs="Times New Roman"/>
                <w:color w:val="000000"/>
              </w:rPr>
            </w:pPr>
            <w:r w:rsidRPr="003F203A">
              <w:rPr>
                <w:rFonts w:cs="Times New Roman"/>
                <w:color w:val="000000"/>
              </w:rPr>
              <w:t>0.08406</w:t>
            </w:r>
          </w:p>
        </w:tc>
        <w:tc>
          <w:tcPr>
            <w:tcW w:w="1440" w:type="dxa"/>
            <w:tcBorders>
              <w:top w:val="nil"/>
              <w:left w:val="nil"/>
              <w:bottom w:val="nil"/>
              <w:right w:val="single" w:sz="8" w:space="0" w:color="auto"/>
            </w:tcBorders>
            <w:shd w:val="clear" w:color="auto" w:fill="auto"/>
            <w:vAlign w:val="center"/>
            <w:hideMark/>
          </w:tcPr>
          <w:p w14:paraId="1DBC2E26" w14:textId="77777777" w:rsidR="003F203A" w:rsidRPr="003F203A" w:rsidRDefault="003F203A" w:rsidP="003F203A">
            <w:pPr>
              <w:spacing w:after="0" w:line="240" w:lineRule="auto"/>
              <w:jc w:val="center"/>
              <w:rPr>
                <w:rFonts w:cs="Times New Roman"/>
                <w:color w:val="000000"/>
              </w:rPr>
            </w:pPr>
            <w:r w:rsidRPr="003F203A">
              <w:rPr>
                <w:rFonts w:cs="Times New Roman"/>
                <w:color w:val="000000"/>
              </w:rPr>
              <w:t>0.08636526</w:t>
            </w:r>
          </w:p>
        </w:tc>
        <w:tc>
          <w:tcPr>
            <w:tcW w:w="1440" w:type="dxa"/>
            <w:tcBorders>
              <w:top w:val="nil"/>
              <w:left w:val="nil"/>
              <w:bottom w:val="nil"/>
              <w:right w:val="single" w:sz="8" w:space="0" w:color="auto"/>
            </w:tcBorders>
            <w:shd w:val="clear" w:color="auto" w:fill="auto"/>
            <w:vAlign w:val="center"/>
            <w:hideMark/>
          </w:tcPr>
          <w:p w14:paraId="57432505" w14:textId="77777777" w:rsidR="003F203A" w:rsidRPr="003F203A" w:rsidRDefault="003F203A" w:rsidP="003F203A">
            <w:pPr>
              <w:spacing w:after="0" w:line="240" w:lineRule="auto"/>
              <w:jc w:val="center"/>
              <w:rPr>
                <w:rFonts w:cs="Times New Roman"/>
                <w:color w:val="000000"/>
              </w:rPr>
            </w:pPr>
            <w:r w:rsidRPr="003F203A">
              <w:rPr>
                <w:rFonts w:cs="Times New Roman"/>
                <w:color w:val="000000"/>
              </w:rPr>
              <w:t>0.0887063</w:t>
            </w:r>
          </w:p>
        </w:tc>
      </w:tr>
      <w:tr w:rsidR="003F203A" w:rsidRPr="003F203A" w14:paraId="20B0DC9B" w14:textId="77777777" w:rsidTr="00876C49">
        <w:trPr>
          <w:trHeight w:val="369"/>
        </w:trPr>
        <w:tc>
          <w:tcPr>
            <w:tcW w:w="2233" w:type="dxa"/>
            <w:tcBorders>
              <w:top w:val="nil"/>
              <w:left w:val="single" w:sz="8" w:space="0" w:color="auto"/>
              <w:bottom w:val="nil"/>
              <w:right w:val="single" w:sz="8" w:space="0" w:color="auto"/>
            </w:tcBorders>
            <w:shd w:val="clear" w:color="auto" w:fill="auto"/>
            <w:noWrap/>
            <w:vAlign w:val="center"/>
            <w:hideMark/>
          </w:tcPr>
          <w:p w14:paraId="2722E631" w14:textId="77777777" w:rsidR="003F203A" w:rsidRPr="003F203A" w:rsidRDefault="005162FA" w:rsidP="003F203A">
            <w:pPr>
              <w:spacing w:after="0" w:line="240" w:lineRule="auto"/>
              <w:rPr>
                <w:rFonts w:cs="Times New Roman"/>
                <w:color w:val="000000"/>
              </w:rPr>
            </w:pPr>
            <w:r>
              <w:rPr>
                <w:rFonts w:cs="Times New Roman"/>
                <w:color w:val="000000"/>
              </w:rPr>
              <w:t>Standard deviation</w:t>
            </w:r>
          </w:p>
        </w:tc>
        <w:tc>
          <w:tcPr>
            <w:tcW w:w="1186" w:type="dxa"/>
            <w:tcBorders>
              <w:top w:val="nil"/>
              <w:left w:val="nil"/>
              <w:bottom w:val="nil"/>
              <w:right w:val="single" w:sz="8" w:space="0" w:color="auto"/>
            </w:tcBorders>
            <w:shd w:val="clear" w:color="auto" w:fill="auto"/>
            <w:noWrap/>
            <w:vAlign w:val="center"/>
            <w:hideMark/>
          </w:tcPr>
          <w:p w14:paraId="00E5BE5F" w14:textId="77777777" w:rsidR="003F203A" w:rsidRPr="003F203A" w:rsidRDefault="003F203A" w:rsidP="003F203A">
            <w:pPr>
              <w:spacing w:after="0" w:line="240" w:lineRule="auto"/>
              <w:jc w:val="center"/>
              <w:rPr>
                <w:rFonts w:cs="Times New Roman"/>
                <w:color w:val="000000"/>
              </w:rPr>
            </w:pPr>
            <w:r w:rsidRPr="003F203A">
              <w:rPr>
                <w:rFonts w:cs="Times New Roman"/>
                <w:color w:val="000000"/>
              </w:rPr>
              <w:t>0.088175</w:t>
            </w:r>
          </w:p>
        </w:tc>
        <w:tc>
          <w:tcPr>
            <w:tcW w:w="1186" w:type="dxa"/>
            <w:tcBorders>
              <w:top w:val="nil"/>
              <w:left w:val="nil"/>
              <w:bottom w:val="nil"/>
              <w:right w:val="single" w:sz="8" w:space="0" w:color="auto"/>
            </w:tcBorders>
            <w:shd w:val="clear" w:color="auto" w:fill="auto"/>
            <w:noWrap/>
            <w:vAlign w:val="center"/>
            <w:hideMark/>
          </w:tcPr>
          <w:p w14:paraId="08C4EA74" w14:textId="77777777" w:rsidR="003F203A" w:rsidRPr="003F203A" w:rsidRDefault="003F203A" w:rsidP="003F203A">
            <w:pPr>
              <w:spacing w:after="0" w:line="240" w:lineRule="auto"/>
              <w:jc w:val="center"/>
              <w:rPr>
                <w:rFonts w:cs="Times New Roman"/>
                <w:color w:val="000000"/>
              </w:rPr>
            </w:pPr>
            <w:r w:rsidRPr="003F203A">
              <w:rPr>
                <w:rFonts w:cs="Times New Roman"/>
                <w:color w:val="000000"/>
              </w:rPr>
              <w:t>0.082422</w:t>
            </w:r>
          </w:p>
        </w:tc>
        <w:tc>
          <w:tcPr>
            <w:tcW w:w="1186" w:type="dxa"/>
            <w:tcBorders>
              <w:top w:val="nil"/>
              <w:left w:val="nil"/>
              <w:bottom w:val="nil"/>
              <w:right w:val="single" w:sz="8" w:space="0" w:color="auto"/>
            </w:tcBorders>
            <w:shd w:val="clear" w:color="auto" w:fill="auto"/>
            <w:noWrap/>
            <w:vAlign w:val="center"/>
            <w:hideMark/>
          </w:tcPr>
          <w:p w14:paraId="05631081" w14:textId="77777777" w:rsidR="003F203A" w:rsidRPr="003F203A" w:rsidRDefault="003F203A" w:rsidP="003F203A">
            <w:pPr>
              <w:spacing w:after="0" w:line="240" w:lineRule="auto"/>
              <w:jc w:val="center"/>
              <w:rPr>
                <w:rFonts w:cs="Times New Roman"/>
                <w:color w:val="000000"/>
              </w:rPr>
            </w:pPr>
            <w:r w:rsidRPr="003F203A">
              <w:rPr>
                <w:rFonts w:cs="Times New Roman"/>
                <w:color w:val="000000"/>
              </w:rPr>
              <w:t>0.067186</w:t>
            </w:r>
          </w:p>
        </w:tc>
        <w:tc>
          <w:tcPr>
            <w:tcW w:w="1440" w:type="dxa"/>
            <w:tcBorders>
              <w:top w:val="nil"/>
              <w:left w:val="nil"/>
              <w:bottom w:val="nil"/>
              <w:right w:val="single" w:sz="8" w:space="0" w:color="auto"/>
            </w:tcBorders>
            <w:shd w:val="clear" w:color="auto" w:fill="auto"/>
            <w:vAlign w:val="center"/>
            <w:hideMark/>
          </w:tcPr>
          <w:p w14:paraId="447CD1DC" w14:textId="77777777" w:rsidR="003F203A" w:rsidRPr="003F203A" w:rsidRDefault="003F203A" w:rsidP="003F203A">
            <w:pPr>
              <w:spacing w:after="0" w:line="240" w:lineRule="auto"/>
              <w:jc w:val="center"/>
              <w:rPr>
                <w:rFonts w:cs="Times New Roman"/>
                <w:color w:val="000000"/>
              </w:rPr>
            </w:pPr>
            <w:r w:rsidRPr="003F203A">
              <w:rPr>
                <w:rFonts w:cs="Times New Roman"/>
                <w:color w:val="000000"/>
              </w:rPr>
              <w:t>0.06988485</w:t>
            </w:r>
          </w:p>
        </w:tc>
        <w:tc>
          <w:tcPr>
            <w:tcW w:w="1440" w:type="dxa"/>
            <w:tcBorders>
              <w:top w:val="nil"/>
              <w:left w:val="nil"/>
              <w:bottom w:val="nil"/>
              <w:right w:val="single" w:sz="8" w:space="0" w:color="auto"/>
            </w:tcBorders>
            <w:shd w:val="clear" w:color="auto" w:fill="auto"/>
            <w:vAlign w:val="center"/>
            <w:hideMark/>
          </w:tcPr>
          <w:p w14:paraId="038BAE78" w14:textId="77777777" w:rsidR="003F203A" w:rsidRPr="003F203A" w:rsidRDefault="003F203A" w:rsidP="003F203A">
            <w:pPr>
              <w:spacing w:after="0" w:line="240" w:lineRule="auto"/>
              <w:jc w:val="center"/>
              <w:rPr>
                <w:rFonts w:cs="Times New Roman"/>
                <w:color w:val="000000"/>
              </w:rPr>
            </w:pPr>
            <w:r w:rsidRPr="003F203A">
              <w:rPr>
                <w:rFonts w:cs="Times New Roman"/>
                <w:color w:val="000000"/>
              </w:rPr>
              <w:t>0.07172833</w:t>
            </w:r>
          </w:p>
        </w:tc>
      </w:tr>
      <w:tr w:rsidR="003F203A" w:rsidRPr="003F203A" w14:paraId="683B1171" w14:textId="77777777" w:rsidTr="00876C49">
        <w:trPr>
          <w:trHeight w:val="369"/>
        </w:trPr>
        <w:tc>
          <w:tcPr>
            <w:tcW w:w="2233" w:type="dxa"/>
            <w:tcBorders>
              <w:top w:val="nil"/>
              <w:left w:val="single" w:sz="8" w:space="0" w:color="auto"/>
              <w:bottom w:val="nil"/>
              <w:right w:val="single" w:sz="8" w:space="0" w:color="auto"/>
            </w:tcBorders>
            <w:shd w:val="clear" w:color="auto" w:fill="auto"/>
            <w:noWrap/>
            <w:vAlign w:val="center"/>
            <w:hideMark/>
          </w:tcPr>
          <w:p w14:paraId="3C0BE3D3" w14:textId="77777777" w:rsidR="003F203A" w:rsidRPr="003F203A" w:rsidRDefault="003F203A" w:rsidP="003F203A">
            <w:pPr>
              <w:spacing w:after="0" w:line="240" w:lineRule="auto"/>
              <w:rPr>
                <w:rFonts w:cs="Times New Roman"/>
                <w:color w:val="000000"/>
              </w:rPr>
            </w:pPr>
            <w:r w:rsidRPr="003F203A">
              <w:rPr>
                <w:rFonts w:cs="Times New Roman"/>
                <w:color w:val="000000"/>
              </w:rPr>
              <w:t> </w:t>
            </w:r>
          </w:p>
        </w:tc>
        <w:tc>
          <w:tcPr>
            <w:tcW w:w="1186" w:type="dxa"/>
            <w:tcBorders>
              <w:top w:val="nil"/>
              <w:left w:val="nil"/>
              <w:bottom w:val="nil"/>
              <w:right w:val="single" w:sz="8" w:space="0" w:color="auto"/>
            </w:tcBorders>
            <w:shd w:val="clear" w:color="auto" w:fill="auto"/>
            <w:noWrap/>
            <w:vAlign w:val="bottom"/>
            <w:hideMark/>
          </w:tcPr>
          <w:p w14:paraId="2F2FF45D" w14:textId="77777777" w:rsidR="003F203A" w:rsidRPr="003F203A" w:rsidRDefault="003F203A" w:rsidP="003F203A">
            <w:pPr>
              <w:spacing w:after="0" w:line="240" w:lineRule="auto"/>
              <w:rPr>
                <w:rFonts w:cs="Times New Roman"/>
                <w:color w:val="000000"/>
              </w:rPr>
            </w:pPr>
            <w:r w:rsidRPr="003F203A">
              <w:rPr>
                <w:rFonts w:cs="Times New Roman"/>
                <w:color w:val="000000"/>
              </w:rPr>
              <w:t> </w:t>
            </w:r>
          </w:p>
        </w:tc>
        <w:tc>
          <w:tcPr>
            <w:tcW w:w="1186" w:type="dxa"/>
            <w:tcBorders>
              <w:top w:val="nil"/>
              <w:left w:val="nil"/>
              <w:bottom w:val="nil"/>
              <w:right w:val="single" w:sz="8" w:space="0" w:color="auto"/>
            </w:tcBorders>
            <w:shd w:val="clear" w:color="auto" w:fill="auto"/>
            <w:noWrap/>
            <w:vAlign w:val="bottom"/>
            <w:hideMark/>
          </w:tcPr>
          <w:p w14:paraId="5DBE5E0A" w14:textId="77777777" w:rsidR="003F203A" w:rsidRPr="003F203A" w:rsidRDefault="003F203A" w:rsidP="003F203A">
            <w:pPr>
              <w:spacing w:after="0" w:line="240" w:lineRule="auto"/>
              <w:rPr>
                <w:rFonts w:cs="Times New Roman"/>
                <w:color w:val="000000"/>
              </w:rPr>
            </w:pPr>
            <w:r w:rsidRPr="003F203A">
              <w:rPr>
                <w:rFonts w:cs="Times New Roman"/>
                <w:color w:val="000000"/>
              </w:rPr>
              <w:t> </w:t>
            </w:r>
          </w:p>
        </w:tc>
        <w:tc>
          <w:tcPr>
            <w:tcW w:w="1186" w:type="dxa"/>
            <w:tcBorders>
              <w:top w:val="nil"/>
              <w:left w:val="nil"/>
              <w:bottom w:val="nil"/>
              <w:right w:val="single" w:sz="8" w:space="0" w:color="auto"/>
            </w:tcBorders>
            <w:shd w:val="clear" w:color="auto" w:fill="auto"/>
            <w:noWrap/>
            <w:vAlign w:val="bottom"/>
            <w:hideMark/>
          </w:tcPr>
          <w:p w14:paraId="6B2A7FB2" w14:textId="77777777" w:rsidR="003F203A" w:rsidRPr="003F203A" w:rsidRDefault="003F203A" w:rsidP="003F203A">
            <w:pPr>
              <w:spacing w:after="0" w:line="240" w:lineRule="auto"/>
              <w:rPr>
                <w:rFonts w:cs="Times New Roman"/>
                <w:color w:val="000000"/>
              </w:rPr>
            </w:pPr>
            <w:r w:rsidRPr="003F203A">
              <w:rPr>
                <w:rFonts w:cs="Times New Roman"/>
                <w:color w:val="000000"/>
              </w:rPr>
              <w:t> </w:t>
            </w:r>
          </w:p>
        </w:tc>
        <w:tc>
          <w:tcPr>
            <w:tcW w:w="1440" w:type="dxa"/>
            <w:tcBorders>
              <w:top w:val="nil"/>
              <w:left w:val="nil"/>
              <w:bottom w:val="nil"/>
              <w:right w:val="single" w:sz="8" w:space="0" w:color="auto"/>
            </w:tcBorders>
            <w:shd w:val="clear" w:color="auto" w:fill="auto"/>
            <w:vAlign w:val="center"/>
            <w:hideMark/>
          </w:tcPr>
          <w:p w14:paraId="5871B63D" w14:textId="77777777" w:rsidR="003F203A" w:rsidRPr="003F203A" w:rsidRDefault="003F203A" w:rsidP="003F203A">
            <w:pPr>
              <w:spacing w:after="0" w:line="240" w:lineRule="auto"/>
              <w:jc w:val="center"/>
              <w:rPr>
                <w:rFonts w:cs="Times New Roman"/>
                <w:color w:val="000000"/>
              </w:rPr>
            </w:pPr>
            <w:r w:rsidRPr="003F203A">
              <w:rPr>
                <w:rFonts w:cs="Times New Roman"/>
                <w:color w:val="000000"/>
              </w:rPr>
              <w:t> </w:t>
            </w:r>
          </w:p>
        </w:tc>
        <w:tc>
          <w:tcPr>
            <w:tcW w:w="1440" w:type="dxa"/>
            <w:tcBorders>
              <w:top w:val="nil"/>
              <w:left w:val="nil"/>
              <w:bottom w:val="nil"/>
              <w:right w:val="single" w:sz="8" w:space="0" w:color="auto"/>
            </w:tcBorders>
            <w:shd w:val="clear" w:color="auto" w:fill="auto"/>
            <w:vAlign w:val="center"/>
            <w:hideMark/>
          </w:tcPr>
          <w:p w14:paraId="1D6935A1" w14:textId="77777777" w:rsidR="003F203A" w:rsidRPr="003F203A" w:rsidRDefault="003F203A" w:rsidP="003F203A">
            <w:pPr>
              <w:spacing w:after="0" w:line="240" w:lineRule="auto"/>
              <w:jc w:val="center"/>
              <w:rPr>
                <w:rFonts w:cs="Times New Roman"/>
                <w:color w:val="000000"/>
              </w:rPr>
            </w:pPr>
            <w:r w:rsidRPr="003F203A">
              <w:rPr>
                <w:rFonts w:cs="Times New Roman"/>
                <w:color w:val="000000"/>
              </w:rPr>
              <w:t> </w:t>
            </w:r>
          </w:p>
        </w:tc>
      </w:tr>
      <w:tr w:rsidR="003F203A" w:rsidRPr="003F203A" w14:paraId="23515BCB" w14:textId="77777777" w:rsidTr="00876C49">
        <w:trPr>
          <w:trHeight w:val="369"/>
        </w:trPr>
        <w:tc>
          <w:tcPr>
            <w:tcW w:w="2233" w:type="dxa"/>
            <w:tcBorders>
              <w:top w:val="nil"/>
              <w:left w:val="single" w:sz="8" w:space="0" w:color="auto"/>
              <w:bottom w:val="nil"/>
              <w:right w:val="single" w:sz="8" w:space="0" w:color="auto"/>
            </w:tcBorders>
            <w:shd w:val="clear" w:color="auto" w:fill="auto"/>
            <w:noWrap/>
            <w:vAlign w:val="center"/>
            <w:hideMark/>
          </w:tcPr>
          <w:p w14:paraId="3D18FF7B" w14:textId="77777777" w:rsidR="003F203A" w:rsidRPr="003F203A" w:rsidRDefault="003F203A" w:rsidP="003F203A">
            <w:pPr>
              <w:spacing w:after="0" w:line="240" w:lineRule="auto"/>
              <w:rPr>
                <w:rFonts w:cs="Times New Roman"/>
                <w:b/>
                <w:bCs/>
                <w:color w:val="000000"/>
              </w:rPr>
            </w:pPr>
            <w:r w:rsidRPr="003F203A">
              <w:rPr>
                <w:rFonts w:cs="Times New Roman"/>
                <w:b/>
                <w:bCs/>
                <w:color w:val="000000"/>
              </w:rPr>
              <w:t xml:space="preserve">ITC </w:t>
            </w:r>
          </w:p>
        </w:tc>
        <w:tc>
          <w:tcPr>
            <w:tcW w:w="1186" w:type="dxa"/>
            <w:tcBorders>
              <w:top w:val="nil"/>
              <w:left w:val="nil"/>
              <w:bottom w:val="nil"/>
              <w:right w:val="single" w:sz="8" w:space="0" w:color="auto"/>
            </w:tcBorders>
            <w:shd w:val="clear" w:color="auto" w:fill="auto"/>
            <w:noWrap/>
            <w:vAlign w:val="bottom"/>
            <w:hideMark/>
          </w:tcPr>
          <w:p w14:paraId="030DECF3" w14:textId="77777777" w:rsidR="003F203A" w:rsidRPr="003F203A" w:rsidRDefault="003F203A" w:rsidP="003F203A">
            <w:pPr>
              <w:spacing w:after="0" w:line="240" w:lineRule="auto"/>
              <w:rPr>
                <w:rFonts w:cs="Times New Roman"/>
                <w:color w:val="000000"/>
              </w:rPr>
            </w:pPr>
            <w:r w:rsidRPr="003F203A">
              <w:rPr>
                <w:rFonts w:cs="Times New Roman"/>
                <w:color w:val="000000"/>
              </w:rPr>
              <w:t> </w:t>
            </w:r>
          </w:p>
        </w:tc>
        <w:tc>
          <w:tcPr>
            <w:tcW w:w="1186" w:type="dxa"/>
            <w:tcBorders>
              <w:top w:val="nil"/>
              <w:left w:val="nil"/>
              <w:bottom w:val="nil"/>
              <w:right w:val="single" w:sz="8" w:space="0" w:color="auto"/>
            </w:tcBorders>
            <w:shd w:val="clear" w:color="auto" w:fill="auto"/>
            <w:noWrap/>
            <w:vAlign w:val="bottom"/>
            <w:hideMark/>
          </w:tcPr>
          <w:p w14:paraId="4847E2E5" w14:textId="77777777" w:rsidR="003F203A" w:rsidRPr="003F203A" w:rsidRDefault="003F203A" w:rsidP="003F203A">
            <w:pPr>
              <w:spacing w:after="0" w:line="240" w:lineRule="auto"/>
              <w:rPr>
                <w:rFonts w:cs="Times New Roman"/>
                <w:color w:val="000000"/>
              </w:rPr>
            </w:pPr>
            <w:r w:rsidRPr="003F203A">
              <w:rPr>
                <w:rFonts w:cs="Times New Roman"/>
                <w:color w:val="000000"/>
              </w:rPr>
              <w:t> </w:t>
            </w:r>
          </w:p>
        </w:tc>
        <w:tc>
          <w:tcPr>
            <w:tcW w:w="1186" w:type="dxa"/>
            <w:tcBorders>
              <w:top w:val="nil"/>
              <w:left w:val="nil"/>
              <w:bottom w:val="nil"/>
              <w:right w:val="single" w:sz="8" w:space="0" w:color="auto"/>
            </w:tcBorders>
            <w:shd w:val="clear" w:color="auto" w:fill="auto"/>
            <w:noWrap/>
            <w:vAlign w:val="bottom"/>
            <w:hideMark/>
          </w:tcPr>
          <w:p w14:paraId="08D84303" w14:textId="77777777" w:rsidR="003F203A" w:rsidRPr="003F203A" w:rsidRDefault="003F203A" w:rsidP="003F203A">
            <w:pPr>
              <w:spacing w:after="0" w:line="240" w:lineRule="auto"/>
              <w:rPr>
                <w:rFonts w:cs="Times New Roman"/>
                <w:color w:val="000000"/>
              </w:rPr>
            </w:pPr>
            <w:r w:rsidRPr="003F203A">
              <w:rPr>
                <w:rFonts w:cs="Times New Roman"/>
                <w:color w:val="000000"/>
              </w:rPr>
              <w:t> </w:t>
            </w:r>
          </w:p>
        </w:tc>
        <w:tc>
          <w:tcPr>
            <w:tcW w:w="1440" w:type="dxa"/>
            <w:tcBorders>
              <w:top w:val="nil"/>
              <w:left w:val="nil"/>
              <w:bottom w:val="nil"/>
              <w:right w:val="single" w:sz="8" w:space="0" w:color="auto"/>
            </w:tcBorders>
            <w:shd w:val="clear" w:color="auto" w:fill="auto"/>
            <w:vAlign w:val="center"/>
            <w:hideMark/>
          </w:tcPr>
          <w:p w14:paraId="6B8F9012" w14:textId="77777777" w:rsidR="003F203A" w:rsidRPr="003F203A" w:rsidRDefault="003F203A" w:rsidP="003F203A">
            <w:pPr>
              <w:spacing w:after="0" w:line="240" w:lineRule="auto"/>
              <w:jc w:val="center"/>
              <w:rPr>
                <w:rFonts w:cs="Times New Roman"/>
                <w:color w:val="000000"/>
              </w:rPr>
            </w:pPr>
            <w:r w:rsidRPr="003F203A">
              <w:rPr>
                <w:rFonts w:cs="Times New Roman"/>
                <w:color w:val="000000"/>
              </w:rPr>
              <w:t> </w:t>
            </w:r>
          </w:p>
        </w:tc>
        <w:tc>
          <w:tcPr>
            <w:tcW w:w="1440" w:type="dxa"/>
            <w:tcBorders>
              <w:top w:val="nil"/>
              <w:left w:val="nil"/>
              <w:bottom w:val="nil"/>
              <w:right w:val="single" w:sz="8" w:space="0" w:color="auto"/>
            </w:tcBorders>
            <w:shd w:val="clear" w:color="auto" w:fill="auto"/>
            <w:vAlign w:val="center"/>
            <w:hideMark/>
          </w:tcPr>
          <w:p w14:paraId="7D96F567" w14:textId="77777777" w:rsidR="003F203A" w:rsidRPr="003F203A" w:rsidRDefault="003F203A" w:rsidP="003F203A">
            <w:pPr>
              <w:spacing w:after="0" w:line="240" w:lineRule="auto"/>
              <w:jc w:val="center"/>
              <w:rPr>
                <w:rFonts w:cs="Times New Roman"/>
                <w:color w:val="000000"/>
              </w:rPr>
            </w:pPr>
            <w:r w:rsidRPr="003F203A">
              <w:rPr>
                <w:rFonts w:cs="Times New Roman"/>
                <w:color w:val="000000"/>
              </w:rPr>
              <w:t> </w:t>
            </w:r>
          </w:p>
        </w:tc>
      </w:tr>
      <w:tr w:rsidR="003F203A" w:rsidRPr="003F203A" w14:paraId="1472A13C" w14:textId="77777777" w:rsidTr="00876C49">
        <w:trPr>
          <w:trHeight w:val="369"/>
        </w:trPr>
        <w:tc>
          <w:tcPr>
            <w:tcW w:w="2233" w:type="dxa"/>
            <w:tcBorders>
              <w:top w:val="nil"/>
              <w:left w:val="single" w:sz="8" w:space="0" w:color="auto"/>
              <w:bottom w:val="nil"/>
              <w:right w:val="single" w:sz="8" w:space="0" w:color="auto"/>
            </w:tcBorders>
            <w:shd w:val="clear" w:color="auto" w:fill="auto"/>
            <w:noWrap/>
            <w:vAlign w:val="center"/>
            <w:hideMark/>
          </w:tcPr>
          <w:p w14:paraId="033B3977" w14:textId="77777777" w:rsidR="003F203A" w:rsidRPr="003F203A" w:rsidRDefault="003F203A" w:rsidP="003F203A">
            <w:pPr>
              <w:spacing w:after="0" w:line="240" w:lineRule="auto"/>
              <w:rPr>
                <w:rFonts w:cs="Times New Roman"/>
                <w:color w:val="000000"/>
              </w:rPr>
            </w:pPr>
            <w:r w:rsidRPr="003F203A">
              <w:rPr>
                <w:rFonts w:cs="Times New Roman"/>
                <w:color w:val="000000"/>
              </w:rPr>
              <w:t>Mean</w:t>
            </w:r>
          </w:p>
        </w:tc>
        <w:tc>
          <w:tcPr>
            <w:tcW w:w="1186" w:type="dxa"/>
            <w:tcBorders>
              <w:top w:val="nil"/>
              <w:left w:val="nil"/>
              <w:bottom w:val="nil"/>
              <w:right w:val="single" w:sz="8" w:space="0" w:color="auto"/>
            </w:tcBorders>
            <w:shd w:val="clear" w:color="auto" w:fill="auto"/>
            <w:noWrap/>
            <w:vAlign w:val="center"/>
            <w:hideMark/>
          </w:tcPr>
          <w:p w14:paraId="12183EFC" w14:textId="77777777" w:rsidR="003F203A" w:rsidRPr="003F203A" w:rsidRDefault="003F203A" w:rsidP="003F203A">
            <w:pPr>
              <w:spacing w:after="0" w:line="240" w:lineRule="auto"/>
              <w:jc w:val="center"/>
              <w:rPr>
                <w:rFonts w:cs="Times New Roman"/>
                <w:color w:val="000000"/>
              </w:rPr>
            </w:pPr>
            <w:r w:rsidRPr="003F203A">
              <w:rPr>
                <w:rFonts w:cs="Times New Roman"/>
                <w:color w:val="000000"/>
              </w:rPr>
              <w:t>0.078364</w:t>
            </w:r>
          </w:p>
        </w:tc>
        <w:tc>
          <w:tcPr>
            <w:tcW w:w="1186" w:type="dxa"/>
            <w:tcBorders>
              <w:top w:val="nil"/>
              <w:left w:val="nil"/>
              <w:bottom w:val="nil"/>
              <w:right w:val="single" w:sz="8" w:space="0" w:color="auto"/>
            </w:tcBorders>
            <w:shd w:val="clear" w:color="auto" w:fill="auto"/>
            <w:noWrap/>
            <w:vAlign w:val="center"/>
            <w:hideMark/>
          </w:tcPr>
          <w:p w14:paraId="4734F83B" w14:textId="77777777" w:rsidR="003F203A" w:rsidRPr="003F203A" w:rsidRDefault="003F203A" w:rsidP="003F203A">
            <w:pPr>
              <w:spacing w:after="0" w:line="240" w:lineRule="auto"/>
              <w:jc w:val="center"/>
              <w:rPr>
                <w:rFonts w:cs="Times New Roman"/>
                <w:color w:val="000000"/>
              </w:rPr>
            </w:pPr>
            <w:r w:rsidRPr="003F203A">
              <w:rPr>
                <w:rFonts w:cs="Times New Roman"/>
                <w:color w:val="000000"/>
              </w:rPr>
              <w:t>0.06339</w:t>
            </w:r>
          </w:p>
        </w:tc>
        <w:tc>
          <w:tcPr>
            <w:tcW w:w="1186" w:type="dxa"/>
            <w:tcBorders>
              <w:top w:val="nil"/>
              <w:left w:val="nil"/>
              <w:bottom w:val="nil"/>
              <w:right w:val="single" w:sz="8" w:space="0" w:color="auto"/>
            </w:tcBorders>
            <w:shd w:val="clear" w:color="auto" w:fill="auto"/>
            <w:noWrap/>
            <w:vAlign w:val="center"/>
            <w:hideMark/>
          </w:tcPr>
          <w:p w14:paraId="5623C021" w14:textId="77777777" w:rsidR="003F203A" w:rsidRPr="003F203A" w:rsidRDefault="003F203A" w:rsidP="003F203A">
            <w:pPr>
              <w:spacing w:after="0" w:line="240" w:lineRule="auto"/>
              <w:jc w:val="center"/>
              <w:rPr>
                <w:rFonts w:cs="Times New Roman"/>
                <w:color w:val="000000"/>
              </w:rPr>
            </w:pPr>
            <w:r w:rsidRPr="003F203A">
              <w:rPr>
                <w:rFonts w:cs="Times New Roman"/>
                <w:color w:val="000000"/>
              </w:rPr>
              <w:t>0.066908</w:t>
            </w:r>
          </w:p>
        </w:tc>
        <w:tc>
          <w:tcPr>
            <w:tcW w:w="1440" w:type="dxa"/>
            <w:tcBorders>
              <w:top w:val="nil"/>
              <w:left w:val="nil"/>
              <w:bottom w:val="nil"/>
              <w:right w:val="single" w:sz="8" w:space="0" w:color="auto"/>
            </w:tcBorders>
            <w:shd w:val="clear" w:color="auto" w:fill="auto"/>
            <w:vAlign w:val="center"/>
            <w:hideMark/>
          </w:tcPr>
          <w:p w14:paraId="348EA3E1" w14:textId="77777777" w:rsidR="003F203A" w:rsidRPr="003F203A" w:rsidRDefault="003F203A" w:rsidP="003F203A">
            <w:pPr>
              <w:spacing w:after="0" w:line="240" w:lineRule="auto"/>
              <w:jc w:val="center"/>
              <w:rPr>
                <w:rFonts w:cs="Times New Roman"/>
                <w:color w:val="000000"/>
              </w:rPr>
            </w:pPr>
            <w:r w:rsidRPr="003F203A">
              <w:rPr>
                <w:rFonts w:cs="Times New Roman"/>
                <w:color w:val="000000"/>
              </w:rPr>
              <w:t>0.06300317</w:t>
            </w:r>
          </w:p>
        </w:tc>
        <w:tc>
          <w:tcPr>
            <w:tcW w:w="1440" w:type="dxa"/>
            <w:tcBorders>
              <w:top w:val="nil"/>
              <w:left w:val="nil"/>
              <w:bottom w:val="nil"/>
              <w:right w:val="single" w:sz="8" w:space="0" w:color="auto"/>
            </w:tcBorders>
            <w:shd w:val="clear" w:color="auto" w:fill="auto"/>
            <w:vAlign w:val="center"/>
            <w:hideMark/>
          </w:tcPr>
          <w:p w14:paraId="5F31CC2C" w14:textId="77777777" w:rsidR="003F203A" w:rsidRPr="003F203A" w:rsidRDefault="003F203A" w:rsidP="003F203A">
            <w:pPr>
              <w:spacing w:after="0" w:line="240" w:lineRule="auto"/>
              <w:jc w:val="center"/>
              <w:rPr>
                <w:rFonts w:cs="Times New Roman"/>
                <w:color w:val="000000"/>
              </w:rPr>
            </w:pPr>
            <w:r w:rsidRPr="003F203A">
              <w:rPr>
                <w:rFonts w:cs="Times New Roman"/>
                <w:color w:val="000000"/>
              </w:rPr>
              <w:t>0.06114429</w:t>
            </w:r>
          </w:p>
        </w:tc>
      </w:tr>
      <w:tr w:rsidR="003F203A" w:rsidRPr="003F203A" w14:paraId="09C23001" w14:textId="77777777" w:rsidTr="00876C49">
        <w:trPr>
          <w:trHeight w:val="369"/>
        </w:trPr>
        <w:tc>
          <w:tcPr>
            <w:tcW w:w="2233" w:type="dxa"/>
            <w:tcBorders>
              <w:top w:val="nil"/>
              <w:left w:val="single" w:sz="8" w:space="0" w:color="auto"/>
              <w:bottom w:val="nil"/>
              <w:right w:val="single" w:sz="8" w:space="0" w:color="auto"/>
            </w:tcBorders>
            <w:shd w:val="clear" w:color="auto" w:fill="auto"/>
            <w:noWrap/>
            <w:vAlign w:val="center"/>
            <w:hideMark/>
          </w:tcPr>
          <w:p w14:paraId="0CA027D5" w14:textId="77777777" w:rsidR="003F203A" w:rsidRPr="003F203A" w:rsidRDefault="005162FA" w:rsidP="003F203A">
            <w:pPr>
              <w:spacing w:after="0" w:line="240" w:lineRule="auto"/>
              <w:rPr>
                <w:rFonts w:cs="Times New Roman"/>
                <w:color w:val="000000"/>
              </w:rPr>
            </w:pPr>
            <w:r>
              <w:rPr>
                <w:rFonts w:cs="Times New Roman"/>
                <w:color w:val="000000"/>
              </w:rPr>
              <w:t>Standard deviation</w:t>
            </w:r>
          </w:p>
        </w:tc>
        <w:tc>
          <w:tcPr>
            <w:tcW w:w="1186" w:type="dxa"/>
            <w:tcBorders>
              <w:top w:val="nil"/>
              <w:left w:val="nil"/>
              <w:bottom w:val="nil"/>
              <w:right w:val="single" w:sz="8" w:space="0" w:color="auto"/>
            </w:tcBorders>
            <w:shd w:val="clear" w:color="auto" w:fill="auto"/>
            <w:noWrap/>
            <w:vAlign w:val="center"/>
            <w:hideMark/>
          </w:tcPr>
          <w:p w14:paraId="7724D038" w14:textId="77777777" w:rsidR="003F203A" w:rsidRPr="003F203A" w:rsidRDefault="003F203A" w:rsidP="003F203A">
            <w:pPr>
              <w:spacing w:after="0" w:line="240" w:lineRule="auto"/>
              <w:jc w:val="center"/>
              <w:rPr>
                <w:rFonts w:cs="Times New Roman"/>
                <w:color w:val="000000"/>
              </w:rPr>
            </w:pPr>
            <w:r w:rsidRPr="003F203A">
              <w:rPr>
                <w:rFonts w:cs="Times New Roman"/>
                <w:color w:val="000000"/>
              </w:rPr>
              <w:t>0.059586</w:t>
            </w:r>
          </w:p>
        </w:tc>
        <w:tc>
          <w:tcPr>
            <w:tcW w:w="1186" w:type="dxa"/>
            <w:tcBorders>
              <w:top w:val="nil"/>
              <w:left w:val="nil"/>
              <w:bottom w:val="nil"/>
              <w:right w:val="single" w:sz="8" w:space="0" w:color="auto"/>
            </w:tcBorders>
            <w:shd w:val="clear" w:color="auto" w:fill="auto"/>
            <w:noWrap/>
            <w:vAlign w:val="center"/>
            <w:hideMark/>
          </w:tcPr>
          <w:p w14:paraId="5A54FD3D" w14:textId="77777777" w:rsidR="003F203A" w:rsidRPr="003F203A" w:rsidRDefault="003F203A" w:rsidP="003F203A">
            <w:pPr>
              <w:spacing w:after="0" w:line="240" w:lineRule="auto"/>
              <w:jc w:val="center"/>
              <w:rPr>
                <w:rFonts w:cs="Times New Roman"/>
                <w:color w:val="000000"/>
              </w:rPr>
            </w:pPr>
            <w:r w:rsidRPr="003F203A">
              <w:rPr>
                <w:rFonts w:cs="Times New Roman"/>
                <w:color w:val="000000"/>
              </w:rPr>
              <w:t>0.049315</w:t>
            </w:r>
          </w:p>
        </w:tc>
        <w:tc>
          <w:tcPr>
            <w:tcW w:w="1186" w:type="dxa"/>
            <w:tcBorders>
              <w:top w:val="nil"/>
              <w:left w:val="nil"/>
              <w:bottom w:val="nil"/>
              <w:right w:val="single" w:sz="8" w:space="0" w:color="auto"/>
            </w:tcBorders>
            <w:shd w:val="clear" w:color="auto" w:fill="auto"/>
            <w:noWrap/>
            <w:vAlign w:val="center"/>
            <w:hideMark/>
          </w:tcPr>
          <w:p w14:paraId="0983E19C" w14:textId="77777777" w:rsidR="003F203A" w:rsidRPr="003F203A" w:rsidRDefault="003F203A" w:rsidP="003F203A">
            <w:pPr>
              <w:spacing w:after="0" w:line="240" w:lineRule="auto"/>
              <w:jc w:val="center"/>
              <w:rPr>
                <w:rFonts w:cs="Times New Roman"/>
                <w:color w:val="000000"/>
              </w:rPr>
            </w:pPr>
            <w:r w:rsidRPr="003F203A">
              <w:rPr>
                <w:rFonts w:cs="Times New Roman"/>
                <w:color w:val="000000"/>
              </w:rPr>
              <w:t>0.052912</w:t>
            </w:r>
          </w:p>
        </w:tc>
        <w:tc>
          <w:tcPr>
            <w:tcW w:w="1440" w:type="dxa"/>
            <w:tcBorders>
              <w:top w:val="nil"/>
              <w:left w:val="nil"/>
              <w:bottom w:val="nil"/>
              <w:right w:val="single" w:sz="8" w:space="0" w:color="auto"/>
            </w:tcBorders>
            <w:shd w:val="clear" w:color="auto" w:fill="auto"/>
            <w:vAlign w:val="center"/>
            <w:hideMark/>
          </w:tcPr>
          <w:p w14:paraId="2372C5FC" w14:textId="77777777" w:rsidR="003F203A" w:rsidRPr="003F203A" w:rsidRDefault="003F203A" w:rsidP="003F203A">
            <w:pPr>
              <w:spacing w:after="0" w:line="240" w:lineRule="auto"/>
              <w:jc w:val="center"/>
              <w:rPr>
                <w:rFonts w:cs="Times New Roman"/>
                <w:color w:val="000000"/>
              </w:rPr>
            </w:pPr>
            <w:r w:rsidRPr="003F203A">
              <w:rPr>
                <w:rFonts w:cs="Times New Roman"/>
                <w:color w:val="000000"/>
              </w:rPr>
              <w:t>0.05235501</w:t>
            </w:r>
          </w:p>
        </w:tc>
        <w:tc>
          <w:tcPr>
            <w:tcW w:w="1440" w:type="dxa"/>
            <w:tcBorders>
              <w:top w:val="nil"/>
              <w:left w:val="nil"/>
              <w:bottom w:val="nil"/>
              <w:right w:val="single" w:sz="8" w:space="0" w:color="auto"/>
            </w:tcBorders>
            <w:shd w:val="clear" w:color="auto" w:fill="auto"/>
            <w:vAlign w:val="center"/>
            <w:hideMark/>
          </w:tcPr>
          <w:p w14:paraId="052223C0" w14:textId="77777777" w:rsidR="003F203A" w:rsidRPr="003F203A" w:rsidRDefault="003F203A" w:rsidP="003F203A">
            <w:pPr>
              <w:spacing w:after="0" w:line="240" w:lineRule="auto"/>
              <w:jc w:val="center"/>
              <w:rPr>
                <w:rFonts w:cs="Times New Roman"/>
                <w:color w:val="000000"/>
              </w:rPr>
            </w:pPr>
            <w:r w:rsidRPr="003F203A">
              <w:rPr>
                <w:rFonts w:cs="Times New Roman"/>
                <w:color w:val="000000"/>
              </w:rPr>
              <w:t>0.05165432</w:t>
            </w:r>
          </w:p>
        </w:tc>
      </w:tr>
      <w:tr w:rsidR="003F203A" w:rsidRPr="003F203A" w14:paraId="26D2B022" w14:textId="77777777" w:rsidTr="00876C49">
        <w:trPr>
          <w:trHeight w:val="369"/>
        </w:trPr>
        <w:tc>
          <w:tcPr>
            <w:tcW w:w="2233" w:type="dxa"/>
            <w:tcBorders>
              <w:top w:val="nil"/>
              <w:left w:val="single" w:sz="8" w:space="0" w:color="auto"/>
              <w:bottom w:val="nil"/>
              <w:right w:val="single" w:sz="8" w:space="0" w:color="auto"/>
            </w:tcBorders>
            <w:shd w:val="clear" w:color="auto" w:fill="auto"/>
            <w:noWrap/>
            <w:vAlign w:val="center"/>
            <w:hideMark/>
          </w:tcPr>
          <w:p w14:paraId="79B85320" w14:textId="77777777" w:rsidR="003F203A" w:rsidRPr="003F203A" w:rsidRDefault="003F203A" w:rsidP="003F203A">
            <w:pPr>
              <w:spacing w:after="0" w:line="240" w:lineRule="auto"/>
              <w:rPr>
                <w:rFonts w:cs="Times New Roman"/>
                <w:color w:val="000000"/>
              </w:rPr>
            </w:pPr>
            <w:r w:rsidRPr="003F203A">
              <w:rPr>
                <w:rFonts w:cs="Times New Roman"/>
                <w:color w:val="000000"/>
              </w:rPr>
              <w:t> </w:t>
            </w:r>
          </w:p>
        </w:tc>
        <w:tc>
          <w:tcPr>
            <w:tcW w:w="1186" w:type="dxa"/>
            <w:tcBorders>
              <w:top w:val="nil"/>
              <w:left w:val="nil"/>
              <w:bottom w:val="nil"/>
              <w:right w:val="single" w:sz="8" w:space="0" w:color="auto"/>
            </w:tcBorders>
            <w:shd w:val="clear" w:color="auto" w:fill="auto"/>
            <w:noWrap/>
            <w:vAlign w:val="bottom"/>
            <w:hideMark/>
          </w:tcPr>
          <w:p w14:paraId="2F59FEBE" w14:textId="77777777" w:rsidR="003F203A" w:rsidRPr="003F203A" w:rsidRDefault="003F203A" w:rsidP="003F203A">
            <w:pPr>
              <w:spacing w:after="0" w:line="240" w:lineRule="auto"/>
              <w:rPr>
                <w:rFonts w:cs="Times New Roman"/>
                <w:color w:val="000000"/>
              </w:rPr>
            </w:pPr>
            <w:r w:rsidRPr="003F203A">
              <w:rPr>
                <w:rFonts w:cs="Times New Roman"/>
                <w:color w:val="000000"/>
              </w:rPr>
              <w:t> </w:t>
            </w:r>
          </w:p>
        </w:tc>
        <w:tc>
          <w:tcPr>
            <w:tcW w:w="1186" w:type="dxa"/>
            <w:tcBorders>
              <w:top w:val="nil"/>
              <w:left w:val="nil"/>
              <w:bottom w:val="nil"/>
              <w:right w:val="single" w:sz="8" w:space="0" w:color="auto"/>
            </w:tcBorders>
            <w:shd w:val="clear" w:color="auto" w:fill="auto"/>
            <w:noWrap/>
            <w:vAlign w:val="bottom"/>
            <w:hideMark/>
          </w:tcPr>
          <w:p w14:paraId="2A8E8C47" w14:textId="77777777" w:rsidR="003F203A" w:rsidRPr="003F203A" w:rsidRDefault="003F203A" w:rsidP="003F203A">
            <w:pPr>
              <w:spacing w:after="0" w:line="240" w:lineRule="auto"/>
              <w:rPr>
                <w:rFonts w:cs="Times New Roman"/>
                <w:color w:val="000000"/>
              </w:rPr>
            </w:pPr>
            <w:r w:rsidRPr="003F203A">
              <w:rPr>
                <w:rFonts w:cs="Times New Roman"/>
                <w:color w:val="000000"/>
              </w:rPr>
              <w:t> </w:t>
            </w:r>
          </w:p>
        </w:tc>
        <w:tc>
          <w:tcPr>
            <w:tcW w:w="1186" w:type="dxa"/>
            <w:tcBorders>
              <w:top w:val="nil"/>
              <w:left w:val="nil"/>
              <w:bottom w:val="nil"/>
              <w:right w:val="single" w:sz="8" w:space="0" w:color="auto"/>
            </w:tcBorders>
            <w:shd w:val="clear" w:color="auto" w:fill="auto"/>
            <w:noWrap/>
            <w:vAlign w:val="bottom"/>
            <w:hideMark/>
          </w:tcPr>
          <w:p w14:paraId="39A83DAF" w14:textId="77777777" w:rsidR="003F203A" w:rsidRPr="003F203A" w:rsidRDefault="003F203A" w:rsidP="003F203A">
            <w:pPr>
              <w:spacing w:after="0" w:line="240" w:lineRule="auto"/>
              <w:rPr>
                <w:rFonts w:cs="Times New Roman"/>
                <w:color w:val="000000"/>
              </w:rPr>
            </w:pPr>
            <w:r w:rsidRPr="003F203A">
              <w:rPr>
                <w:rFonts w:cs="Times New Roman"/>
                <w:color w:val="000000"/>
              </w:rPr>
              <w:t> </w:t>
            </w:r>
          </w:p>
        </w:tc>
        <w:tc>
          <w:tcPr>
            <w:tcW w:w="1440" w:type="dxa"/>
            <w:tcBorders>
              <w:top w:val="nil"/>
              <w:left w:val="nil"/>
              <w:bottom w:val="nil"/>
              <w:right w:val="single" w:sz="8" w:space="0" w:color="auto"/>
            </w:tcBorders>
            <w:shd w:val="clear" w:color="auto" w:fill="auto"/>
            <w:vAlign w:val="center"/>
            <w:hideMark/>
          </w:tcPr>
          <w:p w14:paraId="06533DC4" w14:textId="77777777" w:rsidR="003F203A" w:rsidRPr="003F203A" w:rsidRDefault="003F203A" w:rsidP="003F203A">
            <w:pPr>
              <w:spacing w:after="0" w:line="240" w:lineRule="auto"/>
              <w:jc w:val="center"/>
              <w:rPr>
                <w:rFonts w:cs="Times New Roman"/>
                <w:color w:val="000000"/>
              </w:rPr>
            </w:pPr>
            <w:r w:rsidRPr="003F203A">
              <w:rPr>
                <w:rFonts w:cs="Times New Roman"/>
                <w:color w:val="000000"/>
              </w:rPr>
              <w:t> </w:t>
            </w:r>
          </w:p>
        </w:tc>
        <w:tc>
          <w:tcPr>
            <w:tcW w:w="1440" w:type="dxa"/>
            <w:tcBorders>
              <w:top w:val="nil"/>
              <w:left w:val="nil"/>
              <w:bottom w:val="nil"/>
              <w:right w:val="single" w:sz="8" w:space="0" w:color="auto"/>
            </w:tcBorders>
            <w:shd w:val="clear" w:color="auto" w:fill="auto"/>
            <w:vAlign w:val="center"/>
            <w:hideMark/>
          </w:tcPr>
          <w:p w14:paraId="42753DDA" w14:textId="77777777" w:rsidR="003F203A" w:rsidRPr="003F203A" w:rsidRDefault="003F203A" w:rsidP="003F203A">
            <w:pPr>
              <w:spacing w:after="0" w:line="240" w:lineRule="auto"/>
              <w:jc w:val="center"/>
              <w:rPr>
                <w:rFonts w:cs="Times New Roman"/>
                <w:color w:val="000000"/>
              </w:rPr>
            </w:pPr>
            <w:r w:rsidRPr="003F203A">
              <w:rPr>
                <w:rFonts w:cs="Times New Roman"/>
                <w:color w:val="000000"/>
              </w:rPr>
              <w:t> </w:t>
            </w:r>
          </w:p>
        </w:tc>
      </w:tr>
      <w:tr w:rsidR="003F203A" w:rsidRPr="003F203A" w14:paraId="42114CA3" w14:textId="77777777" w:rsidTr="00876C49">
        <w:trPr>
          <w:trHeight w:val="369"/>
        </w:trPr>
        <w:tc>
          <w:tcPr>
            <w:tcW w:w="2233" w:type="dxa"/>
            <w:tcBorders>
              <w:top w:val="nil"/>
              <w:left w:val="single" w:sz="8" w:space="0" w:color="auto"/>
              <w:bottom w:val="nil"/>
              <w:right w:val="single" w:sz="8" w:space="0" w:color="auto"/>
            </w:tcBorders>
            <w:shd w:val="clear" w:color="auto" w:fill="auto"/>
            <w:noWrap/>
            <w:vAlign w:val="center"/>
            <w:hideMark/>
          </w:tcPr>
          <w:p w14:paraId="7BBBDD51" w14:textId="77777777" w:rsidR="003F203A" w:rsidRPr="003F203A" w:rsidRDefault="003F203A" w:rsidP="003F203A">
            <w:pPr>
              <w:spacing w:after="0" w:line="240" w:lineRule="auto"/>
              <w:rPr>
                <w:rFonts w:cs="Times New Roman"/>
                <w:b/>
                <w:bCs/>
                <w:color w:val="000000"/>
              </w:rPr>
            </w:pPr>
            <w:r w:rsidRPr="003F203A">
              <w:rPr>
                <w:rFonts w:cs="Times New Roman"/>
                <w:b/>
                <w:bCs/>
                <w:color w:val="000000"/>
              </w:rPr>
              <w:t xml:space="preserve">GAIL </w:t>
            </w:r>
          </w:p>
        </w:tc>
        <w:tc>
          <w:tcPr>
            <w:tcW w:w="1186" w:type="dxa"/>
            <w:tcBorders>
              <w:top w:val="nil"/>
              <w:left w:val="nil"/>
              <w:bottom w:val="nil"/>
              <w:right w:val="single" w:sz="8" w:space="0" w:color="auto"/>
            </w:tcBorders>
            <w:shd w:val="clear" w:color="auto" w:fill="auto"/>
            <w:noWrap/>
            <w:vAlign w:val="bottom"/>
            <w:hideMark/>
          </w:tcPr>
          <w:p w14:paraId="71266BE0" w14:textId="77777777" w:rsidR="003F203A" w:rsidRPr="003F203A" w:rsidRDefault="003F203A" w:rsidP="003F203A">
            <w:pPr>
              <w:spacing w:after="0" w:line="240" w:lineRule="auto"/>
              <w:rPr>
                <w:rFonts w:cs="Times New Roman"/>
                <w:color w:val="000000"/>
              </w:rPr>
            </w:pPr>
            <w:r w:rsidRPr="003F203A">
              <w:rPr>
                <w:rFonts w:cs="Times New Roman"/>
                <w:color w:val="000000"/>
              </w:rPr>
              <w:t> </w:t>
            </w:r>
          </w:p>
        </w:tc>
        <w:tc>
          <w:tcPr>
            <w:tcW w:w="1186" w:type="dxa"/>
            <w:tcBorders>
              <w:top w:val="nil"/>
              <w:left w:val="nil"/>
              <w:bottom w:val="nil"/>
              <w:right w:val="single" w:sz="8" w:space="0" w:color="auto"/>
            </w:tcBorders>
            <w:shd w:val="clear" w:color="auto" w:fill="auto"/>
            <w:noWrap/>
            <w:vAlign w:val="bottom"/>
            <w:hideMark/>
          </w:tcPr>
          <w:p w14:paraId="6A056F87" w14:textId="77777777" w:rsidR="003F203A" w:rsidRPr="003F203A" w:rsidRDefault="003F203A" w:rsidP="003F203A">
            <w:pPr>
              <w:spacing w:after="0" w:line="240" w:lineRule="auto"/>
              <w:rPr>
                <w:rFonts w:cs="Times New Roman"/>
                <w:color w:val="000000"/>
              </w:rPr>
            </w:pPr>
            <w:r w:rsidRPr="003F203A">
              <w:rPr>
                <w:rFonts w:cs="Times New Roman"/>
                <w:color w:val="000000"/>
              </w:rPr>
              <w:t> </w:t>
            </w:r>
          </w:p>
        </w:tc>
        <w:tc>
          <w:tcPr>
            <w:tcW w:w="1186" w:type="dxa"/>
            <w:tcBorders>
              <w:top w:val="nil"/>
              <w:left w:val="nil"/>
              <w:bottom w:val="nil"/>
              <w:right w:val="single" w:sz="8" w:space="0" w:color="auto"/>
            </w:tcBorders>
            <w:shd w:val="clear" w:color="auto" w:fill="auto"/>
            <w:noWrap/>
            <w:vAlign w:val="bottom"/>
            <w:hideMark/>
          </w:tcPr>
          <w:p w14:paraId="6D947152" w14:textId="77777777" w:rsidR="003F203A" w:rsidRPr="003F203A" w:rsidRDefault="003F203A" w:rsidP="003F203A">
            <w:pPr>
              <w:spacing w:after="0" w:line="240" w:lineRule="auto"/>
              <w:rPr>
                <w:rFonts w:cs="Times New Roman"/>
                <w:color w:val="000000"/>
              </w:rPr>
            </w:pPr>
            <w:r w:rsidRPr="003F203A">
              <w:rPr>
                <w:rFonts w:cs="Times New Roman"/>
                <w:color w:val="000000"/>
              </w:rPr>
              <w:t> </w:t>
            </w:r>
          </w:p>
        </w:tc>
        <w:tc>
          <w:tcPr>
            <w:tcW w:w="1440" w:type="dxa"/>
            <w:tcBorders>
              <w:top w:val="nil"/>
              <w:left w:val="nil"/>
              <w:bottom w:val="nil"/>
              <w:right w:val="single" w:sz="8" w:space="0" w:color="auto"/>
            </w:tcBorders>
            <w:shd w:val="clear" w:color="auto" w:fill="auto"/>
            <w:vAlign w:val="center"/>
            <w:hideMark/>
          </w:tcPr>
          <w:p w14:paraId="72CC4A7A" w14:textId="77777777" w:rsidR="003F203A" w:rsidRPr="003F203A" w:rsidRDefault="003F203A" w:rsidP="003F203A">
            <w:pPr>
              <w:spacing w:after="0" w:line="240" w:lineRule="auto"/>
              <w:jc w:val="center"/>
              <w:rPr>
                <w:rFonts w:cs="Times New Roman"/>
                <w:color w:val="000000"/>
              </w:rPr>
            </w:pPr>
            <w:r w:rsidRPr="003F203A">
              <w:rPr>
                <w:rFonts w:cs="Times New Roman"/>
                <w:color w:val="000000"/>
              </w:rPr>
              <w:t> </w:t>
            </w:r>
          </w:p>
        </w:tc>
        <w:tc>
          <w:tcPr>
            <w:tcW w:w="1440" w:type="dxa"/>
            <w:tcBorders>
              <w:top w:val="nil"/>
              <w:left w:val="nil"/>
              <w:bottom w:val="nil"/>
              <w:right w:val="single" w:sz="8" w:space="0" w:color="auto"/>
            </w:tcBorders>
            <w:shd w:val="clear" w:color="auto" w:fill="auto"/>
            <w:vAlign w:val="center"/>
            <w:hideMark/>
          </w:tcPr>
          <w:p w14:paraId="2252158B" w14:textId="77777777" w:rsidR="003F203A" w:rsidRPr="003F203A" w:rsidRDefault="003F203A" w:rsidP="003F203A">
            <w:pPr>
              <w:spacing w:after="0" w:line="240" w:lineRule="auto"/>
              <w:jc w:val="center"/>
              <w:rPr>
                <w:rFonts w:cs="Times New Roman"/>
                <w:color w:val="000000"/>
              </w:rPr>
            </w:pPr>
            <w:r w:rsidRPr="003F203A">
              <w:rPr>
                <w:rFonts w:cs="Times New Roman"/>
                <w:color w:val="000000"/>
              </w:rPr>
              <w:t> </w:t>
            </w:r>
          </w:p>
        </w:tc>
      </w:tr>
      <w:tr w:rsidR="003F203A" w:rsidRPr="003F203A" w14:paraId="7FA2E83A" w14:textId="77777777" w:rsidTr="00876C49">
        <w:trPr>
          <w:trHeight w:val="369"/>
        </w:trPr>
        <w:tc>
          <w:tcPr>
            <w:tcW w:w="2233" w:type="dxa"/>
            <w:tcBorders>
              <w:top w:val="nil"/>
              <w:left w:val="single" w:sz="8" w:space="0" w:color="auto"/>
              <w:bottom w:val="nil"/>
              <w:right w:val="single" w:sz="8" w:space="0" w:color="auto"/>
            </w:tcBorders>
            <w:shd w:val="clear" w:color="auto" w:fill="auto"/>
            <w:noWrap/>
            <w:vAlign w:val="center"/>
            <w:hideMark/>
          </w:tcPr>
          <w:p w14:paraId="2CB5EC92" w14:textId="77777777" w:rsidR="003F203A" w:rsidRPr="003F203A" w:rsidRDefault="003F203A" w:rsidP="003F203A">
            <w:pPr>
              <w:spacing w:after="0" w:line="240" w:lineRule="auto"/>
              <w:rPr>
                <w:rFonts w:cs="Times New Roman"/>
                <w:color w:val="000000"/>
              </w:rPr>
            </w:pPr>
            <w:r w:rsidRPr="003F203A">
              <w:rPr>
                <w:rFonts w:cs="Times New Roman"/>
                <w:color w:val="000000"/>
              </w:rPr>
              <w:t>Mean</w:t>
            </w:r>
          </w:p>
        </w:tc>
        <w:tc>
          <w:tcPr>
            <w:tcW w:w="1186" w:type="dxa"/>
            <w:tcBorders>
              <w:top w:val="nil"/>
              <w:left w:val="nil"/>
              <w:bottom w:val="nil"/>
              <w:right w:val="single" w:sz="8" w:space="0" w:color="auto"/>
            </w:tcBorders>
            <w:shd w:val="clear" w:color="auto" w:fill="auto"/>
            <w:noWrap/>
            <w:vAlign w:val="center"/>
            <w:hideMark/>
          </w:tcPr>
          <w:p w14:paraId="5A417155" w14:textId="77777777" w:rsidR="003F203A" w:rsidRPr="003F203A" w:rsidRDefault="003F203A" w:rsidP="003F203A">
            <w:pPr>
              <w:spacing w:after="0" w:line="240" w:lineRule="auto"/>
              <w:jc w:val="center"/>
              <w:rPr>
                <w:rFonts w:cs="Times New Roman"/>
                <w:color w:val="000000"/>
              </w:rPr>
            </w:pPr>
            <w:r w:rsidRPr="003F203A">
              <w:rPr>
                <w:rFonts w:cs="Times New Roman"/>
                <w:color w:val="000000"/>
              </w:rPr>
              <w:t>0.109129</w:t>
            </w:r>
          </w:p>
        </w:tc>
        <w:tc>
          <w:tcPr>
            <w:tcW w:w="1186" w:type="dxa"/>
            <w:tcBorders>
              <w:top w:val="nil"/>
              <w:left w:val="nil"/>
              <w:bottom w:val="nil"/>
              <w:right w:val="single" w:sz="8" w:space="0" w:color="auto"/>
            </w:tcBorders>
            <w:shd w:val="clear" w:color="auto" w:fill="auto"/>
            <w:noWrap/>
            <w:vAlign w:val="center"/>
            <w:hideMark/>
          </w:tcPr>
          <w:p w14:paraId="1BA5B0FC" w14:textId="77777777" w:rsidR="003F203A" w:rsidRPr="003F203A" w:rsidRDefault="003F203A" w:rsidP="003F203A">
            <w:pPr>
              <w:spacing w:after="0" w:line="240" w:lineRule="auto"/>
              <w:jc w:val="center"/>
              <w:rPr>
                <w:rFonts w:cs="Times New Roman"/>
                <w:color w:val="000000"/>
              </w:rPr>
            </w:pPr>
            <w:r w:rsidRPr="003F203A">
              <w:rPr>
                <w:rFonts w:cs="Times New Roman"/>
                <w:color w:val="000000"/>
              </w:rPr>
              <w:t>0.133158</w:t>
            </w:r>
          </w:p>
        </w:tc>
        <w:tc>
          <w:tcPr>
            <w:tcW w:w="1186" w:type="dxa"/>
            <w:tcBorders>
              <w:top w:val="nil"/>
              <w:left w:val="nil"/>
              <w:bottom w:val="nil"/>
              <w:right w:val="single" w:sz="8" w:space="0" w:color="auto"/>
            </w:tcBorders>
            <w:shd w:val="clear" w:color="auto" w:fill="auto"/>
            <w:noWrap/>
            <w:vAlign w:val="center"/>
            <w:hideMark/>
          </w:tcPr>
          <w:p w14:paraId="3E8364A0" w14:textId="77777777" w:rsidR="003F203A" w:rsidRPr="003F203A" w:rsidRDefault="003F203A" w:rsidP="003F203A">
            <w:pPr>
              <w:spacing w:after="0" w:line="240" w:lineRule="auto"/>
              <w:jc w:val="center"/>
              <w:rPr>
                <w:rFonts w:cs="Times New Roman"/>
                <w:color w:val="000000"/>
              </w:rPr>
            </w:pPr>
            <w:r w:rsidRPr="003F203A">
              <w:rPr>
                <w:rFonts w:cs="Times New Roman"/>
                <w:color w:val="000000"/>
              </w:rPr>
              <w:t>0.129201</w:t>
            </w:r>
          </w:p>
        </w:tc>
        <w:tc>
          <w:tcPr>
            <w:tcW w:w="1440" w:type="dxa"/>
            <w:tcBorders>
              <w:top w:val="nil"/>
              <w:left w:val="nil"/>
              <w:bottom w:val="nil"/>
              <w:right w:val="single" w:sz="8" w:space="0" w:color="auto"/>
            </w:tcBorders>
            <w:shd w:val="clear" w:color="auto" w:fill="auto"/>
            <w:vAlign w:val="center"/>
            <w:hideMark/>
          </w:tcPr>
          <w:p w14:paraId="51B826FD" w14:textId="77777777" w:rsidR="003F203A" w:rsidRPr="003F203A" w:rsidRDefault="003F203A" w:rsidP="003F203A">
            <w:pPr>
              <w:spacing w:after="0" w:line="240" w:lineRule="auto"/>
              <w:jc w:val="center"/>
              <w:rPr>
                <w:rFonts w:cs="Times New Roman"/>
                <w:color w:val="000000"/>
              </w:rPr>
            </w:pPr>
            <w:r w:rsidRPr="003F203A">
              <w:rPr>
                <w:rFonts w:cs="Times New Roman"/>
                <w:color w:val="000000"/>
              </w:rPr>
              <w:t>0.14582128</w:t>
            </w:r>
          </w:p>
        </w:tc>
        <w:tc>
          <w:tcPr>
            <w:tcW w:w="1440" w:type="dxa"/>
            <w:tcBorders>
              <w:top w:val="nil"/>
              <w:left w:val="nil"/>
              <w:bottom w:val="nil"/>
              <w:right w:val="single" w:sz="8" w:space="0" w:color="auto"/>
            </w:tcBorders>
            <w:shd w:val="clear" w:color="auto" w:fill="auto"/>
            <w:vAlign w:val="center"/>
            <w:hideMark/>
          </w:tcPr>
          <w:p w14:paraId="20BCA216" w14:textId="77777777" w:rsidR="003F203A" w:rsidRPr="003F203A" w:rsidRDefault="003F203A" w:rsidP="003F203A">
            <w:pPr>
              <w:spacing w:after="0" w:line="240" w:lineRule="auto"/>
              <w:jc w:val="center"/>
              <w:rPr>
                <w:rFonts w:cs="Times New Roman"/>
                <w:color w:val="000000"/>
              </w:rPr>
            </w:pPr>
            <w:r w:rsidRPr="003F203A">
              <w:rPr>
                <w:rFonts w:cs="Times New Roman"/>
                <w:color w:val="000000"/>
              </w:rPr>
              <w:t>0.13523665</w:t>
            </w:r>
          </w:p>
        </w:tc>
      </w:tr>
      <w:tr w:rsidR="003F203A" w:rsidRPr="003F203A" w14:paraId="0124CAE7" w14:textId="77777777" w:rsidTr="00876C49">
        <w:trPr>
          <w:trHeight w:val="369"/>
        </w:trPr>
        <w:tc>
          <w:tcPr>
            <w:tcW w:w="2233" w:type="dxa"/>
            <w:tcBorders>
              <w:top w:val="nil"/>
              <w:left w:val="single" w:sz="8" w:space="0" w:color="auto"/>
              <w:bottom w:val="nil"/>
              <w:right w:val="single" w:sz="8" w:space="0" w:color="auto"/>
            </w:tcBorders>
            <w:shd w:val="clear" w:color="auto" w:fill="auto"/>
            <w:noWrap/>
            <w:vAlign w:val="center"/>
            <w:hideMark/>
          </w:tcPr>
          <w:p w14:paraId="27B3E8CA" w14:textId="77777777" w:rsidR="003F203A" w:rsidRPr="003F203A" w:rsidRDefault="005162FA" w:rsidP="003F203A">
            <w:pPr>
              <w:spacing w:after="0" w:line="240" w:lineRule="auto"/>
              <w:rPr>
                <w:rFonts w:cs="Times New Roman"/>
                <w:color w:val="000000"/>
              </w:rPr>
            </w:pPr>
            <w:r>
              <w:rPr>
                <w:rFonts w:cs="Times New Roman"/>
                <w:color w:val="000000"/>
              </w:rPr>
              <w:t>Standard deviation</w:t>
            </w:r>
          </w:p>
        </w:tc>
        <w:tc>
          <w:tcPr>
            <w:tcW w:w="1186" w:type="dxa"/>
            <w:tcBorders>
              <w:top w:val="nil"/>
              <w:left w:val="nil"/>
              <w:bottom w:val="nil"/>
              <w:right w:val="single" w:sz="8" w:space="0" w:color="auto"/>
            </w:tcBorders>
            <w:shd w:val="clear" w:color="auto" w:fill="auto"/>
            <w:noWrap/>
            <w:vAlign w:val="center"/>
            <w:hideMark/>
          </w:tcPr>
          <w:p w14:paraId="3BF660A1" w14:textId="77777777" w:rsidR="003F203A" w:rsidRPr="003F203A" w:rsidRDefault="003F203A" w:rsidP="003F203A">
            <w:pPr>
              <w:spacing w:after="0" w:line="240" w:lineRule="auto"/>
              <w:jc w:val="center"/>
              <w:rPr>
                <w:rFonts w:cs="Times New Roman"/>
                <w:color w:val="000000"/>
              </w:rPr>
            </w:pPr>
            <w:r w:rsidRPr="003F203A">
              <w:rPr>
                <w:rFonts w:cs="Times New Roman"/>
                <w:color w:val="000000"/>
              </w:rPr>
              <w:t>0.097361</w:t>
            </w:r>
          </w:p>
        </w:tc>
        <w:tc>
          <w:tcPr>
            <w:tcW w:w="1186" w:type="dxa"/>
            <w:tcBorders>
              <w:top w:val="nil"/>
              <w:left w:val="nil"/>
              <w:bottom w:val="nil"/>
              <w:right w:val="single" w:sz="8" w:space="0" w:color="auto"/>
            </w:tcBorders>
            <w:shd w:val="clear" w:color="auto" w:fill="auto"/>
            <w:noWrap/>
            <w:vAlign w:val="center"/>
            <w:hideMark/>
          </w:tcPr>
          <w:p w14:paraId="75E5D2C2" w14:textId="77777777" w:rsidR="003F203A" w:rsidRPr="003F203A" w:rsidRDefault="003F203A" w:rsidP="003F203A">
            <w:pPr>
              <w:spacing w:after="0" w:line="240" w:lineRule="auto"/>
              <w:jc w:val="center"/>
              <w:rPr>
                <w:rFonts w:cs="Times New Roman"/>
                <w:color w:val="000000"/>
              </w:rPr>
            </w:pPr>
            <w:r w:rsidRPr="003F203A">
              <w:rPr>
                <w:rFonts w:cs="Times New Roman"/>
                <w:color w:val="000000"/>
              </w:rPr>
              <w:t>0.114772</w:t>
            </w:r>
          </w:p>
        </w:tc>
        <w:tc>
          <w:tcPr>
            <w:tcW w:w="1186" w:type="dxa"/>
            <w:tcBorders>
              <w:top w:val="nil"/>
              <w:left w:val="nil"/>
              <w:bottom w:val="nil"/>
              <w:right w:val="single" w:sz="8" w:space="0" w:color="auto"/>
            </w:tcBorders>
            <w:shd w:val="clear" w:color="auto" w:fill="auto"/>
            <w:noWrap/>
            <w:vAlign w:val="center"/>
            <w:hideMark/>
          </w:tcPr>
          <w:p w14:paraId="0CD34741" w14:textId="77777777" w:rsidR="003F203A" w:rsidRPr="003F203A" w:rsidRDefault="003F203A" w:rsidP="003F203A">
            <w:pPr>
              <w:spacing w:after="0" w:line="240" w:lineRule="auto"/>
              <w:jc w:val="center"/>
              <w:rPr>
                <w:rFonts w:cs="Times New Roman"/>
                <w:color w:val="000000"/>
              </w:rPr>
            </w:pPr>
            <w:r w:rsidRPr="003F203A">
              <w:rPr>
                <w:rFonts w:cs="Times New Roman"/>
                <w:color w:val="000000"/>
              </w:rPr>
              <w:t>0.105513</w:t>
            </w:r>
          </w:p>
        </w:tc>
        <w:tc>
          <w:tcPr>
            <w:tcW w:w="1440" w:type="dxa"/>
            <w:tcBorders>
              <w:top w:val="nil"/>
              <w:left w:val="nil"/>
              <w:bottom w:val="nil"/>
              <w:right w:val="single" w:sz="8" w:space="0" w:color="auto"/>
            </w:tcBorders>
            <w:shd w:val="clear" w:color="auto" w:fill="auto"/>
            <w:vAlign w:val="center"/>
            <w:hideMark/>
          </w:tcPr>
          <w:p w14:paraId="206135F2" w14:textId="77777777" w:rsidR="003F203A" w:rsidRPr="003F203A" w:rsidRDefault="003F203A" w:rsidP="003F203A">
            <w:pPr>
              <w:spacing w:after="0" w:line="240" w:lineRule="auto"/>
              <w:jc w:val="center"/>
              <w:rPr>
                <w:rFonts w:cs="Times New Roman"/>
                <w:color w:val="000000"/>
              </w:rPr>
            </w:pPr>
            <w:r w:rsidRPr="003F203A">
              <w:rPr>
                <w:rFonts w:cs="Times New Roman"/>
                <w:color w:val="000000"/>
              </w:rPr>
              <w:t>0.13524092</w:t>
            </w:r>
          </w:p>
        </w:tc>
        <w:tc>
          <w:tcPr>
            <w:tcW w:w="1440" w:type="dxa"/>
            <w:tcBorders>
              <w:top w:val="nil"/>
              <w:left w:val="nil"/>
              <w:bottom w:val="nil"/>
              <w:right w:val="single" w:sz="8" w:space="0" w:color="auto"/>
            </w:tcBorders>
            <w:shd w:val="clear" w:color="auto" w:fill="auto"/>
            <w:vAlign w:val="center"/>
            <w:hideMark/>
          </w:tcPr>
          <w:p w14:paraId="4C5F5AA2" w14:textId="77777777" w:rsidR="003F203A" w:rsidRPr="003F203A" w:rsidRDefault="003F203A" w:rsidP="003F203A">
            <w:pPr>
              <w:spacing w:after="0" w:line="240" w:lineRule="auto"/>
              <w:jc w:val="center"/>
              <w:rPr>
                <w:rFonts w:cs="Times New Roman"/>
                <w:color w:val="000000"/>
              </w:rPr>
            </w:pPr>
            <w:r w:rsidRPr="003F203A">
              <w:rPr>
                <w:rFonts w:cs="Times New Roman"/>
                <w:color w:val="000000"/>
              </w:rPr>
              <w:t>0.11173876</w:t>
            </w:r>
          </w:p>
        </w:tc>
      </w:tr>
      <w:tr w:rsidR="003F203A" w:rsidRPr="003F203A" w14:paraId="05811B11" w14:textId="77777777" w:rsidTr="00876C49">
        <w:trPr>
          <w:trHeight w:val="369"/>
        </w:trPr>
        <w:tc>
          <w:tcPr>
            <w:tcW w:w="2233" w:type="dxa"/>
            <w:tcBorders>
              <w:top w:val="nil"/>
              <w:left w:val="single" w:sz="8" w:space="0" w:color="auto"/>
              <w:bottom w:val="nil"/>
              <w:right w:val="single" w:sz="8" w:space="0" w:color="auto"/>
            </w:tcBorders>
            <w:shd w:val="clear" w:color="auto" w:fill="auto"/>
            <w:noWrap/>
            <w:vAlign w:val="center"/>
            <w:hideMark/>
          </w:tcPr>
          <w:p w14:paraId="7B88AF6B" w14:textId="77777777" w:rsidR="003F203A" w:rsidRPr="003F203A" w:rsidRDefault="003F203A" w:rsidP="003F203A">
            <w:pPr>
              <w:spacing w:after="0" w:line="240" w:lineRule="auto"/>
              <w:rPr>
                <w:rFonts w:cs="Times New Roman"/>
                <w:color w:val="000000"/>
              </w:rPr>
            </w:pPr>
            <w:r w:rsidRPr="003F203A">
              <w:rPr>
                <w:rFonts w:cs="Times New Roman"/>
                <w:color w:val="000000"/>
              </w:rPr>
              <w:t> </w:t>
            </w:r>
          </w:p>
        </w:tc>
        <w:tc>
          <w:tcPr>
            <w:tcW w:w="1186" w:type="dxa"/>
            <w:tcBorders>
              <w:top w:val="nil"/>
              <w:left w:val="nil"/>
              <w:bottom w:val="nil"/>
              <w:right w:val="single" w:sz="8" w:space="0" w:color="auto"/>
            </w:tcBorders>
            <w:shd w:val="clear" w:color="auto" w:fill="auto"/>
            <w:noWrap/>
            <w:vAlign w:val="bottom"/>
            <w:hideMark/>
          </w:tcPr>
          <w:p w14:paraId="45BEA238" w14:textId="77777777" w:rsidR="003F203A" w:rsidRPr="003F203A" w:rsidRDefault="003F203A" w:rsidP="003F203A">
            <w:pPr>
              <w:spacing w:after="0" w:line="240" w:lineRule="auto"/>
              <w:rPr>
                <w:rFonts w:cs="Times New Roman"/>
                <w:color w:val="000000"/>
              </w:rPr>
            </w:pPr>
            <w:r w:rsidRPr="003F203A">
              <w:rPr>
                <w:rFonts w:cs="Times New Roman"/>
                <w:color w:val="000000"/>
              </w:rPr>
              <w:t> </w:t>
            </w:r>
          </w:p>
        </w:tc>
        <w:tc>
          <w:tcPr>
            <w:tcW w:w="1186" w:type="dxa"/>
            <w:tcBorders>
              <w:top w:val="nil"/>
              <w:left w:val="nil"/>
              <w:bottom w:val="nil"/>
              <w:right w:val="single" w:sz="8" w:space="0" w:color="auto"/>
            </w:tcBorders>
            <w:shd w:val="clear" w:color="auto" w:fill="auto"/>
            <w:noWrap/>
            <w:vAlign w:val="bottom"/>
            <w:hideMark/>
          </w:tcPr>
          <w:p w14:paraId="3D621795" w14:textId="77777777" w:rsidR="003F203A" w:rsidRPr="003F203A" w:rsidRDefault="003F203A" w:rsidP="003F203A">
            <w:pPr>
              <w:spacing w:after="0" w:line="240" w:lineRule="auto"/>
              <w:rPr>
                <w:rFonts w:cs="Times New Roman"/>
                <w:color w:val="000000"/>
              </w:rPr>
            </w:pPr>
            <w:r w:rsidRPr="003F203A">
              <w:rPr>
                <w:rFonts w:cs="Times New Roman"/>
                <w:color w:val="000000"/>
              </w:rPr>
              <w:t> </w:t>
            </w:r>
          </w:p>
        </w:tc>
        <w:tc>
          <w:tcPr>
            <w:tcW w:w="1186" w:type="dxa"/>
            <w:tcBorders>
              <w:top w:val="nil"/>
              <w:left w:val="nil"/>
              <w:bottom w:val="nil"/>
              <w:right w:val="single" w:sz="8" w:space="0" w:color="auto"/>
            </w:tcBorders>
            <w:shd w:val="clear" w:color="auto" w:fill="auto"/>
            <w:noWrap/>
            <w:vAlign w:val="bottom"/>
            <w:hideMark/>
          </w:tcPr>
          <w:p w14:paraId="772F95C7" w14:textId="77777777" w:rsidR="003F203A" w:rsidRPr="003F203A" w:rsidRDefault="003F203A" w:rsidP="003F203A">
            <w:pPr>
              <w:spacing w:after="0" w:line="240" w:lineRule="auto"/>
              <w:rPr>
                <w:rFonts w:cs="Times New Roman"/>
                <w:color w:val="000000"/>
              </w:rPr>
            </w:pPr>
            <w:r w:rsidRPr="003F203A">
              <w:rPr>
                <w:rFonts w:cs="Times New Roman"/>
                <w:color w:val="000000"/>
              </w:rPr>
              <w:t> </w:t>
            </w:r>
          </w:p>
        </w:tc>
        <w:tc>
          <w:tcPr>
            <w:tcW w:w="1440" w:type="dxa"/>
            <w:tcBorders>
              <w:top w:val="nil"/>
              <w:left w:val="nil"/>
              <w:bottom w:val="nil"/>
              <w:right w:val="single" w:sz="8" w:space="0" w:color="auto"/>
            </w:tcBorders>
            <w:shd w:val="clear" w:color="auto" w:fill="auto"/>
            <w:vAlign w:val="center"/>
            <w:hideMark/>
          </w:tcPr>
          <w:p w14:paraId="7791EDA6" w14:textId="77777777" w:rsidR="003F203A" w:rsidRPr="003F203A" w:rsidRDefault="003F203A" w:rsidP="003F203A">
            <w:pPr>
              <w:spacing w:after="0" w:line="240" w:lineRule="auto"/>
              <w:jc w:val="center"/>
              <w:rPr>
                <w:rFonts w:cs="Times New Roman"/>
                <w:color w:val="000000"/>
              </w:rPr>
            </w:pPr>
            <w:r w:rsidRPr="003F203A">
              <w:rPr>
                <w:rFonts w:cs="Times New Roman"/>
                <w:color w:val="000000"/>
              </w:rPr>
              <w:t> </w:t>
            </w:r>
          </w:p>
        </w:tc>
        <w:tc>
          <w:tcPr>
            <w:tcW w:w="1440" w:type="dxa"/>
            <w:tcBorders>
              <w:top w:val="nil"/>
              <w:left w:val="nil"/>
              <w:bottom w:val="nil"/>
              <w:right w:val="single" w:sz="8" w:space="0" w:color="auto"/>
            </w:tcBorders>
            <w:shd w:val="clear" w:color="auto" w:fill="auto"/>
            <w:vAlign w:val="center"/>
            <w:hideMark/>
          </w:tcPr>
          <w:p w14:paraId="3456EAF9" w14:textId="77777777" w:rsidR="003F203A" w:rsidRPr="003F203A" w:rsidRDefault="003F203A" w:rsidP="003F203A">
            <w:pPr>
              <w:spacing w:after="0" w:line="240" w:lineRule="auto"/>
              <w:jc w:val="center"/>
              <w:rPr>
                <w:rFonts w:cs="Times New Roman"/>
                <w:color w:val="000000"/>
              </w:rPr>
            </w:pPr>
            <w:r w:rsidRPr="003F203A">
              <w:rPr>
                <w:rFonts w:cs="Times New Roman"/>
                <w:color w:val="000000"/>
              </w:rPr>
              <w:t> </w:t>
            </w:r>
          </w:p>
        </w:tc>
      </w:tr>
      <w:tr w:rsidR="003F203A" w:rsidRPr="003F203A" w14:paraId="0100D17F" w14:textId="77777777" w:rsidTr="00876C49">
        <w:trPr>
          <w:trHeight w:val="387"/>
        </w:trPr>
        <w:tc>
          <w:tcPr>
            <w:tcW w:w="2233" w:type="dxa"/>
            <w:tcBorders>
              <w:top w:val="nil"/>
              <w:left w:val="single" w:sz="8" w:space="0" w:color="auto"/>
              <w:bottom w:val="single" w:sz="8" w:space="0" w:color="auto"/>
              <w:right w:val="single" w:sz="8" w:space="0" w:color="auto"/>
            </w:tcBorders>
            <w:shd w:val="clear" w:color="auto" w:fill="auto"/>
            <w:noWrap/>
            <w:vAlign w:val="center"/>
            <w:hideMark/>
          </w:tcPr>
          <w:p w14:paraId="44F80F07" w14:textId="77777777" w:rsidR="003F203A" w:rsidRPr="003F203A" w:rsidRDefault="003F203A" w:rsidP="003F203A">
            <w:pPr>
              <w:spacing w:after="0" w:line="240" w:lineRule="auto"/>
              <w:rPr>
                <w:rFonts w:cs="Times New Roman"/>
                <w:color w:val="000000"/>
              </w:rPr>
            </w:pPr>
            <w:r w:rsidRPr="003F203A">
              <w:rPr>
                <w:rFonts w:cs="Times New Roman"/>
                <w:color w:val="000000"/>
              </w:rPr>
              <w:t>Observations per firm</w:t>
            </w:r>
          </w:p>
        </w:tc>
        <w:tc>
          <w:tcPr>
            <w:tcW w:w="1186" w:type="dxa"/>
            <w:tcBorders>
              <w:top w:val="nil"/>
              <w:left w:val="nil"/>
              <w:bottom w:val="single" w:sz="8" w:space="0" w:color="auto"/>
              <w:right w:val="single" w:sz="8" w:space="0" w:color="auto"/>
            </w:tcBorders>
            <w:shd w:val="clear" w:color="auto" w:fill="auto"/>
            <w:noWrap/>
            <w:vAlign w:val="center"/>
            <w:hideMark/>
          </w:tcPr>
          <w:p w14:paraId="7B654DB1" w14:textId="77777777" w:rsidR="003F203A" w:rsidRPr="003F203A" w:rsidRDefault="003F203A" w:rsidP="003F203A">
            <w:pPr>
              <w:spacing w:after="0" w:line="240" w:lineRule="auto"/>
              <w:jc w:val="center"/>
              <w:rPr>
                <w:rFonts w:cs="Times New Roman"/>
                <w:color w:val="000000"/>
              </w:rPr>
            </w:pPr>
            <w:r w:rsidRPr="003F203A">
              <w:rPr>
                <w:rFonts w:cs="Times New Roman"/>
                <w:color w:val="000000"/>
              </w:rPr>
              <w:t>247</w:t>
            </w:r>
          </w:p>
        </w:tc>
        <w:tc>
          <w:tcPr>
            <w:tcW w:w="1186" w:type="dxa"/>
            <w:tcBorders>
              <w:top w:val="nil"/>
              <w:left w:val="nil"/>
              <w:bottom w:val="single" w:sz="8" w:space="0" w:color="auto"/>
              <w:right w:val="single" w:sz="8" w:space="0" w:color="auto"/>
            </w:tcBorders>
            <w:shd w:val="clear" w:color="auto" w:fill="auto"/>
            <w:noWrap/>
            <w:vAlign w:val="center"/>
            <w:hideMark/>
          </w:tcPr>
          <w:p w14:paraId="78626A72" w14:textId="77777777" w:rsidR="003F203A" w:rsidRPr="003F203A" w:rsidRDefault="003F203A" w:rsidP="003F203A">
            <w:pPr>
              <w:spacing w:after="0" w:line="240" w:lineRule="auto"/>
              <w:jc w:val="center"/>
              <w:rPr>
                <w:rFonts w:cs="Times New Roman"/>
                <w:color w:val="000000"/>
              </w:rPr>
            </w:pPr>
            <w:r w:rsidRPr="003F203A">
              <w:rPr>
                <w:rFonts w:cs="Times New Roman"/>
                <w:color w:val="000000"/>
              </w:rPr>
              <w:t>247</w:t>
            </w:r>
          </w:p>
        </w:tc>
        <w:tc>
          <w:tcPr>
            <w:tcW w:w="1186" w:type="dxa"/>
            <w:tcBorders>
              <w:top w:val="nil"/>
              <w:left w:val="nil"/>
              <w:bottom w:val="single" w:sz="8" w:space="0" w:color="auto"/>
              <w:right w:val="single" w:sz="8" w:space="0" w:color="auto"/>
            </w:tcBorders>
            <w:shd w:val="clear" w:color="auto" w:fill="auto"/>
            <w:noWrap/>
            <w:vAlign w:val="center"/>
            <w:hideMark/>
          </w:tcPr>
          <w:p w14:paraId="729A8E06" w14:textId="77777777" w:rsidR="003F203A" w:rsidRPr="003F203A" w:rsidRDefault="003F203A" w:rsidP="003F203A">
            <w:pPr>
              <w:spacing w:after="0" w:line="240" w:lineRule="auto"/>
              <w:jc w:val="center"/>
              <w:rPr>
                <w:rFonts w:cs="Times New Roman"/>
                <w:color w:val="000000"/>
              </w:rPr>
            </w:pPr>
            <w:r w:rsidRPr="003F203A">
              <w:rPr>
                <w:rFonts w:cs="Times New Roman"/>
                <w:color w:val="000000"/>
              </w:rPr>
              <w:t>247</w:t>
            </w:r>
          </w:p>
        </w:tc>
        <w:tc>
          <w:tcPr>
            <w:tcW w:w="1440" w:type="dxa"/>
            <w:tcBorders>
              <w:top w:val="nil"/>
              <w:left w:val="nil"/>
              <w:bottom w:val="single" w:sz="8" w:space="0" w:color="auto"/>
              <w:right w:val="single" w:sz="8" w:space="0" w:color="auto"/>
            </w:tcBorders>
            <w:shd w:val="clear" w:color="auto" w:fill="auto"/>
            <w:noWrap/>
            <w:vAlign w:val="center"/>
            <w:hideMark/>
          </w:tcPr>
          <w:p w14:paraId="2E476AB3" w14:textId="77777777" w:rsidR="003F203A" w:rsidRPr="003F203A" w:rsidRDefault="003F203A" w:rsidP="003F203A">
            <w:pPr>
              <w:spacing w:after="0" w:line="240" w:lineRule="auto"/>
              <w:jc w:val="center"/>
              <w:rPr>
                <w:rFonts w:cs="Times New Roman"/>
                <w:color w:val="000000"/>
              </w:rPr>
            </w:pPr>
            <w:r w:rsidRPr="003F203A">
              <w:rPr>
                <w:rFonts w:cs="Times New Roman"/>
                <w:color w:val="000000"/>
              </w:rPr>
              <w:t>248</w:t>
            </w:r>
          </w:p>
        </w:tc>
        <w:tc>
          <w:tcPr>
            <w:tcW w:w="1440" w:type="dxa"/>
            <w:tcBorders>
              <w:top w:val="nil"/>
              <w:left w:val="nil"/>
              <w:bottom w:val="single" w:sz="8" w:space="0" w:color="auto"/>
              <w:right w:val="single" w:sz="8" w:space="0" w:color="auto"/>
            </w:tcBorders>
            <w:shd w:val="clear" w:color="auto" w:fill="auto"/>
            <w:noWrap/>
            <w:vAlign w:val="center"/>
            <w:hideMark/>
          </w:tcPr>
          <w:p w14:paraId="04D52BE0" w14:textId="77777777" w:rsidR="003F203A" w:rsidRPr="003F203A" w:rsidRDefault="003F203A" w:rsidP="003F203A">
            <w:pPr>
              <w:spacing w:after="0" w:line="240" w:lineRule="auto"/>
              <w:jc w:val="center"/>
              <w:rPr>
                <w:rFonts w:cs="Times New Roman"/>
                <w:color w:val="000000"/>
              </w:rPr>
            </w:pPr>
            <w:r w:rsidRPr="003F203A">
              <w:rPr>
                <w:rFonts w:cs="Times New Roman"/>
                <w:color w:val="000000"/>
              </w:rPr>
              <w:t>243</w:t>
            </w:r>
          </w:p>
        </w:tc>
      </w:tr>
    </w:tbl>
    <w:p w14:paraId="1771B38E" w14:textId="77777777" w:rsidR="003F203A" w:rsidRDefault="003F203A" w:rsidP="003654F1">
      <w:pPr>
        <w:autoSpaceDE w:val="0"/>
        <w:autoSpaceDN w:val="0"/>
        <w:adjustRightInd w:val="0"/>
        <w:spacing w:line="480" w:lineRule="auto"/>
        <w:jc w:val="both"/>
        <w:rPr>
          <w:rFonts w:ascii="Times New Roman" w:hAnsi="Times New Roman" w:cs="Times New Roman"/>
          <w:sz w:val="24"/>
          <w:szCs w:val="24"/>
        </w:rPr>
      </w:pPr>
    </w:p>
    <w:p w14:paraId="00020DD5" w14:textId="77777777" w:rsidR="007444E5" w:rsidRDefault="00876C49" w:rsidP="007444E5">
      <w:pPr>
        <w:autoSpaceDE w:val="0"/>
        <w:autoSpaceDN w:val="0"/>
        <w:adjustRightInd w:val="0"/>
        <w:spacing w:line="480" w:lineRule="auto"/>
        <w:jc w:val="both"/>
        <w:rPr>
          <w:rFonts w:ascii="Times New Roman" w:hAnsi="Times New Roman" w:cs="Times New Roman"/>
          <w:sz w:val="24"/>
          <w:szCs w:val="24"/>
        </w:rPr>
      </w:pPr>
      <w:r>
        <w:rPr>
          <w:rFonts w:ascii="Times New Roman" w:hAnsi="Times New Roman" w:cs="Times New Roman"/>
          <w:sz w:val="24"/>
          <w:szCs w:val="24"/>
        </w:rPr>
        <w:t>Table 2</w:t>
      </w:r>
      <w:r w:rsidR="007444E5">
        <w:rPr>
          <w:rFonts w:ascii="Times New Roman" w:hAnsi="Times New Roman" w:cs="Times New Roman"/>
          <w:sz w:val="24"/>
          <w:szCs w:val="24"/>
        </w:rPr>
        <w:t xml:space="preserve"> shows that ITC is the most liquid stock with the smallest spread and GAIL is the least liquid stock with the largest spread for the time period from 2010 to 2014. The spread </w:t>
      </w:r>
      <w:r w:rsidR="007444E5">
        <w:rPr>
          <w:rFonts w:ascii="Times New Roman" w:hAnsi="Times New Roman" w:cs="Times New Roman"/>
          <w:sz w:val="24"/>
          <w:szCs w:val="24"/>
        </w:rPr>
        <w:lastRenderedPageBreak/>
        <w:t>volatility values show that not only is the spread lowest for ITC but it also varied considerably less over time compared to the other stocks.</w:t>
      </w:r>
    </w:p>
    <w:p w14:paraId="69D948AE" w14:textId="77777777" w:rsidR="00C71559" w:rsidRDefault="00C71559" w:rsidP="007444E5">
      <w:pPr>
        <w:autoSpaceDE w:val="0"/>
        <w:autoSpaceDN w:val="0"/>
        <w:adjustRightInd w:val="0"/>
        <w:spacing w:line="480" w:lineRule="auto"/>
        <w:jc w:val="both"/>
        <w:rPr>
          <w:rFonts w:ascii="Times New Roman" w:hAnsi="Times New Roman" w:cs="Times New Roman"/>
          <w:sz w:val="24"/>
          <w:szCs w:val="24"/>
        </w:rPr>
      </w:pPr>
    </w:p>
    <w:p w14:paraId="4FC6286B" w14:textId="77777777" w:rsidR="003654F1" w:rsidRPr="00976FD9" w:rsidRDefault="00657A1C" w:rsidP="00115D01">
      <w:pPr>
        <w:pStyle w:val="Heading1"/>
        <w:numPr>
          <w:ilvl w:val="0"/>
          <w:numId w:val="6"/>
        </w:numPr>
        <w:spacing w:line="480" w:lineRule="auto"/>
        <w:jc w:val="both"/>
        <w:rPr>
          <w:rFonts w:ascii="Times New Roman" w:hAnsi="Times New Roman" w:cs="Times New Roman"/>
          <w:sz w:val="24"/>
          <w:szCs w:val="24"/>
        </w:rPr>
      </w:pPr>
      <w:bookmarkStart w:id="78" w:name="_Toc431418254"/>
      <w:r>
        <w:rPr>
          <w:rFonts w:ascii="Times New Roman" w:hAnsi="Times New Roman" w:cs="Times New Roman"/>
          <w:sz w:val="24"/>
          <w:szCs w:val="24"/>
        </w:rPr>
        <w:t>Empirical Performance</w:t>
      </w:r>
      <w:bookmarkEnd w:id="78"/>
    </w:p>
    <w:p w14:paraId="000981CB" w14:textId="77777777" w:rsidR="00B96CCF" w:rsidRPr="00B96CCF" w:rsidRDefault="00B96CCF" w:rsidP="00B96CCF">
      <w:pPr>
        <w:autoSpaceDE w:val="0"/>
        <w:autoSpaceDN w:val="0"/>
        <w:adjustRightInd w:val="0"/>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In this section, the risk estimates for the individual stocks are computed first using measures suggested by existing research to check whether the results obtained using emerging markets’ data are consistent with the prior theory.  Then the </w:t>
      </w:r>
      <w:r w:rsidRPr="00B96CCF">
        <w:rPr>
          <w:rFonts w:ascii="Times New Roman" w:hAnsi="Times New Roman" w:cs="Times New Roman"/>
          <w:sz w:val="24"/>
          <w:szCs w:val="24"/>
        </w:rPr>
        <w:t xml:space="preserve">empirical estimates for the portfolio </w:t>
      </w:r>
      <w:r w:rsidR="00D0232A">
        <w:rPr>
          <w:rFonts w:ascii="Times New Roman" w:hAnsi="Times New Roman" w:cs="Times New Roman"/>
          <w:sz w:val="24"/>
          <w:szCs w:val="24"/>
        </w:rPr>
        <w:t xml:space="preserve">are computed </w:t>
      </w:r>
      <w:r w:rsidR="00C71559">
        <w:rPr>
          <w:rFonts w:ascii="Times New Roman" w:hAnsi="Times New Roman" w:cs="Times New Roman"/>
          <w:sz w:val="24"/>
          <w:szCs w:val="24"/>
        </w:rPr>
        <w:t>using the modified LVaR model.</w:t>
      </w:r>
      <w:r w:rsidRPr="00B96CCF">
        <w:rPr>
          <w:rFonts w:ascii="Times New Roman" w:hAnsi="Times New Roman" w:cs="Times New Roman"/>
          <w:sz w:val="24"/>
          <w:szCs w:val="24"/>
        </w:rPr>
        <w:t xml:space="preserve"> </w:t>
      </w:r>
    </w:p>
    <w:p w14:paraId="07C4F1F6" w14:textId="77777777" w:rsidR="001E34DA" w:rsidRDefault="001E34DA" w:rsidP="00A9188D">
      <w:pPr>
        <w:autoSpaceDE w:val="0"/>
        <w:autoSpaceDN w:val="0"/>
        <w:adjustRightInd w:val="0"/>
        <w:spacing w:line="480" w:lineRule="auto"/>
        <w:jc w:val="both"/>
        <w:rPr>
          <w:rFonts w:ascii="Times New Roman" w:hAnsi="Times New Roman" w:cs="Times New Roman"/>
          <w:sz w:val="24"/>
          <w:szCs w:val="24"/>
        </w:rPr>
      </w:pPr>
      <w:r>
        <w:rPr>
          <w:rFonts w:ascii="Times New Roman" w:hAnsi="Times New Roman" w:cs="Times New Roman"/>
          <w:sz w:val="24"/>
          <w:szCs w:val="24"/>
        </w:rPr>
        <w:t>Conforming to the standard Basel framework, r</w:t>
      </w:r>
      <w:r w:rsidR="004870FD">
        <w:rPr>
          <w:rFonts w:ascii="Times New Roman" w:hAnsi="Times New Roman" w:cs="Times New Roman"/>
          <w:sz w:val="24"/>
          <w:szCs w:val="24"/>
        </w:rPr>
        <w:t xml:space="preserve">isk is estimated </w:t>
      </w:r>
      <w:r>
        <w:rPr>
          <w:rFonts w:ascii="Times New Roman" w:hAnsi="Times New Roman" w:cs="Times New Roman"/>
          <w:sz w:val="24"/>
          <w:szCs w:val="24"/>
        </w:rPr>
        <w:t xml:space="preserve">using a </w:t>
      </w:r>
      <w:r w:rsidR="00A9188D" w:rsidRPr="00976FD9">
        <w:rPr>
          <w:rFonts w:ascii="Times New Roman" w:hAnsi="Times New Roman" w:cs="Times New Roman"/>
          <w:sz w:val="24"/>
          <w:szCs w:val="24"/>
        </w:rPr>
        <w:t>one-day hor</w:t>
      </w:r>
      <w:r>
        <w:rPr>
          <w:rFonts w:ascii="Times New Roman" w:hAnsi="Times New Roman" w:cs="Times New Roman"/>
          <w:sz w:val="24"/>
          <w:szCs w:val="24"/>
        </w:rPr>
        <w:t>izon and a 99% confidence level. The values of r</w:t>
      </w:r>
      <w:r w:rsidR="00A9188D">
        <w:rPr>
          <w:rFonts w:ascii="Times New Roman" w:hAnsi="Times New Roman" w:cs="Times New Roman"/>
          <w:sz w:val="24"/>
          <w:szCs w:val="24"/>
        </w:rPr>
        <w:t>elative s</w:t>
      </w:r>
      <w:r>
        <w:rPr>
          <w:rFonts w:ascii="Times New Roman" w:hAnsi="Times New Roman" w:cs="Times New Roman"/>
          <w:sz w:val="24"/>
          <w:szCs w:val="24"/>
        </w:rPr>
        <w:t>pread means and return</w:t>
      </w:r>
      <w:r w:rsidR="00A9188D" w:rsidRPr="00976FD9">
        <w:rPr>
          <w:rFonts w:ascii="Times New Roman" w:hAnsi="Times New Roman" w:cs="Times New Roman"/>
          <w:sz w:val="24"/>
          <w:szCs w:val="24"/>
        </w:rPr>
        <w:t xml:space="preserve"> means </w:t>
      </w:r>
      <w:r>
        <w:rPr>
          <w:rFonts w:ascii="Times New Roman" w:hAnsi="Times New Roman" w:cs="Times New Roman"/>
          <w:sz w:val="24"/>
          <w:szCs w:val="24"/>
        </w:rPr>
        <w:t>required</w:t>
      </w:r>
      <w:r w:rsidR="00A9188D" w:rsidRPr="00976FD9">
        <w:rPr>
          <w:rFonts w:ascii="Times New Roman" w:hAnsi="Times New Roman" w:cs="Times New Roman"/>
          <w:sz w:val="24"/>
          <w:szCs w:val="24"/>
        </w:rPr>
        <w:t xml:space="preserve"> </w:t>
      </w:r>
      <w:r>
        <w:rPr>
          <w:rFonts w:ascii="Times New Roman" w:hAnsi="Times New Roman" w:cs="Times New Roman"/>
          <w:sz w:val="24"/>
          <w:szCs w:val="24"/>
        </w:rPr>
        <w:t xml:space="preserve">for the </w:t>
      </w:r>
      <w:r w:rsidR="00006DF5">
        <w:rPr>
          <w:rFonts w:ascii="Times New Roman" w:hAnsi="Times New Roman" w:cs="Times New Roman"/>
          <w:sz w:val="24"/>
          <w:szCs w:val="24"/>
        </w:rPr>
        <w:t>LVaR model (refer Equation 6</w:t>
      </w:r>
      <w:r>
        <w:rPr>
          <w:rFonts w:ascii="Times New Roman" w:hAnsi="Times New Roman" w:cs="Times New Roman"/>
          <w:sz w:val="24"/>
          <w:szCs w:val="24"/>
        </w:rPr>
        <w:t xml:space="preserve">) </w:t>
      </w:r>
      <w:r w:rsidR="00A9188D" w:rsidRPr="00976FD9">
        <w:rPr>
          <w:rFonts w:ascii="Times New Roman" w:hAnsi="Times New Roman" w:cs="Times New Roman"/>
          <w:sz w:val="24"/>
          <w:szCs w:val="24"/>
        </w:rPr>
        <w:t xml:space="preserve">are estimated using a twenty day rolling procedure. </w:t>
      </w:r>
    </w:p>
    <w:p w14:paraId="29831A19" w14:textId="77777777" w:rsidR="00A9188D" w:rsidRDefault="00A9188D" w:rsidP="00A9188D">
      <w:pPr>
        <w:autoSpaceDE w:val="0"/>
        <w:autoSpaceDN w:val="0"/>
        <w:adjustRightInd w:val="0"/>
        <w:spacing w:line="480" w:lineRule="auto"/>
        <w:jc w:val="both"/>
        <w:rPr>
          <w:rFonts w:ascii="Times New Roman" w:hAnsi="Times New Roman" w:cs="Times New Roman"/>
          <w:sz w:val="24"/>
          <w:szCs w:val="24"/>
        </w:rPr>
      </w:pPr>
      <w:r>
        <w:rPr>
          <w:rFonts w:ascii="Times New Roman" w:hAnsi="Times New Roman" w:cs="Times New Roman"/>
          <w:sz w:val="24"/>
          <w:szCs w:val="24"/>
        </w:rPr>
        <w:t>One day asset returns at time t are calculated as the log difference of mid-prices:</w:t>
      </w:r>
    </w:p>
    <w:p w14:paraId="258D0D44" w14:textId="77777777" w:rsidR="00A9188D" w:rsidRDefault="00EC34E3" w:rsidP="00A9188D">
      <w:pPr>
        <w:autoSpaceDE w:val="0"/>
        <w:autoSpaceDN w:val="0"/>
        <w:adjustRightInd w:val="0"/>
        <w:spacing w:line="480" w:lineRule="auto"/>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t+1</m:t>
            </m:r>
          </m:sub>
        </m:sSub>
        <m:r>
          <w:rPr>
            <w:rFonts w:ascii="Cambria Math" w:hAnsi="Cambria Math" w:cs="Times New Roman"/>
            <w:sz w:val="24"/>
            <w:szCs w:val="24"/>
          </w:rPr>
          <m:t>=</m:t>
        </m:r>
        <m:func>
          <m:funcPr>
            <m:ctrlPr>
              <w:rPr>
                <w:rFonts w:ascii="Cambria Math" w:hAnsi="Cambria Math" w:cs="Times New Roman"/>
                <w:sz w:val="24"/>
                <w:szCs w:val="24"/>
              </w:rPr>
            </m:ctrlPr>
          </m:funcPr>
          <m:fName>
            <m:r>
              <m:rPr>
                <m:sty m:val="p"/>
              </m:rPr>
              <w:rPr>
                <w:rFonts w:ascii="Cambria Math" w:hAnsi="Cambria Math" w:cs="Times New Roman"/>
                <w:sz w:val="24"/>
                <w:szCs w:val="24"/>
              </w:rPr>
              <m:t>ln</m:t>
            </m:r>
          </m:fName>
          <m:e>
            <m:d>
              <m:dPr>
                <m:begChr m:val="["/>
                <m:endChr m:val="]"/>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mid,t+1</m:t>
                    </m:r>
                  </m:sub>
                </m:sSub>
              </m:e>
            </m:d>
          </m:e>
        </m:func>
        <m:r>
          <w:rPr>
            <w:rFonts w:ascii="Cambria Math" w:hAnsi="Cambria Math" w:cs="Times New Roman"/>
            <w:sz w:val="24"/>
            <w:szCs w:val="24"/>
          </w:rPr>
          <m:t>-</m:t>
        </m:r>
        <m:func>
          <m:funcPr>
            <m:ctrlPr>
              <w:rPr>
                <w:rFonts w:ascii="Cambria Math" w:hAnsi="Cambria Math" w:cs="Times New Roman"/>
                <w:sz w:val="24"/>
                <w:szCs w:val="24"/>
              </w:rPr>
            </m:ctrlPr>
          </m:funcPr>
          <m:fName>
            <m:r>
              <m:rPr>
                <m:sty m:val="p"/>
              </m:rPr>
              <w:rPr>
                <w:rFonts w:ascii="Cambria Math" w:hAnsi="Cambria Math" w:cs="Times New Roman"/>
                <w:sz w:val="24"/>
                <w:szCs w:val="24"/>
              </w:rPr>
              <m:t>ln</m:t>
            </m:r>
            <m:ctrlPr>
              <w:rPr>
                <w:rFonts w:ascii="Cambria Math" w:hAnsi="Cambria Math" w:cs="Times New Roman"/>
                <w:i/>
                <w:sz w:val="24"/>
                <w:szCs w:val="24"/>
              </w:rPr>
            </m:ctrlPr>
          </m:fName>
          <m:e>
            <m:d>
              <m:dPr>
                <m:begChr m:val="["/>
                <m:endChr m:val="]"/>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mid,  t</m:t>
                    </m:r>
                  </m:sub>
                </m:sSub>
              </m:e>
            </m:d>
          </m:e>
        </m:func>
        <m:r>
          <w:rPr>
            <w:rFonts w:ascii="Cambria Math" w:hAnsi="Cambria Math" w:cs="Times New Roman"/>
            <w:sz w:val="24"/>
            <w:szCs w:val="24"/>
          </w:rPr>
          <m:t>=</m:t>
        </m:r>
        <m:func>
          <m:funcPr>
            <m:ctrlPr>
              <w:rPr>
                <w:rFonts w:ascii="Cambria Math" w:hAnsi="Cambria Math" w:cs="Times New Roman"/>
                <w:i/>
                <w:sz w:val="24"/>
                <w:szCs w:val="24"/>
              </w:rPr>
            </m:ctrlPr>
          </m:funcPr>
          <m:fName>
            <m:r>
              <m:rPr>
                <m:sty m:val="p"/>
              </m:rPr>
              <w:rPr>
                <w:rFonts w:ascii="Cambria Math" w:hAnsi="Cambria Math" w:cs="Times New Roman"/>
                <w:sz w:val="24"/>
                <w:szCs w:val="24"/>
              </w:rPr>
              <m:t>ln</m:t>
            </m:r>
          </m:fName>
          <m:e>
            <m:d>
              <m:dPr>
                <m:begChr m:val="["/>
                <m:endChr m:val="]"/>
                <m:ctrlPr>
                  <w:rPr>
                    <w:rFonts w:ascii="Cambria Math" w:hAnsi="Cambria Math" w:cs="Times New Roman"/>
                    <w:i/>
                    <w:sz w:val="24"/>
                    <w:szCs w:val="24"/>
                  </w:rPr>
                </m:ctrlPr>
              </m:dPr>
              <m:e>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mid,t+1</m:t>
                        </m:r>
                      </m:sub>
                    </m:sSub>
                  </m:num>
                  <m:den>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mid,t</m:t>
                        </m:r>
                      </m:sub>
                    </m:sSub>
                  </m:den>
                </m:f>
              </m:e>
            </m:d>
          </m:e>
        </m:func>
      </m:oMath>
      <w:r w:rsidR="00A9188D">
        <w:rPr>
          <w:rFonts w:ascii="Times New Roman" w:hAnsi="Times New Roman" w:cs="Times New Roman"/>
          <w:sz w:val="24"/>
          <w:szCs w:val="24"/>
        </w:rPr>
        <w:t xml:space="preserve"> .............................</w:t>
      </w:r>
      <w:r w:rsidR="00006DF5">
        <w:rPr>
          <w:rFonts w:ascii="Times New Roman" w:hAnsi="Times New Roman" w:cs="Times New Roman"/>
          <w:sz w:val="24"/>
          <w:szCs w:val="24"/>
        </w:rPr>
        <w:t>.................... (Equation 8</w:t>
      </w:r>
      <w:r w:rsidR="00A9188D">
        <w:rPr>
          <w:rFonts w:ascii="Times New Roman" w:hAnsi="Times New Roman" w:cs="Times New Roman"/>
          <w:sz w:val="24"/>
          <w:szCs w:val="24"/>
        </w:rPr>
        <w:t>)</w:t>
      </w:r>
    </w:p>
    <w:p w14:paraId="2F42A559" w14:textId="77777777" w:rsidR="00A9188D" w:rsidRDefault="00F05A0F" w:rsidP="00A9188D">
      <w:pPr>
        <w:autoSpaceDE w:val="0"/>
        <w:autoSpaceDN w:val="0"/>
        <w:adjustRightInd w:val="0"/>
        <w:spacing w:line="480" w:lineRule="auto"/>
        <w:jc w:val="both"/>
        <w:rPr>
          <w:rFonts w:ascii="Times New Roman" w:hAnsi="Times New Roman" w:cs="Times New Roman"/>
          <w:sz w:val="24"/>
          <w:szCs w:val="24"/>
        </w:rPr>
      </w:pPr>
      <w:r>
        <w:rPr>
          <w:rFonts w:ascii="Times New Roman" w:hAnsi="Times New Roman" w:cs="Times New Roman"/>
          <w:sz w:val="24"/>
          <w:szCs w:val="24"/>
        </w:rPr>
        <w:t>Volatilities of relative s</w:t>
      </w:r>
      <w:r w:rsidR="00705A07">
        <w:rPr>
          <w:rFonts w:ascii="Times New Roman" w:hAnsi="Times New Roman" w:cs="Times New Roman"/>
          <w:sz w:val="24"/>
          <w:szCs w:val="24"/>
        </w:rPr>
        <w:t xml:space="preserve">pread </w:t>
      </w:r>
      <w:r w:rsidR="00006DF5">
        <w:rPr>
          <w:rFonts w:ascii="Times New Roman" w:hAnsi="Times New Roman" w:cs="Times New Roman"/>
          <w:sz w:val="24"/>
          <w:szCs w:val="24"/>
        </w:rPr>
        <w:t>(Equation 7</w:t>
      </w:r>
      <w:r>
        <w:rPr>
          <w:rFonts w:ascii="Times New Roman" w:hAnsi="Times New Roman" w:cs="Times New Roman"/>
          <w:sz w:val="24"/>
          <w:szCs w:val="24"/>
        </w:rPr>
        <w:t xml:space="preserve">) </w:t>
      </w:r>
      <w:r w:rsidR="00705A07">
        <w:rPr>
          <w:rFonts w:ascii="Times New Roman" w:hAnsi="Times New Roman" w:cs="Times New Roman"/>
          <w:sz w:val="24"/>
          <w:szCs w:val="24"/>
        </w:rPr>
        <w:t xml:space="preserve">and return </w:t>
      </w:r>
      <w:r w:rsidR="00006DF5">
        <w:rPr>
          <w:rFonts w:ascii="Times New Roman" w:hAnsi="Times New Roman" w:cs="Times New Roman"/>
          <w:sz w:val="24"/>
          <w:szCs w:val="24"/>
        </w:rPr>
        <w:t>(Equation 8</w:t>
      </w:r>
      <w:r>
        <w:rPr>
          <w:rFonts w:ascii="Times New Roman" w:hAnsi="Times New Roman" w:cs="Times New Roman"/>
          <w:sz w:val="24"/>
          <w:szCs w:val="24"/>
        </w:rPr>
        <w:t xml:space="preserve">) </w:t>
      </w:r>
      <w:r w:rsidR="00705A07">
        <w:rPr>
          <w:rFonts w:ascii="Times New Roman" w:hAnsi="Times New Roman" w:cs="Times New Roman"/>
          <w:sz w:val="24"/>
          <w:szCs w:val="24"/>
        </w:rPr>
        <w:t xml:space="preserve">are also calculated rolling over twenty days. </w:t>
      </w:r>
      <w:r w:rsidR="00A9188D">
        <w:rPr>
          <w:rFonts w:ascii="Times New Roman" w:hAnsi="Times New Roman" w:cs="Times New Roman"/>
          <w:sz w:val="24"/>
          <w:szCs w:val="24"/>
        </w:rPr>
        <w:t xml:space="preserve">Volatility clustering is accounted for </w:t>
      </w:r>
      <w:r w:rsidR="00A9188D" w:rsidRPr="00976FD9">
        <w:rPr>
          <w:rFonts w:ascii="Times New Roman" w:hAnsi="Times New Roman" w:cs="Times New Roman"/>
          <w:sz w:val="24"/>
          <w:szCs w:val="24"/>
        </w:rPr>
        <w:t xml:space="preserve">using a common exponential weighted moving average </w:t>
      </w:r>
      <w:r w:rsidR="00A9188D">
        <w:rPr>
          <w:rFonts w:ascii="Times New Roman" w:hAnsi="Times New Roman" w:cs="Times New Roman"/>
          <w:sz w:val="24"/>
          <w:szCs w:val="24"/>
        </w:rPr>
        <w:t xml:space="preserve">method with a weight δ of 0.94 </w:t>
      </w:r>
      <w:r w:rsidR="00705A07">
        <w:rPr>
          <w:rFonts w:ascii="Times New Roman" w:hAnsi="Times New Roman" w:cs="Times New Roman"/>
          <w:sz w:val="24"/>
          <w:szCs w:val="24"/>
        </w:rPr>
        <w:t>as</w:t>
      </w:r>
      <w:r w:rsidR="00A9188D">
        <w:rPr>
          <w:rFonts w:ascii="Times New Roman" w:hAnsi="Times New Roman" w:cs="Times New Roman"/>
          <w:sz w:val="24"/>
          <w:szCs w:val="24"/>
        </w:rPr>
        <w:t>:</w:t>
      </w:r>
    </w:p>
    <w:p w14:paraId="2ACE114A" w14:textId="77777777" w:rsidR="00A9188D" w:rsidRDefault="00EC34E3" w:rsidP="00A9188D">
      <w:pPr>
        <w:autoSpaceDE w:val="0"/>
        <w:autoSpaceDN w:val="0"/>
        <w:adjustRightInd w:val="0"/>
        <w:spacing w:line="480" w:lineRule="auto"/>
        <w:jc w:val="both"/>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σ</m:t>
            </m:r>
          </m:e>
          <m:sub>
            <m:r>
              <w:rPr>
                <w:rFonts w:ascii="Cambria Math" w:hAnsi="Cambria Math" w:cs="Times New Roman"/>
                <w:sz w:val="24"/>
                <w:szCs w:val="24"/>
              </w:rPr>
              <m:t>t</m:t>
            </m:r>
          </m:sub>
          <m:sup>
            <m:r>
              <w:rPr>
                <w:rFonts w:ascii="Cambria Math" w:hAnsi="Cambria Math" w:cs="Times New Roman"/>
                <w:sz w:val="24"/>
                <w:szCs w:val="24"/>
              </w:rPr>
              <m:t>2</m:t>
            </m:r>
          </m:sup>
        </m:sSubSup>
        <m:r>
          <w:rPr>
            <w:rFonts w:ascii="Cambria Math" w:hAnsi="Cambria Math" w:cs="Times New Roman"/>
            <w:sz w:val="24"/>
            <w:szCs w:val="24"/>
          </w:rPr>
          <m:t>=(1-δ)</m:t>
        </m:r>
        <m:nary>
          <m:naryPr>
            <m:chr m:val="∑"/>
            <m:limLoc m:val="undOvr"/>
            <m:ctrlPr>
              <w:rPr>
                <w:rFonts w:ascii="Cambria Math" w:hAnsi="Cambria Math" w:cs="Times New Roman"/>
                <w:i/>
                <w:sz w:val="24"/>
                <w:szCs w:val="24"/>
              </w:rPr>
            </m:ctrlPr>
          </m:naryPr>
          <m:sub>
            <m:r>
              <w:rPr>
                <w:rFonts w:ascii="Cambria Math" w:hAnsi="Cambria Math" w:cs="Times New Roman"/>
                <w:sz w:val="24"/>
                <w:szCs w:val="24"/>
              </w:rPr>
              <m:t>i=1</m:t>
            </m:r>
          </m:sub>
          <m:sup>
            <m:r>
              <w:rPr>
                <w:rFonts w:ascii="Cambria Math" w:hAnsi="Cambria Math" w:cs="Times New Roman"/>
                <w:sz w:val="24"/>
                <w:szCs w:val="24"/>
              </w:rPr>
              <m:t>20</m:t>
            </m:r>
          </m:sup>
          <m:e>
            <m:sSup>
              <m:sSupPr>
                <m:ctrlPr>
                  <w:rPr>
                    <w:rFonts w:ascii="Cambria Math" w:hAnsi="Cambria Math" w:cs="Times New Roman"/>
                    <w:i/>
                    <w:sz w:val="24"/>
                    <w:szCs w:val="24"/>
                  </w:rPr>
                </m:ctrlPr>
              </m:sSupPr>
              <m:e>
                <m:r>
                  <w:rPr>
                    <w:rFonts w:ascii="Cambria Math" w:hAnsi="Cambria Math" w:cs="Times New Roman"/>
                    <w:sz w:val="24"/>
                    <w:szCs w:val="24"/>
                  </w:rPr>
                  <m:t>δ</m:t>
                </m:r>
              </m:e>
              <m:sup>
                <m:r>
                  <w:rPr>
                    <w:rFonts w:ascii="Cambria Math" w:hAnsi="Cambria Math" w:cs="Times New Roman"/>
                    <w:sz w:val="24"/>
                    <w:szCs w:val="24"/>
                  </w:rPr>
                  <m:t>i-1</m:t>
                </m:r>
              </m:sup>
            </m:sSup>
            <m:sSubSup>
              <m:sSubSupPr>
                <m:ctrlPr>
                  <w:rPr>
                    <w:rFonts w:ascii="Cambria Math" w:hAnsi="Cambria Math" w:cs="Times New Roman"/>
                    <w:i/>
                    <w:sz w:val="24"/>
                    <w:szCs w:val="24"/>
                  </w:rPr>
                </m:ctrlPr>
              </m:sSubSupPr>
              <m:e>
                <m:r>
                  <w:rPr>
                    <w:rFonts w:ascii="Cambria Math" w:hAnsi="Cambria Math" w:cs="Times New Roman"/>
                    <w:sz w:val="24"/>
                    <w:szCs w:val="24"/>
                  </w:rPr>
                  <m:t>r</m:t>
                </m:r>
              </m:e>
              <m:sub>
                <m:r>
                  <w:rPr>
                    <w:rFonts w:ascii="Cambria Math" w:hAnsi="Cambria Math" w:cs="Times New Roman"/>
                    <w:sz w:val="24"/>
                    <w:szCs w:val="24"/>
                  </w:rPr>
                  <m:t>t-i</m:t>
                </m:r>
              </m:sub>
              <m:sup>
                <m:r>
                  <w:rPr>
                    <w:rFonts w:ascii="Cambria Math" w:hAnsi="Cambria Math" w:cs="Times New Roman"/>
                    <w:sz w:val="24"/>
                    <w:szCs w:val="24"/>
                  </w:rPr>
                  <m:t>2</m:t>
                </m:r>
              </m:sup>
            </m:sSubSup>
            <m:r>
              <w:rPr>
                <w:rFonts w:ascii="Cambria Math" w:hAnsi="Cambria Math" w:cs="Times New Roman"/>
                <w:sz w:val="24"/>
                <w:szCs w:val="24"/>
              </w:rPr>
              <m:t>+</m:t>
            </m:r>
          </m:e>
        </m:nary>
        <m:sSup>
          <m:sSupPr>
            <m:ctrlPr>
              <w:rPr>
                <w:rFonts w:ascii="Cambria Math" w:hAnsi="Cambria Math" w:cs="Times New Roman"/>
                <w:i/>
                <w:sz w:val="24"/>
                <w:szCs w:val="24"/>
              </w:rPr>
            </m:ctrlPr>
          </m:sSupPr>
          <m:e>
            <m:r>
              <w:rPr>
                <w:rFonts w:ascii="Cambria Math" w:hAnsi="Cambria Math" w:cs="Times New Roman"/>
                <w:sz w:val="24"/>
                <w:szCs w:val="24"/>
              </w:rPr>
              <m:t>δ</m:t>
            </m:r>
          </m:e>
          <m:sup>
            <m:r>
              <w:rPr>
                <w:rFonts w:ascii="Cambria Math" w:hAnsi="Cambria Math" w:cs="Times New Roman"/>
                <w:sz w:val="24"/>
                <w:szCs w:val="24"/>
              </w:rPr>
              <m:t>20</m:t>
            </m:r>
          </m:sup>
        </m:sSup>
        <m:sSubSup>
          <m:sSubSupPr>
            <m:ctrlPr>
              <w:rPr>
                <w:rFonts w:ascii="Cambria Math" w:hAnsi="Cambria Math" w:cs="Times New Roman"/>
                <w:i/>
                <w:sz w:val="24"/>
                <w:szCs w:val="24"/>
              </w:rPr>
            </m:ctrlPr>
          </m:sSubSupPr>
          <m:e>
            <m:r>
              <w:rPr>
                <w:rFonts w:ascii="Cambria Math" w:hAnsi="Cambria Math" w:cs="Times New Roman"/>
                <w:sz w:val="24"/>
                <w:szCs w:val="24"/>
              </w:rPr>
              <m:t>r</m:t>
            </m:r>
          </m:e>
          <m:sub>
            <m:r>
              <w:rPr>
                <w:rFonts w:ascii="Cambria Math" w:hAnsi="Cambria Math" w:cs="Times New Roman"/>
                <w:sz w:val="24"/>
                <w:szCs w:val="24"/>
              </w:rPr>
              <m:t>t-20</m:t>
            </m:r>
          </m:sub>
          <m:sup>
            <m:r>
              <w:rPr>
                <w:rFonts w:ascii="Cambria Math" w:hAnsi="Cambria Math" w:cs="Times New Roman"/>
                <w:sz w:val="24"/>
                <w:szCs w:val="24"/>
              </w:rPr>
              <m:t>2</m:t>
            </m:r>
          </m:sup>
        </m:sSubSup>
      </m:oMath>
      <w:r w:rsidR="00A9188D">
        <w:rPr>
          <w:rFonts w:ascii="Times New Roman" w:hAnsi="Times New Roman" w:cs="Times New Roman"/>
          <w:sz w:val="24"/>
          <w:szCs w:val="24"/>
        </w:rPr>
        <w:t>...........................................</w:t>
      </w:r>
      <w:r w:rsidR="00006DF5">
        <w:rPr>
          <w:rFonts w:ascii="Times New Roman" w:hAnsi="Times New Roman" w:cs="Times New Roman"/>
          <w:sz w:val="24"/>
          <w:szCs w:val="24"/>
        </w:rPr>
        <w:t>.................... (Equation 9</w:t>
      </w:r>
      <w:r w:rsidR="00A9188D">
        <w:rPr>
          <w:rFonts w:ascii="Times New Roman" w:hAnsi="Times New Roman" w:cs="Times New Roman"/>
          <w:sz w:val="24"/>
          <w:szCs w:val="24"/>
        </w:rPr>
        <w:t>)</w:t>
      </w:r>
    </w:p>
    <w:p w14:paraId="3E7A0213" w14:textId="77777777" w:rsidR="00BB1891" w:rsidRDefault="00A9188D" w:rsidP="00C71559">
      <w:pPr>
        <w:keepNext/>
        <w:autoSpaceDE w:val="0"/>
        <w:autoSpaceDN w:val="0"/>
        <w:adjustRightInd w:val="0"/>
        <w:spacing w:line="480" w:lineRule="auto"/>
        <w:jc w:val="both"/>
        <w:rPr>
          <w:rFonts w:ascii="Times New Roman" w:hAnsi="Times New Roman" w:cs="Times New Roman"/>
          <w:sz w:val="24"/>
          <w:szCs w:val="24"/>
        </w:rPr>
      </w:pPr>
      <w:r>
        <w:rPr>
          <w:rFonts w:ascii="Times New Roman" w:hAnsi="Times New Roman" w:cs="Times New Roman"/>
          <w:sz w:val="24"/>
          <w:szCs w:val="24"/>
        </w:rPr>
        <w:t>Skewn</w:t>
      </w:r>
      <w:r w:rsidR="00006DF5">
        <w:rPr>
          <w:rFonts w:ascii="Times New Roman" w:hAnsi="Times New Roman" w:cs="Times New Roman"/>
          <w:sz w:val="24"/>
          <w:szCs w:val="24"/>
        </w:rPr>
        <w:t>ess (Equation 4</w:t>
      </w:r>
      <w:r>
        <w:rPr>
          <w:rFonts w:ascii="Times New Roman" w:hAnsi="Times New Roman" w:cs="Times New Roman"/>
          <w:sz w:val="24"/>
          <w:szCs w:val="24"/>
        </w:rPr>
        <w:t>)</w:t>
      </w:r>
      <w:r w:rsidR="00A54D44">
        <w:rPr>
          <w:rFonts w:ascii="Times New Roman" w:hAnsi="Times New Roman" w:cs="Times New Roman"/>
          <w:sz w:val="24"/>
          <w:szCs w:val="24"/>
        </w:rPr>
        <w:t xml:space="preserve"> a</w:t>
      </w:r>
      <w:r w:rsidR="00006DF5">
        <w:rPr>
          <w:rFonts w:ascii="Times New Roman" w:hAnsi="Times New Roman" w:cs="Times New Roman"/>
          <w:sz w:val="24"/>
          <w:szCs w:val="24"/>
        </w:rPr>
        <w:t>nd excess kurtosis (Equation 5</w:t>
      </w:r>
      <w:r>
        <w:rPr>
          <w:rFonts w:ascii="Times New Roman" w:hAnsi="Times New Roman" w:cs="Times New Roman"/>
          <w:sz w:val="24"/>
          <w:szCs w:val="24"/>
        </w:rPr>
        <w:t>) are calculated as 50</w:t>
      </w:r>
      <w:r w:rsidR="00705A07">
        <w:rPr>
          <w:rFonts w:ascii="Times New Roman" w:hAnsi="Times New Roman" w:cs="Times New Roman"/>
          <w:sz w:val="24"/>
          <w:szCs w:val="24"/>
        </w:rPr>
        <w:t>0</w:t>
      </w:r>
      <w:r>
        <w:rPr>
          <w:rFonts w:ascii="Times New Roman" w:hAnsi="Times New Roman" w:cs="Times New Roman"/>
          <w:sz w:val="24"/>
          <w:szCs w:val="24"/>
        </w:rPr>
        <w:t xml:space="preserve">-day rolling estimates. </w:t>
      </w:r>
      <w:r w:rsidR="00705A07">
        <w:rPr>
          <w:rFonts w:ascii="Times New Roman" w:hAnsi="Times New Roman" w:cs="Times New Roman"/>
          <w:sz w:val="24"/>
          <w:szCs w:val="24"/>
        </w:rPr>
        <w:t xml:space="preserve">The long estimation horizon is chosen as </w:t>
      </w:r>
      <w:r w:rsidR="00F05A0F">
        <w:rPr>
          <w:rFonts w:ascii="Times New Roman" w:hAnsi="Times New Roman" w:cs="Times New Roman"/>
          <w:sz w:val="24"/>
          <w:szCs w:val="24"/>
        </w:rPr>
        <w:t xml:space="preserve">the estimates are heavily influenced by outliers. </w:t>
      </w:r>
      <w:r w:rsidR="00705A07">
        <w:rPr>
          <w:rFonts w:ascii="Times New Roman" w:hAnsi="Times New Roman" w:cs="Times New Roman"/>
          <w:sz w:val="24"/>
          <w:szCs w:val="24"/>
        </w:rPr>
        <w:t>However, to keep the sample as large as possible</w:t>
      </w:r>
      <w:r w:rsidR="00F05A0F">
        <w:rPr>
          <w:rFonts w:ascii="Times New Roman" w:hAnsi="Times New Roman" w:cs="Times New Roman"/>
          <w:sz w:val="24"/>
          <w:szCs w:val="24"/>
        </w:rPr>
        <w:t xml:space="preserve"> and to include the first two years in the results period</w:t>
      </w:r>
      <w:r w:rsidR="00705A07">
        <w:rPr>
          <w:rFonts w:ascii="Times New Roman" w:hAnsi="Times New Roman" w:cs="Times New Roman"/>
          <w:sz w:val="24"/>
          <w:szCs w:val="24"/>
        </w:rPr>
        <w:t>, shorter rolling windows in the increasing order of 20, 50, 100 &amp; 250-</w:t>
      </w:r>
      <w:r w:rsidR="00705A07">
        <w:rPr>
          <w:rFonts w:ascii="Times New Roman" w:hAnsi="Times New Roman" w:cs="Times New Roman"/>
          <w:sz w:val="24"/>
          <w:szCs w:val="24"/>
        </w:rPr>
        <w:lastRenderedPageBreak/>
        <w:t xml:space="preserve">day are included at the beginning of the sample. </w:t>
      </w:r>
      <w:r w:rsidR="00F05A0F">
        <w:rPr>
          <w:rFonts w:ascii="Times New Roman" w:hAnsi="Times New Roman" w:cs="Times New Roman"/>
          <w:sz w:val="24"/>
          <w:szCs w:val="24"/>
        </w:rPr>
        <w:t xml:space="preserve">Skewness and excess kurtosis estimates for Spread and </w:t>
      </w:r>
      <w:r w:rsidR="00CD28B8">
        <w:rPr>
          <w:rFonts w:ascii="Times New Roman" w:hAnsi="Times New Roman" w:cs="Times New Roman"/>
          <w:sz w:val="24"/>
          <w:szCs w:val="24"/>
        </w:rPr>
        <w:t>return ar</w:t>
      </w:r>
      <w:r w:rsidR="00876C49">
        <w:rPr>
          <w:rFonts w:ascii="Times New Roman" w:hAnsi="Times New Roman" w:cs="Times New Roman"/>
          <w:sz w:val="24"/>
          <w:szCs w:val="24"/>
        </w:rPr>
        <w:t>e presented in Table 3</w:t>
      </w:r>
      <w:r w:rsidR="00F05A0F">
        <w:rPr>
          <w:rFonts w:ascii="Times New Roman" w:hAnsi="Times New Roman" w:cs="Times New Roman"/>
          <w:sz w:val="24"/>
          <w:szCs w:val="24"/>
        </w:rPr>
        <w:t>.</w:t>
      </w:r>
      <w:r w:rsidR="00BB1891">
        <w:rPr>
          <w:rFonts w:ascii="Times New Roman" w:hAnsi="Times New Roman" w:cs="Times New Roman"/>
          <w:sz w:val="24"/>
          <w:szCs w:val="24"/>
        </w:rPr>
        <w:t xml:space="preserve"> </w:t>
      </w:r>
    </w:p>
    <w:p w14:paraId="69AE6399" w14:textId="77777777" w:rsidR="002872A7" w:rsidRDefault="002872A7" w:rsidP="002872A7">
      <w:pPr>
        <w:pStyle w:val="Caption"/>
        <w:keepNext/>
      </w:pPr>
      <w:r>
        <w:t xml:space="preserve">Table </w:t>
      </w:r>
      <w:r w:rsidR="00EC34E3">
        <w:fldChar w:fldCharType="begin"/>
      </w:r>
      <w:r w:rsidR="00EC34E3">
        <w:instrText xml:space="preserve"> SEQ Table \* ARABIC </w:instrText>
      </w:r>
      <w:r w:rsidR="00EC34E3">
        <w:fldChar w:fldCharType="separate"/>
      </w:r>
      <w:r w:rsidR="00B0578D">
        <w:rPr>
          <w:noProof/>
        </w:rPr>
        <w:t>3</w:t>
      </w:r>
      <w:r w:rsidR="00EC34E3">
        <w:rPr>
          <w:noProof/>
        </w:rPr>
        <w:fldChar w:fldCharType="end"/>
      </w:r>
      <w:r>
        <w:t xml:space="preserve"> Relative Spread &amp; Return moment estimates</w:t>
      </w:r>
    </w:p>
    <w:tbl>
      <w:tblPr>
        <w:tblW w:w="8833" w:type="dxa"/>
        <w:tblInd w:w="93" w:type="dxa"/>
        <w:tblLook w:val="04A0" w:firstRow="1" w:lastRow="0" w:firstColumn="1" w:lastColumn="0" w:noHBand="0" w:noVBand="1"/>
      </w:tblPr>
      <w:tblGrid>
        <w:gridCol w:w="2159"/>
        <w:gridCol w:w="1645"/>
        <w:gridCol w:w="1645"/>
        <w:gridCol w:w="1645"/>
        <w:gridCol w:w="1739"/>
      </w:tblGrid>
      <w:tr w:rsidR="002872A7" w:rsidRPr="002872A7" w14:paraId="21C59293" w14:textId="77777777" w:rsidTr="00D07BBC">
        <w:trPr>
          <w:trHeight w:val="489"/>
        </w:trPr>
        <w:tc>
          <w:tcPr>
            <w:tcW w:w="215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22FD679" w14:textId="77777777" w:rsidR="002872A7" w:rsidRPr="002872A7" w:rsidRDefault="002872A7" w:rsidP="002872A7">
            <w:pPr>
              <w:spacing w:after="0" w:line="240" w:lineRule="auto"/>
              <w:rPr>
                <w:rFonts w:cs="Times New Roman"/>
                <w:color w:val="000000"/>
              </w:rPr>
            </w:pPr>
            <w:r w:rsidRPr="002872A7">
              <w:rPr>
                <w:rFonts w:cs="Times New Roman"/>
                <w:color w:val="000000"/>
              </w:rPr>
              <w:t> </w:t>
            </w:r>
          </w:p>
        </w:tc>
        <w:tc>
          <w:tcPr>
            <w:tcW w:w="6674" w:type="dxa"/>
            <w:gridSpan w:val="4"/>
            <w:tcBorders>
              <w:top w:val="single" w:sz="8" w:space="0" w:color="auto"/>
              <w:left w:val="nil"/>
              <w:bottom w:val="single" w:sz="8" w:space="0" w:color="auto"/>
              <w:right w:val="single" w:sz="8" w:space="0" w:color="000000"/>
            </w:tcBorders>
            <w:shd w:val="clear" w:color="auto" w:fill="auto"/>
            <w:noWrap/>
            <w:vAlign w:val="bottom"/>
            <w:hideMark/>
          </w:tcPr>
          <w:p w14:paraId="6043BD64" w14:textId="77777777" w:rsidR="002872A7" w:rsidRPr="002872A7" w:rsidRDefault="002872A7" w:rsidP="002872A7">
            <w:pPr>
              <w:spacing w:after="0" w:line="240" w:lineRule="auto"/>
              <w:jc w:val="center"/>
              <w:rPr>
                <w:rFonts w:cs="Times New Roman"/>
                <w:b/>
                <w:bCs/>
                <w:color w:val="000000"/>
              </w:rPr>
            </w:pPr>
            <w:r w:rsidRPr="002872A7">
              <w:rPr>
                <w:rFonts w:cs="Times New Roman"/>
                <w:b/>
                <w:bCs/>
                <w:color w:val="000000"/>
              </w:rPr>
              <w:t>(a) Spread moment estimates</w:t>
            </w:r>
          </w:p>
        </w:tc>
      </w:tr>
      <w:tr w:rsidR="002872A7" w:rsidRPr="002872A7" w14:paraId="390E1536" w14:textId="77777777" w:rsidTr="00452166">
        <w:trPr>
          <w:trHeight w:val="489"/>
        </w:trPr>
        <w:tc>
          <w:tcPr>
            <w:tcW w:w="2159" w:type="dxa"/>
            <w:tcBorders>
              <w:top w:val="nil"/>
              <w:left w:val="single" w:sz="8" w:space="0" w:color="auto"/>
              <w:bottom w:val="nil"/>
              <w:right w:val="single" w:sz="8" w:space="0" w:color="auto"/>
            </w:tcBorders>
            <w:shd w:val="clear" w:color="auto" w:fill="auto"/>
            <w:noWrap/>
            <w:vAlign w:val="bottom"/>
            <w:hideMark/>
          </w:tcPr>
          <w:p w14:paraId="3394E4CC" w14:textId="77777777" w:rsidR="002872A7" w:rsidRPr="002872A7" w:rsidRDefault="002872A7" w:rsidP="002872A7">
            <w:pPr>
              <w:spacing w:after="0" w:line="240" w:lineRule="auto"/>
              <w:rPr>
                <w:rFonts w:cs="Times New Roman"/>
                <w:color w:val="000000"/>
              </w:rPr>
            </w:pPr>
            <w:r w:rsidRPr="002872A7">
              <w:rPr>
                <w:rFonts w:cs="Times New Roman"/>
                <w:color w:val="000000"/>
              </w:rPr>
              <w:t> </w:t>
            </w:r>
          </w:p>
        </w:tc>
        <w:tc>
          <w:tcPr>
            <w:tcW w:w="1645" w:type="dxa"/>
            <w:tcBorders>
              <w:top w:val="nil"/>
              <w:left w:val="nil"/>
              <w:bottom w:val="nil"/>
              <w:right w:val="single" w:sz="8" w:space="0" w:color="auto"/>
            </w:tcBorders>
            <w:shd w:val="clear" w:color="auto" w:fill="auto"/>
            <w:noWrap/>
            <w:vAlign w:val="bottom"/>
            <w:hideMark/>
          </w:tcPr>
          <w:p w14:paraId="721A4651" w14:textId="77777777" w:rsidR="002872A7" w:rsidRPr="002872A7" w:rsidRDefault="002872A7" w:rsidP="002872A7">
            <w:pPr>
              <w:spacing w:after="0" w:line="240" w:lineRule="auto"/>
              <w:jc w:val="center"/>
              <w:rPr>
                <w:rFonts w:cs="Times New Roman"/>
                <w:b/>
                <w:bCs/>
                <w:color w:val="000000"/>
              </w:rPr>
            </w:pPr>
            <w:r w:rsidRPr="002872A7">
              <w:rPr>
                <w:rFonts w:cs="Times New Roman"/>
                <w:b/>
                <w:bCs/>
                <w:color w:val="000000"/>
              </w:rPr>
              <w:t xml:space="preserve">BAJAJ AUTO </w:t>
            </w:r>
          </w:p>
        </w:tc>
        <w:tc>
          <w:tcPr>
            <w:tcW w:w="1645" w:type="dxa"/>
            <w:tcBorders>
              <w:top w:val="nil"/>
              <w:left w:val="nil"/>
              <w:bottom w:val="nil"/>
              <w:right w:val="nil"/>
            </w:tcBorders>
            <w:shd w:val="clear" w:color="auto" w:fill="auto"/>
            <w:noWrap/>
            <w:vAlign w:val="bottom"/>
            <w:hideMark/>
          </w:tcPr>
          <w:p w14:paraId="750873F4" w14:textId="77777777" w:rsidR="002872A7" w:rsidRPr="002872A7" w:rsidRDefault="002872A7" w:rsidP="002872A7">
            <w:pPr>
              <w:spacing w:after="0" w:line="240" w:lineRule="auto"/>
              <w:jc w:val="center"/>
              <w:rPr>
                <w:rFonts w:cs="Times New Roman"/>
                <w:b/>
                <w:bCs/>
                <w:color w:val="000000"/>
              </w:rPr>
            </w:pPr>
            <w:r w:rsidRPr="002872A7">
              <w:rPr>
                <w:rFonts w:cs="Times New Roman"/>
                <w:b/>
                <w:bCs/>
                <w:color w:val="000000"/>
              </w:rPr>
              <w:t xml:space="preserve">CIPLA </w:t>
            </w:r>
          </w:p>
        </w:tc>
        <w:tc>
          <w:tcPr>
            <w:tcW w:w="1645" w:type="dxa"/>
            <w:tcBorders>
              <w:top w:val="nil"/>
              <w:left w:val="single" w:sz="8" w:space="0" w:color="auto"/>
              <w:bottom w:val="nil"/>
              <w:right w:val="single" w:sz="8" w:space="0" w:color="auto"/>
            </w:tcBorders>
            <w:shd w:val="clear" w:color="auto" w:fill="auto"/>
            <w:noWrap/>
            <w:vAlign w:val="bottom"/>
            <w:hideMark/>
          </w:tcPr>
          <w:p w14:paraId="60555272" w14:textId="77777777" w:rsidR="002872A7" w:rsidRPr="002872A7" w:rsidRDefault="002872A7" w:rsidP="002872A7">
            <w:pPr>
              <w:spacing w:after="0" w:line="240" w:lineRule="auto"/>
              <w:jc w:val="center"/>
              <w:rPr>
                <w:rFonts w:cs="Times New Roman"/>
                <w:b/>
                <w:bCs/>
                <w:color w:val="000000"/>
              </w:rPr>
            </w:pPr>
            <w:r w:rsidRPr="002872A7">
              <w:rPr>
                <w:rFonts w:cs="Times New Roman"/>
                <w:b/>
                <w:bCs/>
                <w:color w:val="000000"/>
              </w:rPr>
              <w:t>ITC</w:t>
            </w:r>
          </w:p>
        </w:tc>
        <w:tc>
          <w:tcPr>
            <w:tcW w:w="1739" w:type="dxa"/>
            <w:tcBorders>
              <w:top w:val="nil"/>
              <w:left w:val="nil"/>
              <w:bottom w:val="nil"/>
              <w:right w:val="single" w:sz="8" w:space="0" w:color="auto"/>
            </w:tcBorders>
            <w:shd w:val="clear" w:color="auto" w:fill="auto"/>
            <w:noWrap/>
            <w:vAlign w:val="bottom"/>
            <w:hideMark/>
          </w:tcPr>
          <w:p w14:paraId="4448D487" w14:textId="77777777" w:rsidR="002872A7" w:rsidRPr="002872A7" w:rsidRDefault="002872A7" w:rsidP="002872A7">
            <w:pPr>
              <w:spacing w:after="0" w:line="240" w:lineRule="auto"/>
              <w:jc w:val="center"/>
              <w:rPr>
                <w:rFonts w:cs="Times New Roman"/>
                <w:b/>
                <w:bCs/>
                <w:color w:val="000000"/>
              </w:rPr>
            </w:pPr>
            <w:r w:rsidRPr="002872A7">
              <w:rPr>
                <w:rFonts w:cs="Times New Roman"/>
                <w:b/>
                <w:bCs/>
                <w:color w:val="000000"/>
              </w:rPr>
              <w:t xml:space="preserve">GAIL </w:t>
            </w:r>
          </w:p>
        </w:tc>
      </w:tr>
      <w:tr w:rsidR="002872A7" w:rsidRPr="002872A7" w14:paraId="28E20E7E" w14:textId="77777777" w:rsidTr="00452166">
        <w:trPr>
          <w:trHeight w:val="466"/>
        </w:trPr>
        <w:tc>
          <w:tcPr>
            <w:tcW w:w="2159" w:type="dxa"/>
            <w:tcBorders>
              <w:top w:val="nil"/>
              <w:left w:val="single" w:sz="8" w:space="0" w:color="auto"/>
              <w:bottom w:val="nil"/>
              <w:right w:val="single" w:sz="8" w:space="0" w:color="auto"/>
            </w:tcBorders>
            <w:shd w:val="clear" w:color="auto" w:fill="auto"/>
            <w:noWrap/>
            <w:vAlign w:val="bottom"/>
            <w:hideMark/>
          </w:tcPr>
          <w:p w14:paraId="6C508E1C" w14:textId="77777777" w:rsidR="002872A7" w:rsidRPr="002872A7" w:rsidRDefault="002872A7" w:rsidP="002872A7">
            <w:pPr>
              <w:spacing w:after="0" w:line="240" w:lineRule="auto"/>
              <w:rPr>
                <w:rFonts w:cs="Times New Roman"/>
                <w:b/>
                <w:bCs/>
                <w:color w:val="000000"/>
              </w:rPr>
            </w:pPr>
            <w:r w:rsidRPr="002872A7">
              <w:rPr>
                <w:rFonts w:cs="Times New Roman"/>
                <w:b/>
                <w:bCs/>
                <w:color w:val="000000"/>
              </w:rPr>
              <w:t>Skewness</w:t>
            </w:r>
          </w:p>
        </w:tc>
        <w:tc>
          <w:tcPr>
            <w:tcW w:w="1645" w:type="dxa"/>
            <w:tcBorders>
              <w:top w:val="nil"/>
              <w:left w:val="nil"/>
              <w:bottom w:val="nil"/>
              <w:right w:val="single" w:sz="8" w:space="0" w:color="auto"/>
            </w:tcBorders>
            <w:shd w:val="clear" w:color="auto" w:fill="auto"/>
            <w:noWrap/>
            <w:vAlign w:val="bottom"/>
            <w:hideMark/>
          </w:tcPr>
          <w:p w14:paraId="6968ABAD" w14:textId="77777777" w:rsidR="002872A7" w:rsidRPr="002872A7" w:rsidRDefault="002872A7" w:rsidP="002872A7">
            <w:pPr>
              <w:spacing w:after="0" w:line="240" w:lineRule="auto"/>
              <w:rPr>
                <w:rFonts w:cs="Times New Roman"/>
                <w:color w:val="000000"/>
              </w:rPr>
            </w:pPr>
            <w:r w:rsidRPr="002872A7">
              <w:rPr>
                <w:rFonts w:cs="Times New Roman"/>
                <w:color w:val="000000"/>
              </w:rPr>
              <w:t> </w:t>
            </w:r>
          </w:p>
        </w:tc>
        <w:tc>
          <w:tcPr>
            <w:tcW w:w="1645" w:type="dxa"/>
            <w:tcBorders>
              <w:top w:val="nil"/>
              <w:left w:val="nil"/>
              <w:bottom w:val="nil"/>
              <w:right w:val="nil"/>
            </w:tcBorders>
            <w:shd w:val="clear" w:color="auto" w:fill="auto"/>
            <w:noWrap/>
            <w:vAlign w:val="bottom"/>
            <w:hideMark/>
          </w:tcPr>
          <w:p w14:paraId="6F8EEE13" w14:textId="77777777" w:rsidR="002872A7" w:rsidRPr="002872A7" w:rsidRDefault="002872A7" w:rsidP="002872A7">
            <w:pPr>
              <w:spacing w:after="0" w:line="240" w:lineRule="auto"/>
              <w:rPr>
                <w:rFonts w:cs="Times New Roman"/>
                <w:color w:val="000000"/>
              </w:rPr>
            </w:pPr>
          </w:p>
        </w:tc>
        <w:tc>
          <w:tcPr>
            <w:tcW w:w="1645" w:type="dxa"/>
            <w:tcBorders>
              <w:top w:val="nil"/>
              <w:left w:val="single" w:sz="8" w:space="0" w:color="auto"/>
              <w:bottom w:val="nil"/>
              <w:right w:val="single" w:sz="8" w:space="0" w:color="auto"/>
            </w:tcBorders>
            <w:shd w:val="clear" w:color="auto" w:fill="auto"/>
            <w:noWrap/>
            <w:vAlign w:val="bottom"/>
            <w:hideMark/>
          </w:tcPr>
          <w:p w14:paraId="59505420" w14:textId="77777777" w:rsidR="002872A7" w:rsidRPr="002872A7" w:rsidRDefault="002872A7" w:rsidP="002872A7">
            <w:pPr>
              <w:spacing w:after="0" w:line="240" w:lineRule="auto"/>
              <w:rPr>
                <w:rFonts w:cs="Times New Roman"/>
                <w:color w:val="000000"/>
              </w:rPr>
            </w:pPr>
            <w:r w:rsidRPr="002872A7">
              <w:rPr>
                <w:rFonts w:cs="Times New Roman"/>
                <w:color w:val="000000"/>
              </w:rPr>
              <w:t> </w:t>
            </w:r>
          </w:p>
        </w:tc>
        <w:tc>
          <w:tcPr>
            <w:tcW w:w="1739" w:type="dxa"/>
            <w:tcBorders>
              <w:top w:val="nil"/>
              <w:left w:val="nil"/>
              <w:bottom w:val="nil"/>
              <w:right w:val="single" w:sz="8" w:space="0" w:color="auto"/>
            </w:tcBorders>
            <w:shd w:val="clear" w:color="auto" w:fill="auto"/>
            <w:noWrap/>
            <w:vAlign w:val="bottom"/>
            <w:hideMark/>
          </w:tcPr>
          <w:p w14:paraId="79B827F6" w14:textId="77777777" w:rsidR="002872A7" w:rsidRPr="002872A7" w:rsidRDefault="002872A7" w:rsidP="002872A7">
            <w:pPr>
              <w:spacing w:after="0" w:line="240" w:lineRule="auto"/>
              <w:rPr>
                <w:rFonts w:cs="Times New Roman"/>
                <w:color w:val="000000"/>
              </w:rPr>
            </w:pPr>
            <w:r w:rsidRPr="002872A7">
              <w:rPr>
                <w:rFonts w:cs="Times New Roman"/>
                <w:color w:val="000000"/>
              </w:rPr>
              <w:t> </w:t>
            </w:r>
          </w:p>
        </w:tc>
      </w:tr>
      <w:tr w:rsidR="002872A7" w:rsidRPr="002872A7" w14:paraId="675B63F4" w14:textId="77777777" w:rsidTr="00452166">
        <w:trPr>
          <w:trHeight w:val="489"/>
        </w:trPr>
        <w:tc>
          <w:tcPr>
            <w:tcW w:w="2159" w:type="dxa"/>
            <w:tcBorders>
              <w:top w:val="nil"/>
              <w:left w:val="single" w:sz="8" w:space="0" w:color="auto"/>
              <w:bottom w:val="nil"/>
              <w:right w:val="single" w:sz="8" w:space="0" w:color="auto"/>
            </w:tcBorders>
            <w:shd w:val="clear" w:color="auto" w:fill="auto"/>
            <w:noWrap/>
            <w:vAlign w:val="bottom"/>
            <w:hideMark/>
          </w:tcPr>
          <w:p w14:paraId="0352B0A6" w14:textId="77777777" w:rsidR="002872A7" w:rsidRPr="002872A7" w:rsidRDefault="002872A7" w:rsidP="002872A7">
            <w:pPr>
              <w:spacing w:after="0" w:line="240" w:lineRule="auto"/>
              <w:rPr>
                <w:rFonts w:cs="Times New Roman"/>
                <w:color w:val="000000"/>
              </w:rPr>
            </w:pPr>
            <w:r w:rsidRPr="002872A7">
              <w:rPr>
                <w:rFonts w:cs="Times New Roman"/>
                <w:color w:val="000000"/>
              </w:rPr>
              <w:t>Mean</w:t>
            </w:r>
          </w:p>
        </w:tc>
        <w:tc>
          <w:tcPr>
            <w:tcW w:w="1645" w:type="dxa"/>
            <w:tcBorders>
              <w:top w:val="nil"/>
              <w:left w:val="nil"/>
              <w:bottom w:val="nil"/>
              <w:right w:val="single" w:sz="8" w:space="0" w:color="auto"/>
            </w:tcBorders>
            <w:shd w:val="clear" w:color="auto" w:fill="auto"/>
            <w:noWrap/>
            <w:vAlign w:val="bottom"/>
            <w:hideMark/>
          </w:tcPr>
          <w:p w14:paraId="164F7E9D" w14:textId="77777777" w:rsidR="002872A7" w:rsidRPr="002872A7" w:rsidRDefault="002872A7" w:rsidP="002872A7">
            <w:pPr>
              <w:spacing w:after="0" w:line="240" w:lineRule="auto"/>
              <w:jc w:val="center"/>
              <w:rPr>
                <w:rFonts w:cs="Times New Roman"/>
                <w:color w:val="000000"/>
              </w:rPr>
            </w:pPr>
            <w:r w:rsidRPr="002872A7">
              <w:rPr>
                <w:rFonts w:cs="Times New Roman"/>
                <w:color w:val="000000"/>
              </w:rPr>
              <w:t>1.693839209</w:t>
            </w:r>
          </w:p>
        </w:tc>
        <w:tc>
          <w:tcPr>
            <w:tcW w:w="1645" w:type="dxa"/>
            <w:tcBorders>
              <w:top w:val="nil"/>
              <w:left w:val="nil"/>
              <w:bottom w:val="nil"/>
              <w:right w:val="nil"/>
            </w:tcBorders>
            <w:shd w:val="clear" w:color="auto" w:fill="auto"/>
            <w:noWrap/>
            <w:vAlign w:val="bottom"/>
            <w:hideMark/>
          </w:tcPr>
          <w:p w14:paraId="02B90A42" w14:textId="77777777" w:rsidR="002872A7" w:rsidRPr="002872A7" w:rsidRDefault="002872A7" w:rsidP="002872A7">
            <w:pPr>
              <w:spacing w:after="0" w:line="240" w:lineRule="auto"/>
              <w:jc w:val="center"/>
              <w:rPr>
                <w:rFonts w:cs="Times New Roman"/>
                <w:color w:val="000000"/>
              </w:rPr>
            </w:pPr>
            <w:r w:rsidRPr="002872A7">
              <w:rPr>
                <w:rFonts w:cs="Times New Roman"/>
                <w:color w:val="000000"/>
              </w:rPr>
              <w:t>1.822292261</w:t>
            </w:r>
          </w:p>
        </w:tc>
        <w:tc>
          <w:tcPr>
            <w:tcW w:w="1645" w:type="dxa"/>
            <w:tcBorders>
              <w:top w:val="nil"/>
              <w:left w:val="single" w:sz="8" w:space="0" w:color="auto"/>
              <w:bottom w:val="nil"/>
              <w:right w:val="single" w:sz="8" w:space="0" w:color="auto"/>
            </w:tcBorders>
            <w:shd w:val="clear" w:color="auto" w:fill="auto"/>
            <w:noWrap/>
            <w:vAlign w:val="bottom"/>
            <w:hideMark/>
          </w:tcPr>
          <w:p w14:paraId="0FCB3975" w14:textId="77777777" w:rsidR="002872A7" w:rsidRPr="002872A7" w:rsidRDefault="002872A7" w:rsidP="002872A7">
            <w:pPr>
              <w:spacing w:after="0" w:line="240" w:lineRule="auto"/>
              <w:jc w:val="center"/>
              <w:rPr>
                <w:rFonts w:cs="Times New Roman"/>
                <w:color w:val="000000"/>
              </w:rPr>
            </w:pPr>
            <w:r w:rsidRPr="002872A7">
              <w:rPr>
                <w:rFonts w:cs="Times New Roman"/>
                <w:color w:val="000000"/>
              </w:rPr>
              <w:t>2.013397495</w:t>
            </w:r>
          </w:p>
        </w:tc>
        <w:tc>
          <w:tcPr>
            <w:tcW w:w="1739" w:type="dxa"/>
            <w:tcBorders>
              <w:top w:val="nil"/>
              <w:left w:val="nil"/>
              <w:bottom w:val="nil"/>
              <w:right w:val="single" w:sz="8" w:space="0" w:color="auto"/>
            </w:tcBorders>
            <w:shd w:val="clear" w:color="auto" w:fill="auto"/>
            <w:noWrap/>
            <w:vAlign w:val="bottom"/>
            <w:hideMark/>
          </w:tcPr>
          <w:p w14:paraId="0267E8D2" w14:textId="77777777" w:rsidR="002872A7" w:rsidRPr="002872A7" w:rsidRDefault="002872A7" w:rsidP="002872A7">
            <w:pPr>
              <w:spacing w:after="0" w:line="240" w:lineRule="auto"/>
              <w:jc w:val="center"/>
              <w:rPr>
                <w:rFonts w:cs="Times New Roman"/>
                <w:color w:val="000000"/>
              </w:rPr>
            </w:pPr>
            <w:r w:rsidRPr="002872A7">
              <w:rPr>
                <w:rFonts w:cs="Times New Roman"/>
                <w:color w:val="000000"/>
              </w:rPr>
              <w:t>1.772488258</w:t>
            </w:r>
          </w:p>
        </w:tc>
      </w:tr>
      <w:tr w:rsidR="002872A7" w:rsidRPr="002872A7" w14:paraId="676C7C13" w14:textId="77777777" w:rsidTr="00452166">
        <w:trPr>
          <w:trHeight w:val="466"/>
        </w:trPr>
        <w:tc>
          <w:tcPr>
            <w:tcW w:w="2159" w:type="dxa"/>
            <w:tcBorders>
              <w:top w:val="nil"/>
              <w:left w:val="single" w:sz="8" w:space="0" w:color="auto"/>
              <w:bottom w:val="nil"/>
              <w:right w:val="single" w:sz="8" w:space="0" w:color="auto"/>
            </w:tcBorders>
            <w:shd w:val="clear" w:color="auto" w:fill="auto"/>
            <w:noWrap/>
            <w:vAlign w:val="bottom"/>
            <w:hideMark/>
          </w:tcPr>
          <w:p w14:paraId="3816732A" w14:textId="77777777" w:rsidR="002872A7" w:rsidRPr="002872A7" w:rsidRDefault="002872A7" w:rsidP="002872A7">
            <w:pPr>
              <w:spacing w:after="0" w:line="240" w:lineRule="auto"/>
              <w:rPr>
                <w:rFonts w:cs="Times New Roman"/>
                <w:color w:val="000000"/>
              </w:rPr>
            </w:pPr>
            <w:r w:rsidRPr="002872A7">
              <w:rPr>
                <w:rFonts w:cs="Times New Roman"/>
                <w:color w:val="000000"/>
              </w:rPr>
              <w:t>Median</w:t>
            </w:r>
          </w:p>
        </w:tc>
        <w:tc>
          <w:tcPr>
            <w:tcW w:w="1645" w:type="dxa"/>
            <w:tcBorders>
              <w:top w:val="nil"/>
              <w:left w:val="nil"/>
              <w:bottom w:val="nil"/>
              <w:right w:val="single" w:sz="8" w:space="0" w:color="auto"/>
            </w:tcBorders>
            <w:shd w:val="clear" w:color="auto" w:fill="auto"/>
            <w:noWrap/>
            <w:vAlign w:val="bottom"/>
            <w:hideMark/>
          </w:tcPr>
          <w:p w14:paraId="504CF5D6" w14:textId="77777777" w:rsidR="002872A7" w:rsidRPr="002872A7" w:rsidRDefault="002872A7" w:rsidP="002872A7">
            <w:pPr>
              <w:spacing w:after="0" w:line="240" w:lineRule="auto"/>
              <w:jc w:val="center"/>
              <w:rPr>
                <w:rFonts w:cs="Times New Roman"/>
                <w:color w:val="000000"/>
              </w:rPr>
            </w:pPr>
            <w:r w:rsidRPr="002872A7">
              <w:rPr>
                <w:rFonts w:cs="Times New Roman"/>
                <w:color w:val="000000"/>
              </w:rPr>
              <w:t>1.740354438</w:t>
            </w:r>
          </w:p>
        </w:tc>
        <w:tc>
          <w:tcPr>
            <w:tcW w:w="1645" w:type="dxa"/>
            <w:tcBorders>
              <w:top w:val="nil"/>
              <w:left w:val="nil"/>
              <w:bottom w:val="nil"/>
              <w:right w:val="nil"/>
            </w:tcBorders>
            <w:shd w:val="clear" w:color="auto" w:fill="auto"/>
            <w:noWrap/>
            <w:vAlign w:val="bottom"/>
            <w:hideMark/>
          </w:tcPr>
          <w:p w14:paraId="337FFBF1" w14:textId="77777777" w:rsidR="002872A7" w:rsidRPr="002872A7" w:rsidRDefault="002872A7" w:rsidP="002872A7">
            <w:pPr>
              <w:spacing w:after="0" w:line="240" w:lineRule="auto"/>
              <w:jc w:val="center"/>
              <w:rPr>
                <w:rFonts w:cs="Times New Roman"/>
                <w:color w:val="000000"/>
              </w:rPr>
            </w:pPr>
            <w:r w:rsidRPr="002872A7">
              <w:rPr>
                <w:rFonts w:cs="Times New Roman"/>
                <w:color w:val="000000"/>
              </w:rPr>
              <w:t>1.679014116</w:t>
            </w:r>
          </w:p>
        </w:tc>
        <w:tc>
          <w:tcPr>
            <w:tcW w:w="1645" w:type="dxa"/>
            <w:tcBorders>
              <w:top w:val="nil"/>
              <w:left w:val="single" w:sz="8" w:space="0" w:color="auto"/>
              <w:bottom w:val="nil"/>
              <w:right w:val="single" w:sz="8" w:space="0" w:color="auto"/>
            </w:tcBorders>
            <w:shd w:val="clear" w:color="auto" w:fill="auto"/>
            <w:noWrap/>
            <w:vAlign w:val="bottom"/>
            <w:hideMark/>
          </w:tcPr>
          <w:p w14:paraId="4FF1274A" w14:textId="77777777" w:rsidR="002872A7" w:rsidRPr="002872A7" w:rsidRDefault="002872A7" w:rsidP="002872A7">
            <w:pPr>
              <w:spacing w:after="0" w:line="240" w:lineRule="auto"/>
              <w:jc w:val="center"/>
              <w:rPr>
                <w:rFonts w:cs="Times New Roman"/>
                <w:color w:val="000000"/>
              </w:rPr>
            </w:pPr>
            <w:r w:rsidRPr="002872A7">
              <w:rPr>
                <w:rFonts w:cs="Times New Roman"/>
                <w:color w:val="000000"/>
              </w:rPr>
              <w:t>2.106195292</w:t>
            </w:r>
          </w:p>
        </w:tc>
        <w:tc>
          <w:tcPr>
            <w:tcW w:w="1739" w:type="dxa"/>
            <w:tcBorders>
              <w:top w:val="nil"/>
              <w:left w:val="nil"/>
              <w:bottom w:val="nil"/>
              <w:right w:val="single" w:sz="8" w:space="0" w:color="auto"/>
            </w:tcBorders>
            <w:shd w:val="clear" w:color="auto" w:fill="auto"/>
            <w:noWrap/>
            <w:vAlign w:val="bottom"/>
            <w:hideMark/>
          </w:tcPr>
          <w:p w14:paraId="717D1A72" w14:textId="77777777" w:rsidR="002872A7" w:rsidRPr="002872A7" w:rsidRDefault="002872A7" w:rsidP="002872A7">
            <w:pPr>
              <w:spacing w:after="0" w:line="240" w:lineRule="auto"/>
              <w:jc w:val="center"/>
              <w:rPr>
                <w:rFonts w:cs="Times New Roman"/>
                <w:color w:val="000000"/>
              </w:rPr>
            </w:pPr>
            <w:r w:rsidRPr="002872A7">
              <w:rPr>
                <w:rFonts w:cs="Times New Roman"/>
                <w:color w:val="000000"/>
              </w:rPr>
              <w:t>1.800388092</w:t>
            </w:r>
          </w:p>
        </w:tc>
      </w:tr>
      <w:tr w:rsidR="002872A7" w:rsidRPr="002872A7" w14:paraId="0E9D51CC" w14:textId="77777777" w:rsidTr="00452166">
        <w:trPr>
          <w:trHeight w:val="489"/>
        </w:trPr>
        <w:tc>
          <w:tcPr>
            <w:tcW w:w="2159" w:type="dxa"/>
            <w:tcBorders>
              <w:top w:val="nil"/>
              <w:left w:val="single" w:sz="8" w:space="0" w:color="auto"/>
              <w:bottom w:val="nil"/>
              <w:right w:val="single" w:sz="8" w:space="0" w:color="auto"/>
            </w:tcBorders>
            <w:shd w:val="clear" w:color="auto" w:fill="auto"/>
            <w:noWrap/>
            <w:vAlign w:val="bottom"/>
            <w:hideMark/>
          </w:tcPr>
          <w:p w14:paraId="47E0DE10" w14:textId="77777777" w:rsidR="002872A7" w:rsidRPr="002872A7" w:rsidRDefault="002872A7" w:rsidP="002872A7">
            <w:pPr>
              <w:spacing w:after="0" w:line="240" w:lineRule="auto"/>
              <w:rPr>
                <w:rFonts w:cs="Times New Roman"/>
                <w:color w:val="000000"/>
              </w:rPr>
            </w:pPr>
            <w:r w:rsidRPr="002872A7">
              <w:rPr>
                <w:rFonts w:cs="Times New Roman"/>
                <w:color w:val="000000"/>
              </w:rPr>
              <w:t>Standard deviation</w:t>
            </w:r>
          </w:p>
        </w:tc>
        <w:tc>
          <w:tcPr>
            <w:tcW w:w="1645" w:type="dxa"/>
            <w:tcBorders>
              <w:top w:val="nil"/>
              <w:left w:val="nil"/>
              <w:bottom w:val="nil"/>
              <w:right w:val="single" w:sz="8" w:space="0" w:color="auto"/>
            </w:tcBorders>
            <w:shd w:val="clear" w:color="auto" w:fill="auto"/>
            <w:noWrap/>
            <w:vAlign w:val="bottom"/>
            <w:hideMark/>
          </w:tcPr>
          <w:p w14:paraId="18B3DAA4" w14:textId="77777777" w:rsidR="002872A7" w:rsidRPr="002872A7" w:rsidRDefault="002872A7" w:rsidP="002872A7">
            <w:pPr>
              <w:spacing w:after="0" w:line="240" w:lineRule="auto"/>
              <w:jc w:val="center"/>
              <w:rPr>
                <w:rFonts w:cs="Times New Roman"/>
                <w:color w:val="000000"/>
              </w:rPr>
            </w:pPr>
            <w:r w:rsidRPr="002872A7">
              <w:rPr>
                <w:rFonts w:cs="Times New Roman"/>
                <w:color w:val="000000"/>
              </w:rPr>
              <w:t>0.278628996</w:t>
            </w:r>
          </w:p>
        </w:tc>
        <w:tc>
          <w:tcPr>
            <w:tcW w:w="1645" w:type="dxa"/>
            <w:tcBorders>
              <w:top w:val="nil"/>
              <w:left w:val="nil"/>
              <w:bottom w:val="nil"/>
              <w:right w:val="nil"/>
            </w:tcBorders>
            <w:shd w:val="clear" w:color="auto" w:fill="auto"/>
            <w:noWrap/>
            <w:vAlign w:val="bottom"/>
            <w:hideMark/>
          </w:tcPr>
          <w:p w14:paraId="46D77C5A" w14:textId="77777777" w:rsidR="002872A7" w:rsidRPr="002872A7" w:rsidRDefault="002872A7" w:rsidP="002872A7">
            <w:pPr>
              <w:spacing w:after="0" w:line="240" w:lineRule="auto"/>
              <w:jc w:val="center"/>
              <w:rPr>
                <w:rFonts w:cs="Times New Roman"/>
                <w:color w:val="000000"/>
              </w:rPr>
            </w:pPr>
            <w:r w:rsidRPr="002872A7">
              <w:rPr>
                <w:rFonts w:cs="Times New Roman"/>
                <w:color w:val="000000"/>
              </w:rPr>
              <w:t>0.384730719</w:t>
            </w:r>
          </w:p>
        </w:tc>
        <w:tc>
          <w:tcPr>
            <w:tcW w:w="1645" w:type="dxa"/>
            <w:tcBorders>
              <w:top w:val="nil"/>
              <w:left w:val="single" w:sz="8" w:space="0" w:color="auto"/>
              <w:bottom w:val="nil"/>
              <w:right w:val="single" w:sz="8" w:space="0" w:color="auto"/>
            </w:tcBorders>
            <w:shd w:val="clear" w:color="auto" w:fill="auto"/>
            <w:noWrap/>
            <w:vAlign w:val="bottom"/>
            <w:hideMark/>
          </w:tcPr>
          <w:p w14:paraId="53CA5A11" w14:textId="77777777" w:rsidR="002872A7" w:rsidRPr="002872A7" w:rsidRDefault="002872A7" w:rsidP="002872A7">
            <w:pPr>
              <w:spacing w:after="0" w:line="240" w:lineRule="auto"/>
              <w:jc w:val="center"/>
              <w:rPr>
                <w:rFonts w:cs="Times New Roman"/>
                <w:color w:val="000000"/>
              </w:rPr>
            </w:pPr>
            <w:r w:rsidRPr="002872A7">
              <w:rPr>
                <w:rFonts w:cs="Times New Roman"/>
                <w:color w:val="000000"/>
              </w:rPr>
              <w:t>0.384833247</w:t>
            </w:r>
          </w:p>
        </w:tc>
        <w:tc>
          <w:tcPr>
            <w:tcW w:w="1739" w:type="dxa"/>
            <w:tcBorders>
              <w:top w:val="nil"/>
              <w:left w:val="nil"/>
              <w:bottom w:val="nil"/>
              <w:right w:val="single" w:sz="8" w:space="0" w:color="auto"/>
            </w:tcBorders>
            <w:shd w:val="clear" w:color="auto" w:fill="auto"/>
            <w:noWrap/>
            <w:vAlign w:val="bottom"/>
            <w:hideMark/>
          </w:tcPr>
          <w:p w14:paraId="14EE220F" w14:textId="77777777" w:rsidR="002872A7" w:rsidRPr="002872A7" w:rsidRDefault="002872A7" w:rsidP="002872A7">
            <w:pPr>
              <w:spacing w:after="0" w:line="240" w:lineRule="auto"/>
              <w:jc w:val="center"/>
              <w:rPr>
                <w:rFonts w:cs="Times New Roman"/>
                <w:color w:val="000000"/>
              </w:rPr>
            </w:pPr>
            <w:r w:rsidRPr="002872A7">
              <w:rPr>
                <w:rFonts w:cs="Times New Roman"/>
                <w:color w:val="000000"/>
              </w:rPr>
              <w:t>0.555467708</w:t>
            </w:r>
          </w:p>
        </w:tc>
      </w:tr>
      <w:tr w:rsidR="002872A7" w:rsidRPr="002872A7" w14:paraId="695C4F51" w14:textId="77777777" w:rsidTr="00452166">
        <w:trPr>
          <w:trHeight w:val="489"/>
        </w:trPr>
        <w:tc>
          <w:tcPr>
            <w:tcW w:w="2159" w:type="dxa"/>
            <w:tcBorders>
              <w:top w:val="nil"/>
              <w:left w:val="single" w:sz="8" w:space="0" w:color="auto"/>
              <w:bottom w:val="nil"/>
              <w:right w:val="single" w:sz="8" w:space="0" w:color="auto"/>
            </w:tcBorders>
            <w:shd w:val="clear" w:color="auto" w:fill="auto"/>
            <w:noWrap/>
            <w:vAlign w:val="bottom"/>
            <w:hideMark/>
          </w:tcPr>
          <w:p w14:paraId="4457C95D" w14:textId="77777777" w:rsidR="002872A7" w:rsidRPr="002872A7" w:rsidRDefault="002872A7" w:rsidP="002872A7">
            <w:pPr>
              <w:spacing w:after="0" w:line="240" w:lineRule="auto"/>
              <w:rPr>
                <w:rFonts w:cs="Times New Roman"/>
                <w:color w:val="000000"/>
              </w:rPr>
            </w:pPr>
            <w:r w:rsidRPr="002872A7">
              <w:rPr>
                <w:rFonts w:cs="Times New Roman"/>
                <w:color w:val="000000"/>
              </w:rPr>
              <w:t> </w:t>
            </w:r>
          </w:p>
        </w:tc>
        <w:tc>
          <w:tcPr>
            <w:tcW w:w="1645" w:type="dxa"/>
            <w:tcBorders>
              <w:top w:val="nil"/>
              <w:left w:val="nil"/>
              <w:bottom w:val="nil"/>
              <w:right w:val="single" w:sz="8" w:space="0" w:color="auto"/>
            </w:tcBorders>
            <w:shd w:val="clear" w:color="auto" w:fill="auto"/>
            <w:noWrap/>
            <w:vAlign w:val="bottom"/>
            <w:hideMark/>
          </w:tcPr>
          <w:p w14:paraId="76D4CED9" w14:textId="77777777" w:rsidR="002872A7" w:rsidRPr="002872A7" w:rsidRDefault="002872A7" w:rsidP="002872A7">
            <w:pPr>
              <w:spacing w:after="0" w:line="240" w:lineRule="auto"/>
              <w:jc w:val="center"/>
              <w:rPr>
                <w:rFonts w:cs="Times New Roman"/>
                <w:color w:val="000000"/>
              </w:rPr>
            </w:pPr>
          </w:p>
        </w:tc>
        <w:tc>
          <w:tcPr>
            <w:tcW w:w="1645" w:type="dxa"/>
            <w:tcBorders>
              <w:top w:val="nil"/>
              <w:left w:val="nil"/>
              <w:bottom w:val="nil"/>
              <w:right w:val="nil"/>
            </w:tcBorders>
            <w:shd w:val="clear" w:color="auto" w:fill="auto"/>
            <w:noWrap/>
            <w:vAlign w:val="bottom"/>
            <w:hideMark/>
          </w:tcPr>
          <w:p w14:paraId="5D104168" w14:textId="77777777" w:rsidR="002872A7" w:rsidRPr="002872A7" w:rsidRDefault="002872A7" w:rsidP="002872A7">
            <w:pPr>
              <w:spacing w:after="0" w:line="240" w:lineRule="auto"/>
              <w:jc w:val="center"/>
              <w:rPr>
                <w:rFonts w:cs="Times New Roman"/>
                <w:color w:val="000000"/>
              </w:rPr>
            </w:pPr>
          </w:p>
        </w:tc>
        <w:tc>
          <w:tcPr>
            <w:tcW w:w="1645" w:type="dxa"/>
            <w:tcBorders>
              <w:top w:val="nil"/>
              <w:left w:val="single" w:sz="8" w:space="0" w:color="auto"/>
              <w:bottom w:val="nil"/>
              <w:right w:val="single" w:sz="8" w:space="0" w:color="auto"/>
            </w:tcBorders>
            <w:shd w:val="clear" w:color="auto" w:fill="auto"/>
            <w:noWrap/>
            <w:vAlign w:val="bottom"/>
            <w:hideMark/>
          </w:tcPr>
          <w:p w14:paraId="53AA263F" w14:textId="77777777" w:rsidR="002872A7" w:rsidRPr="002872A7" w:rsidRDefault="002872A7" w:rsidP="002872A7">
            <w:pPr>
              <w:spacing w:after="0" w:line="240" w:lineRule="auto"/>
              <w:jc w:val="center"/>
              <w:rPr>
                <w:rFonts w:cs="Times New Roman"/>
                <w:color w:val="000000"/>
              </w:rPr>
            </w:pPr>
          </w:p>
        </w:tc>
        <w:tc>
          <w:tcPr>
            <w:tcW w:w="1739" w:type="dxa"/>
            <w:tcBorders>
              <w:top w:val="nil"/>
              <w:left w:val="nil"/>
              <w:bottom w:val="nil"/>
              <w:right w:val="single" w:sz="8" w:space="0" w:color="auto"/>
            </w:tcBorders>
            <w:shd w:val="clear" w:color="auto" w:fill="auto"/>
            <w:noWrap/>
            <w:vAlign w:val="bottom"/>
            <w:hideMark/>
          </w:tcPr>
          <w:p w14:paraId="418A1534" w14:textId="77777777" w:rsidR="002872A7" w:rsidRPr="002872A7" w:rsidRDefault="002872A7" w:rsidP="002872A7">
            <w:pPr>
              <w:spacing w:after="0" w:line="240" w:lineRule="auto"/>
              <w:jc w:val="center"/>
              <w:rPr>
                <w:rFonts w:cs="Times New Roman"/>
                <w:color w:val="000000"/>
              </w:rPr>
            </w:pPr>
          </w:p>
        </w:tc>
      </w:tr>
      <w:tr w:rsidR="002872A7" w:rsidRPr="002872A7" w14:paraId="3704DB47" w14:textId="77777777" w:rsidTr="00452166">
        <w:trPr>
          <w:trHeight w:val="466"/>
        </w:trPr>
        <w:tc>
          <w:tcPr>
            <w:tcW w:w="2159" w:type="dxa"/>
            <w:tcBorders>
              <w:top w:val="nil"/>
              <w:left w:val="single" w:sz="8" w:space="0" w:color="auto"/>
              <w:bottom w:val="nil"/>
              <w:right w:val="single" w:sz="8" w:space="0" w:color="auto"/>
            </w:tcBorders>
            <w:shd w:val="clear" w:color="auto" w:fill="auto"/>
            <w:noWrap/>
            <w:vAlign w:val="bottom"/>
            <w:hideMark/>
          </w:tcPr>
          <w:p w14:paraId="155BD80E" w14:textId="77777777" w:rsidR="002872A7" w:rsidRPr="002872A7" w:rsidRDefault="002872A7" w:rsidP="002872A7">
            <w:pPr>
              <w:spacing w:after="0" w:line="240" w:lineRule="auto"/>
              <w:rPr>
                <w:rFonts w:cs="Times New Roman"/>
                <w:b/>
                <w:bCs/>
                <w:color w:val="000000"/>
              </w:rPr>
            </w:pPr>
            <w:r w:rsidRPr="002872A7">
              <w:rPr>
                <w:rFonts w:cs="Times New Roman"/>
                <w:b/>
                <w:bCs/>
                <w:color w:val="000000"/>
              </w:rPr>
              <w:t>Kurtosis</w:t>
            </w:r>
          </w:p>
        </w:tc>
        <w:tc>
          <w:tcPr>
            <w:tcW w:w="1645" w:type="dxa"/>
            <w:tcBorders>
              <w:top w:val="nil"/>
              <w:left w:val="nil"/>
              <w:bottom w:val="nil"/>
              <w:right w:val="single" w:sz="8" w:space="0" w:color="auto"/>
            </w:tcBorders>
            <w:shd w:val="clear" w:color="auto" w:fill="auto"/>
            <w:noWrap/>
            <w:vAlign w:val="bottom"/>
            <w:hideMark/>
          </w:tcPr>
          <w:p w14:paraId="7F7C4DB3" w14:textId="77777777" w:rsidR="002872A7" w:rsidRPr="002872A7" w:rsidRDefault="002872A7" w:rsidP="002872A7">
            <w:pPr>
              <w:spacing w:after="0" w:line="240" w:lineRule="auto"/>
              <w:jc w:val="center"/>
              <w:rPr>
                <w:rFonts w:cs="Times New Roman"/>
                <w:color w:val="000000"/>
              </w:rPr>
            </w:pPr>
          </w:p>
        </w:tc>
        <w:tc>
          <w:tcPr>
            <w:tcW w:w="1645" w:type="dxa"/>
            <w:tcBorders>
              <w:top w:val="nil"/>
              <w:left w:val="nil"/>
              <w:bottom w:val="nil"/>
              <w:right w:val="nil"/>
            </w:tcBorders>
            <w:shd w:val="clear" w:color="auto" w:fill="auto"/>
            <w:noWrap/>
            <w:vAlign w:val="bottom"/>
            <w:hideMark/>
          </w:tcPr>
          <w:p w14:paraId="5EBDCA34" w14:textId="77777777" w:rsidR="002872A7" w:rsidRPr="002872A7" w:rsidRDefault="002872A7" w:rsidP="002872A7">
            <w:pPr>
              <w:spacing w:after="0" w:line="240" w:lineRule="auto"/>
              <w:jc w:val="center"/>
              <w:rPr>
                <w:rFonts w:cs="Times New Roman"/>
                <w:color w:val="000000"/>
              </w:rPr>
            </w:pPr>
          </w:p>
        </w:tc>
        <w:tc>
          <w:tcPr>
            <w:tcW w:w="1645" w:type="dxa"/>
            <w:tcBorders>
              <w:top w:val="nil"/>
              <w:left w:val="single" w:sz="8" w:space="0" w:color="auto"/>
              <w:bottom w:val="nil"/>
              <w:right w:val="single" w:sz="8" w:space="0" w:color="auto"/>
            </w:tcBorders>
            <w:shd w:val="clear" w:color="auto" w:fill="auto"/>
            <w:noWrap/>
            <w:vAlign w:val="bottom"/>
            <w:hideMark/>
          </w:tcPr>
          <w:p w14:paraId="32032899" w14:textId="77777777" w:rsidR="002872A7" w:rsidRPr="002872A7" w:rsidRDefault="002872A7" w:rsidP="002872A7">
            <w:pPr>
              <w:spacing w:after="0" w:line="240" w:lineRule="auto"/>
              <w:jc w:val="center"/>
              <w:rPr>
                <w:rFonts w:cs="Times New Roman"/>
                <w:color w:val="000000"/>
              </w:rPr>
            </w:pPr>
          </w:p>
        </w:tc>
        <w:tc>
          <w:tcPr>
            <w:tcW w:w="1739" w:type="dxa"/>
            <w:tcBorders>
              <w:top w:val="nil"/>
              <w:left w:val="nil"/>
              <w:bottom w:val="nil"/>
              <w:right w:val="single" w:sz="8" w:space="0" w:color="auto"/>
            </w:tcBorders>
            <w:shd w:val="clear" w:color="auto" w:fill="auto"/>
            <w:noWrap/>
            <w:vAlign w:val="bottom"/>
            <w:hideMark/>
          </w:tcPr>
          <w:p w14:paraId="3E394B27" w14:textId="77777777" w:rsidR="002872A7" w:rsidRPr="002872A7" w:rsidRDefault="002872A7" w:rsidP="002872A7">
            <w:pPr>
              <w:spacing w:after="0" w:line="240" w:lineRule="auto"/>
              <w:jc w:val="center"/>
              <w:rPr>
                <w:rFonts w:cs="Times New Roman"/>
                <w:color w:val="000000"/>
              </w:rPr>
            </w:pPr>
          </w:p>
        </w:tc>
      </w:tr>
      <w:tr w:rsidR="002872A7" w:rsidRPr="002872A7" w14:paraId="6FA884A5" w14:textId="77777777" w:rsidTr="00452166">
        <w:trPr>
          <w:trHeight w:val="466"/>
        </w:trPr>
        <w:tc>
          <w:tcPr>
            <w:tcW w:w="2159" w:type="dxa"/>
            <w:tcBorders>
              <w:top w:val="nil"/>
              <w:left w:val="single" w:sz="8" w:space="0" w:color="auto"/>
              <w:bottom w:val="nil"/>
              <w:right w:val="single" w:sz="8" w:space="0" w:color="auto"/>
            </w:tcBorders>
            <w:shd w:val="clear" w:color="auto" w:fill="auto"/>
            <w:noWrap/>
            <w:vAlign w:val="bottom"/>
            <w:hideMark/>
          </w:tcPr>
          <w:p w14:paraId="505D10E7" w14:textId="77777777" w:rsidR="002872A7" w:rsidRPr="002872A7" w:rsidRDefault="002872A7" w:rsidP="002872A7">
            <w:pPr>
              <w:spacing w:after="0" w:line="240" w:lineRule="auto"/>
              <w:rPr>
                <w:rFonts w:cs="Times New Roman"/>
                <w:color w:val="000000"/>
              </w:rPr>
            </w:pPr>
            <w:r w:rsidRPr="002872A7">
              <w:rPr>
                <w:rFonts w:cs="Times New Roman"/>
                <w:color w:val="000000"/>
              </w:rPr>
              <w:t>Mean</w:t>
            </w:r>
          </w:p>
        </w:tc>
        <w:tc>
          <w:tcPr>
            <w:tcW w:w="1645" w:type="dxa"/>
            <w:tcBorders>
              <w:top w:val="nil"/>
              <w:left w:val="nil"/>
              <w:bottom w:val="nil"/>
              <w:right w:val="single" w:sz="8" w:space="0" w:color="auto"/>
            </w:tcBorders>
            <w:shd w:val="clear" w:color="auto" w:fill="auto"/>
            <w:noWrap/>
            <w:vAlign w:val="bottom"/>
            <w:hideMark/>
          </w:tcPr>
          <w:p w14:paraId="1D5E4D27" w14:textId="77777777" w:rsidR="002872A7" w:rsidRPr="002872A7" w:rsidRDefault="002872A7" w:rsidP="002872A7">
            <w:pPr>
              <w:spacing w:after="0" w:line="240" w:lineRule="auto"/>
              <w:jc w:val="center"/>
              <w:rPr>
                <w:rFonts w:cs="Times New Roman"/>
                <w:color w:val="000000"/>
              </w:rPr>
            </w:pPr>
            <w:r w:rsidRPr="002872A7">
              <w:rPr>
                <w:rFonts w:cs="Times New Roman"/>
                <w:color w:val="000000"/>
              </w:rPr>
              <w:t>3.647316173</w:t>
            </w:r>
          </w:p>
        </w:tc>
        <w:tc>
          <w:tcPr>
            <w:tcW w:w="1645" w:type="dxa"/>
            <w:tcBorders>
              <w:top w:val="nil"/>
              <w:left w:val="nil"/>
              <w:bottom w:val="nil"/>
              <w:right w:val="nil"/>
            </w:tcBorders>
            <w:shd w:val="clear" w:color="auto" w:fill="auto"/>
            <w:noWrap/>
            <w:vAlign w:val="bottom"/>
            <w:hideMark/>
          </w:tcPr>
          <w:p w14:paraId="45C2A5D6" w14:textId="77777777" w:rsidR="002872A7" w:rsidRPr="002872A7" w:rsidRDefault="002872A7" w:rsidP="002872A7">
            <w:pPr>
              <w:spacing w:after="0" w:line="240" w:lineRule="auto"/>
              <w:jc w:val="center"/>
              <w:rPr>
                <w:rFonts w:cs="Times New Roman"/>
                <w:color w:val="000000"/>
              </w:rPr>
            </w:pPr>
            <w:r w:rsidRPr="002872A7">
              <w:rPr>
                <w:rFonts w:cs="Times New Roman"/>
                <w:color w:val="000000"/>
              </w:rPr>
              <w:t>4.922664444</w:t>
            </w:r>
          </w:p>
        </w:tc>
        <w:tc>
          <w:tcPr>
            <w:tcW w:w="1645" w:type="dxa"/>
            <w:tcBorders>
              <w:top w:val="nil"/>
              <w:left w:val="single" w:sz="8" w:space="0" w:color="auto"/>
              <w:bottom w:val="nil"/>
              <w:right w:val="single" w:sz="8" w:space="0" w:color="auto"/>
            </w:tcBorders>
            <w:shd w:val="clear" w:color="auto" w:fill="auto"/>
            <w:noWrap/>
            <w:vAlign w:val="bottom"/>
            <w:hideMark/>
          </w:tcPr>
          <w:p w14:paraId="5760E652" w14:textId="77777777" w:rsidR="002872A7" w:rsidRPr="002872A7" w:rsidRDefault="002872A7" w:rsidP="002872A7">
            <w:pPr>
              <w:spacing w:after="0" w:line="240" w:lineRule="auto"/>
              <w:jc w:val="center"/>
              <w:rPr>
                <w:rFonts w:cs="Times New Roman"/>
                <w:color w:val="000000"/>
              </w:rPr>
            </w:pPr>
            <w:r w:rsidRPr="002872A7">
              <w:rPr>
                <w:rFonts w:cs="Times New Roman"/>
                <w:color w:val="000000"/>
              </w:rPr>
              <w:t>6.690311755</w:t>
            </w:r>
          </w:p>
        </w:tc>
        <w:tc>
          <w:tcPr>
            <w:tcW w:w="1739" w:type="dxa"/>
            <w:tcBorders>
              <w:top w:val="nil"/>
              <w:left w:val="nil"/>
              <w:bottom w:val="nil"/>
              <w:right w:val="single" w:sz="8" w:space="0" w:color="auto"/>
            </w:tcBorders>
            <w:shd w:val="clear" w:color="auto" w:fill="auto"/>
            <w:noWrap/>
            <w:vAlign w:val="bottom"/>
            <w:hideMark/>
          </w:tcPr>
          <w:p w14:paraId="3B70C0FD" w14:textId="77777777" w:rsidR="002872A7" w:rsidRPr="002872A7" w:rsidRDefault="002872A7" w:rsidP="002872A7">
            <w:pPr>
              <w:spacing w:after="0" w:line="240" w:lineRule="auto"/>
              <w:jc w:val="center"/>
              <w:rPr>
                <w:rFonts w:cs="Times New Roman"/>
                <w:color w:val="000000"/>
              </w:rPr>
            </w:pPr>
            <w:r w:rsidRPr="002872A7">
              <w:rPr>
                <w:rFonts w:cs="Times New Roman"/>
                <w:color w:val="000000"/>
              </w:rPr>
              <w:t>5.595536253</w:t>
            </w:r>
          </w:p>
        </w:tc>
      </w:tr>
      <w:tr w:rsidR="002872A7" w:rsidRPr="002872A7" w14:paraId="434E9696" w14:textId="77777777" w:rsidTr="00452166">
        <w:trPr>
          <w:trHeight w:val="489"/>
        </w:trPr>
        <w:tc>
          <w:tcPr>
            <w:tcW w:w="2159" w:type="dxa"/>
            <w:tcBorders>
              <w:top w:val="nil"/>
              <w:left w:val="single" w:sz="8" w:space="0" w:color="auto"/>
              <w:bottom w:val="nil"/>
              <w:right w:val="single" w:sz="8" w:space="0" w:color="auto"/>
            </w:tcBorders>
            <w:shd w:val="clear" w:color="auto" w:fill="auto"/>
            <w:noWrap/>
            <w:vAlign w:val="bottom"/>
            <w:hideMark/>
          </w:tcPr>
          <w:p w14:paraId="2EF5ACDF" w14:textId="77777777" w:rsidR="002872A7" w:rsidRPr="002872A7" w:rsidRDefault="002872A7" w:rsidP="002872A7">
            <w:pPr>
              <w:spacing w:after="0" w:line="240" w:lineRule="auto"/>
              <w:rPr>
                <w:rFonts w:cs="Times New Roman"/>
                <w:color w:val="000000"/>
              </w:rPr>
            </w:pPr>
            <w:r w:rsidRPr="002872A7">
              <w:rPr>
                <w:rFonts w:cs="Times New Roman"/>
                <w:color w:val="000000"/>
              </w:rPr>
              <w:t>Median</w:t>
            </w:r>
          </w:p>
        </w:tc>
        <w:tc>
          <w:tcPr>
            <w:tcW w:w="1645" w:type="dxa"/>
            <w:tcBorders>
              <w:top w:val="nil"/>
              <w:left w:val="nil"/>
              <w:bottom w:val="nil"/>
              <w:right w:val="single" w:sz="8" w:space="0" w:color="auto"/>
            </w:tcBorders>
            <w:shd w:val="clear" w:color="auto" w:fill="auto"/>
            <w:noWrap/>
            <w:vAlign w:val="bottom"/>
            <w:hideMark/>
          </w:tcPr>
          <w:p w14:paraId="21F5B577" w14:textId="77777777" w:rsidR="002872A7" w:rsidRPr="002872A7" w:rsidRDefault="002872A7" w:rsidP="002872A7">
            <w:pPr>
              <w:spacing w:after="0" w:line="240" w:lineRule="auto"/>
              <w:jc w:val="center"/>
              <w:rPr>
                <w:rFonts w:cs="Times New Roman"/>
                <w:color w:val="000000"/>
              </w:rPr>
            </w:pPr>
            <w:r w:rsidRPr="002872A7">
              <w:rPr>
                <w:rFonts w:cs="Times New Roman"/>
                <w:color w:val="000000"/>
              </w:rPr>
              <w:t>3.890146269</w:t>
            </w:r>
          </w:p>
        </w:tc>
        <w:tc>
          <w:tcPr>
            <w:tcW w:w="1645" w:type="dxa"/>
            <w:tcBorders>
              <w:top w:val="nil"/>
              <w:left w:val="nil"/>
              <w:bottom w:val="nil"/>
              <w:right w:val="nil"/>
            </w:tcBorders>
            <w:shd w:val="clear" w:color="auto" w:fill="auto"/>
            <w:noWrap/>
            <w:vAlign w:val="bottom"/>
            <w:hideMark/>
          </w:tcPr>
          <w:p w14:paraId="6A3F5086" w14:textId="77777777" w:rsidR="002872A7" w:rsidRPr="002872A7" w:rsidRDefault="002872A7" w:rsidP="002872A7">
            <w:pPr>
              <w:spacing w:after="0" w:line="240" w:lineRule="auto"/>
              <w:jc w:val="center"/>
              <w:rPr>
                <w:rFonts w:cs="Times New Roman"/>
                <w:color w:val="000000"/>
              </w:rPr>
            </w:pPr>
            <w:r w:rsidRPr="002872A7">
              <w:rPr>
                <w:rFonts w:cs="Times New Roman"/>
                <w:color w:val="000000"/>
              </w:rPr>
              <w:t>3.857497105</w:t>
            </w:r>
          </w:p>
        </w:tc>
        <w:tc>
          <w:tcPr>
            <w:tcW w:w="1645" w:type="dxa"/>
            <w:tcBorders>
              <w:top w:val="nil"/>
              <w:left w:val="single" w:sz="8" w:space="0" w:color="auto"/>
              <w:bottom w:val="nil"/>
              <w:right w:val="single" w:sz="8" w:space="0" w:color="auto"/>
            </w:tcBorders>
            <w:shd w:val="clear" w:color="auto" w:fill="auto"/>
            <w:noWrap/>
            <w:vAlign w:val="bottom"/>
            <w:hideMark/>
          </w:tcPr>
          <w:p w14:paraId="1A010AA9" w14:textId="77777777" w:rsidR="002872A7" w:rsidRPr="002872A7" w:rsidRDefault="002872A7" w:rsidP="002872A7">
            <w:pPr>
              <w:spacing w:after="0" w:line="240" w:lineRule="auto"/>
              <w:jc w:val="center"/>
              <w:rPr>
                <w:rFonts w:cs="Times New Roman"/>
                <w:color w:val="000000"/>
              </w:rPr>
            </w:pPr>
            <w:r w:rsidRPr="002872A7">
              <w:rPr>
                <w:rFonts w:cs="Times New Roman"/>
                <w:color w:val="000000"/>
              </w:rPr>
              <w:t>6.814681255</w:t>
            </w:r>
          </w:p>
        </w:tc>
        <w:tc>
          <w:tcPr>
            <w:tcW w:w="1739" w:type="dxa"/>
            <w:tcBorders>
              <w:top w:val="nil"/>
              <w:left w:val="nil"/>
              <w:bottom w:val="nil"/>
              <w:right w:val="single" w:sz="8" w:space="0" w:color="auto"/>
            </w:tcBorders>
            <w:shd w:val="clear" w:color="auto" w:fill="auto"/>
            <w:noWrap/>
            <w:vAlign w:val="bottom"/>
            <w:hideMark/>
          </w:tcPr>
          <w:p w14:paraId="3502B10A" w14:textId="77777777" w:rsidR="002872A7" w:rsidRPr="002872A7" w:rsidRDefault="002872A7" w:rsidP="002872A7">
            <w:pPr>
              <w:spacing w:after="0" w:line="240" w:lineRule="auto"/>
              <w:jc w:val="center"/>
              <w:rPr>
                <w:rFonts w:cs="Times New Roman"/>
                <w:color w:val="000000"/>
              </w:rPr>
            </w:pPr>
            <w:r w:rsidRPr="002872A7">
              <w:rPr>
                <w:rFonts w:cs="Times New Roman"/>
                <w:color w:val="000000"/>
              </w:rPr>
              <w:t>4.302191846</w:t>
            </w:r>
          </w:p>
        </w:tc>
      </w:tr>
      <w:tr w:rsidR="002872A7" w:rsidRPr="002872A7" w14:paraId="21717952" w14:textId="77777777" w:rsidTr="00452166">
        <w:trPr>
          <w:trHeight w:val="489"/>
        </w:trPr>
        <w:tc>
          <w:tcPr>
            <w:tcW w:w="2159" w:type="dxa"/>
            <w:tcBorders>
              <w:top w:val="nil"/>
              <w:left w:val="single" w:sz="8" w:space="0" w:color="auto"/>
              <w:bottom w:val="single" w:sz="8" w:space="0" w:color="auto"/>
              <w:right w:val="single" w:sz="8" w:space="0" w:color="auto"/>
            </w:tcBorders>
            <w:shd w:val="clear" w:color="auto" w:fill="auto"/>
            <w:noWrap/>
            <w:vAlign w:val="bottom"/>
            <w:hideMark/>
          </w:tcPr>
          <w:p w14:paraId="38F3DD0C" w14:textId="77777777" w:rsidR="002872A7" w:rsidRPr="002872A7" w:rsidRDefault="002872A7" w:rsidP="002872A7">
            <w:pPr>
              <w:spacing w:after="0" w:line="240" w:lineRule="auto"/>
              <w:rPr>
                <w:rFonts w:cs="Times New Roman"/>
                <w:color w:val="000000"/>
              </w:rPr>
            </w:pPr>
            <w:r w:rsidRPr="002872A7">
              <w:rPr>
                <w:rFonts w:cs="Times New Roman"/>
                <w:color w:val="000000"/>
              </w:rPr>
              <w:t>Standard deviation</w:t>
            </w:r>
          </w:p>
        </w:tc>
        <w:tc>
          <w:tcPr>
            <w:tcW w:w="1645" w:type="dxa"/>
            <w:tcBorders>
              <w:top w:val="nil"/>
              <w:left w:val="nil"/>
              <w:bottom w:val="single" w:sz="8" w:space="0" w:color="auto"/>
              <w:right w:val="single" w:sz="8" w:space="0" w:color="auto"/>
            </w:tcBorders>
            <w:shd w:val="clear" w:color="auto" w:fill="auto"/>
            <w:noWrap/>
            <w:vAlign w:val="bottom"/>
            <w:hideMark/>
          </w:tcPr>
          <w:p w14:paraId="7E73E60E" w14:textId="77777777" w:rsidR="002872A7" w:rsidRPr="002872A7" w:rsidRDefault="002872A7" w:rsidP="002872A7">
            <w:pPr>
              <w:spacing w:after="0" w:line="240" w:lineRule="auto"/>
              <w:jc w:val="center"/>
              <w:rPr>
                <w:rFonts w:cs="Times New Roman"/>
                <w:color w:val="000000"/>
              </w:rPr>
            </w:pPr>
            <w:r w:rsidRPr="002872A7">
              <w:rPr>
                <w:rFonts w:cs="Times New Roman"/>
                <w:color w:val="000000"/>
              </w:rPr>
              <w:t>1.441803241</w:t>
            </w:r>
          </w:p>
        </w:tc>
        <w:tc>
          <w:tcPr>
            <w:tcW w:w="1645" w:type="dxa"/>
            <w:tcBorders>
              <w:top w:val="nil"/>
              <w:left w:val="nil"/>
              <w:bottom w:val="single" w:sz="8" w:space="0" w:color="auto"/>
              <w:right w:val="nil"/>
            </w:tcBorders>
            <w:shd w:val="clear" w:color="auto" w:fill="auto"/>
            <w:noWrap/>
            <w:vAlign w:val="bottom"/>
            <w:hideMark/>
          </w:tcPr>
          <w:p w14:paraId="3F4D98FA" w14:textId="77777777" w:rsidR="002872A7" w:rsidRPr="002872A7" w:rsidRDefault="002872A7" w:rsidP="002872A7">
            <w:pPr>
              <w:spacing w:after="0" w:line="240" w:lineRule="auto"/>
              <w:jc w:val="center"/>
              <w:rPr>
                <w:rFonts w:cs="Times New Roman"/>
                <w:color w:val="000000"/>
              </w:rPr>
            </w:pPr>
            <w:r w:rsidRPr="002872A7">
              <w:rPr>
                <w:rFonts w:cs="Times New Roman"/>
                <w:color w:val="000000"/>
              </w:rPr>
              <w:t>2.462479477</w:t>
            </w:r>
          </w:p>
        </w:tc>
        <w:tc>
          <w:tcPr>
            <w:tcW w:w="1645" w:type="dxa"/>
            <w:tcBorders>
              <w:top w:val="nil"/>
              <w:left w:val="single" w:sz="8" w:space="0" w:color="auto"/>
              <w:bottom w:val="single" w:sz="8" w:space="0" w:color="auto"/>
              <w:right w:val="single" w:sz="8" w:space="0" w:color="auto"/>
            </w:tcBorders>
            <w:shd w:val="clear" w:color="auto" w:fill="auto"/>
            <w:noWrap/>
            <w:vAlign w:val="bottom"/>
            <w:hideMark/>
          </w:tcPr>
          <w:p w14:paraId="1EF28C42" w14:textId="77777777" w:rsidR="002872A7" w:rsidRPr="002872A7" w:rsidRDefault="002872A7" w:rsidP="002872A7">
            <w:pPr>
              <w:spacing w:after="0" w:line="240" w:lineRule="auto"/>
              <w:jc w:val="center"/>
              <w:rPr>
                <w:rFonts w:cs="Times New Roman"/>
                <w:color w:val="000000"/>
              </w:rPr>
            </w:pPr>
            <w:r w:rsidRPr="002872A7">
              <w:rPr>
                <w:rFonts w:cs="Times New Roman"/>
                <w:color w:val="000000"/>
              </w:rPr>
              <w:t>2.661017741</w:t>
            </w:r>
          </w:p>
        </w:tc>
        <w:tc>
          <w:tcPr>
            <w:tcW w:w="1739" w:type="dxa"/>
            <w:tcBorders>
              <w:top w:val="nil"/>
              <w:left w:val="nil"/>
              <w:bottom w:val="single" w:sz="8" w:space="0" w:color="auto"/>
              <w:right w:val="single" w:sz="8" w:space="0" w:color="auto"/>
            </w:tcBorders>
            <w:shd w:val="clear" w:color="auto" w:fill="auto"/>
            <w:noWrap/>
            <w:vAlign w:val="bottom"/>
            <w:hideMark/>
          </w:tcPr>
          <w:p w14:paraId="59FB86DC" w14:textId="77777777" w:rsidR="002872A7" w:rsidRPr="002872A7" w:rsidRDefault="002872A7" w:rsidP="002872A7">
            <w:pPr>
              <w:spacing w:after="0" w:line="240" w:lineRule="auto"/>
              <w:jc w:val="center"/>
              <w:rPr>
                <w:rFonts w:cs="Times New Roman"/>
                <w:color w:val="000000"/>
              </w:rPr>
            </w:pPr>
            <w:r w:rsidRPr="002872A7">
              <w:rPr>
                <w:rFonts w:cs="Times New Roman"/>
                <w:color w:val="000000"/>
              </w:rPr>
              <w:t>4.253710592</w:t>
            </w:r>
          </w:p>
        </w:tc>
      </w:tr>
      <w:tr w:rsidR="002872A7" w:rsidRPr="002872A7" w14:paraId="6F9D18A8" w14:textId="77777777" w:rsidTr="00452166">
        <w:trPr>
          <w:trHeight w:val="489"/>
        </w:trPr>
        <w:tc>
          <w:tcPr>
            <w:tcW w:w="2159" w:type="dxa"/>
            <w:tcBorders>
              <w:top w:val="nil"/>
              <w:left w:val="single" w:sz="8" w:space="0" w:color="auto"/>
              <w:bottom w:val="nil"/>
              <w:right w:val="nil"/>
            </w:tcBorders>
            <w:shd w:val="clear" w:color="auto" w:fill="auto"/>
            <w:noWrap/>
            <w:vAlign w:val="bottom"/>
            <w:hideMark/>
          </w:tcPr>
          <w:p w14:paraId="1947F8A3" w14:textId="77777777" w:rsidR="002872A7" w:rsidRPr="002872A7" w:rsidRDefault="002872A7" w:rsidP="002872A7">
            <w:pPr>
              <w:spacing w:after="0" w:line="240" w:lineRule="auto"/>
              <w:rPr>
                <w:rFonts w:cs="Times New Roman"/>
                <w:color w:val="000000"/>
              </w:rPr>
            </w:pPr>
            <w:r w:rsidRPr="002872A7">
              <w:rPr>
                <w:rFonts w:cs="Times New Roman"/>
                <w:color w:val="000000"/>
              </w:rPr>
              <w:t> </w:t>
            </w:r>
          </w:p>
        </w:tc>
        <w:tc>
          <w:tcPr>
            <w:tcW w:w="1645" w:type="dxa"/>
            <w:tcBorders>
              <w:top w:val="nil"/>
              <w:left w:val="nil"/>
              <w:bottom w:val="nil"/>
              <w:right w:val="nil"/>
            </w:tcBorders>
            <w:shd w:val="clear" w:color="auto" w:fill="auto"/>
            <w:noWrap/>
            <w:vAlign w:val="bottom"/>
            <w:hideMark/>
          </w:tcPr>
          <w:p w14:paraId="791A4161" w14:textId="77777777" w:rsidR="002872A7" w:rsidRPr="002872A7" w:rsidRDefault="002872A7" w:rsidP="002872A7">
            <w:pPr>
              <w:spacing w:after="0" w:line="240" w:lineRule="auto"/>
              <w:rPr>
                <w:rFonts w:cs="Times New Roman"/>
                <w:color w:val="000000"/>
              </w:rPr>
            </w:pPr>
          </w:p>
        </w:tc>
        <w:tc>
          <w:tcPr>
            <w:tcW w:w="1645" w:type="dxa"/>
            <w:tcBorders>
              <w:top w:val="nil"/>
              <w:left w:val="nil"/>
              <w:bottom w:val="nil"/>
              <w:right w:val="nil"/>
            </w:tcBorders>
            <w:shd w:val="clear" w:color="auto" w:fill="auto"/>
            <w:noWrap/>
            <w:vAlign w:val="bottom"/>
            <w:hideMark/>
          </w:tcPr>
          <w:p w14:paraId="7F4B20F8" w14:textId="77777777" w:rsidR="002872A7" w:rsidRPr="002872A7" w:rsidRDefault="002872A7" w:rsidP="002872A7">
            <w:pPr>
              <w:spacing w:after="0" w:line="240" w:lineRule="auto"/>
              <w:rPr>
                <w:rFonts w:cs="Times New Roman"/>
                <w:color w:val="000000"/>
              </w:rPr>
            </w:pPr>
          </w:p>
        </w:tc>
        <w:tc>
          <w:tcPr>
            <w:tcW w:w="1645" w:type="dxa"/>
            <w:tcBorders>
              <w:top w:val="nil"/>
              <w:left w:val="nil"/>
              <w:bottom w:val="nil"/>
              <w:right w:val="nil"/>
            </w:tcBorders>
            <w:shd w:val="clear" w:color="auto" w:fill="auto"/>
            <w:noWrap/>
            <w:vAlign w:val="bottom"/>
            <w:hideMark/>
          </w:tcPr>
          <w:p w14:paraId="003CB851" w14:textId="77777777" w:rsidR="002872A7" w:rsidRPr="002872A7" w:rsidRDefault="002872A7" w:rsidP="002872A7">
            <w:pPr>
              <w:spacing w:after="0" w:line="240" w:lineRule="auto"/>
              <w:rPr>
                <w:rFonts w:cs="Times New Roman"/>
                <w:color w:val="000000"/>
              </w:rPr>
            </w:pPr>
          </w:p>
        </w:tc>
        <w:tc>
          <w:tcPr>
            <w:tcW w:w="1739" w:type="dxa"/>
            <w:tcBorders>
              <w:top w:val="nil"/>
              <w:left w:val="nil"/>
              <w:bottom w:val="nil"/>
              <w:right w:val="single" w:sz="8" w:space="0" w:color="auto"/>
            </w:tcBorders>
            <w:shd w:val="clear" w:color="auto" w:fill="auto"/>
            <w:noWrap/>
            <w:vAlign w:val="bottom"/>
            <w:hideMark/>
          </w:tcPr>
          <w:p w14:paraId="3477B665" w14:textId="77777777" w:rsidR="002872A7" w:rsidRPr="002872A7" w:rsidRDefault="002872A7" w:rsidP="002872A7">
            <w:pPr>
              <w:spacing w:after="0" w:line="240" w:lineRule="auto"/>
              <w:rPr>
                <w:rFonts w:cs="Times New Roman"/>
                <w:color w:val="000000"/>
              </w:rPr>
            </w:pPr>
            <w:r w:rsidRPr="002872A7">
              <w:rPr>
                <w:rFonts w:cs="Times New Roman"/>
                <w:color w:val="000000"/>
              </w:rPr>
              <w:t> </w:t>
            </w:r>
          </w:p>
        </w:tc>
      </w:tr>
      <w:tr w:rsidR="002872A7" w:rsidRPr="002872A7" w14:paraId="616F7623" w14:textId="77777777" w:rsidTr="00D07BBC">
        <w:trPr>
          <w:trHeight w:val="489"/>
        </w:trPr>
        <w:tc>
          <w:tcPr>
            <w:tcW w:w="2159" w:type="dxa"/>
            <w:tcBorders>
              <w:top w:val="single" w:sz="8" w:space="0" w:color="auto"/>
              <w:left w:val="single" w:sz="8" w:space="0" w:color="auto"/>
              <w:bottom w:val="nil"/>
              <w:right w:val="single" w:sz="8" w:space="0" w:color="auto"/>
            </w:tcBorders>
            <w:shd w:val="clear" w:color="auto" w:fill="auto"/>
            <w:noWrap/>
            <w:vAlign w:val="bottom"/>
            <w:hideMark/>
          </w:tcPr>
          <w:p w14:paraId="78C7D6B2" w14:textId="77777777" w:rsidR="002872A7" w:rsidRPr="002872A7" w:rsidRDefault="002872A7" w:rsidP="002872A7">
            <w:pPr>
              <w:spacing w:after="0" w:line="240" w:lineRule="auto"/>
              <w:rPr>
                <w:rFonts w:cs="Times New Roman"/>
                <w:color w:val="000000"/>
              </w:rPr>
            </w:pPr>
            <w:r w:rsidRPr="002872A7">
              <w:rPr>
                <w:rFonts w:cs="Times New Roman"/>
                <w:color w:val="000000"/>
              </w:rPr>
              <w:t> </w:t>
            </w:r>
          </w:p>
        </w:tc>
        <w:tc>
          <w:tcPr>
            <w:tcW w:w="6674" w:type="dxa"/>
            <w:gridSpan w:val="4"/>
            <w:tcBorders>
              <w:top w:val="single" w:sz="8" w:space="0" w:color="auto"/>
              <w:left w:val="nil"/>
              <w:bottom w:val="single" w:sz="8" w:space="0" w:color="auto"/>
              <w:right w:val="single" w:sz="8" w:space="0" w:color="000000"/>
            </w:tcBorders>
            <w:shd w:val="clear" w:color="auto" w:fill="auto"/>
            <w:noWrap/>
            <w:vAlign w:val="bottom"/>
            <w:hideMark/>
          </w:tcPr>
          <w:p w14:paraId="258459A3" w14:textId="77777777" w:rsidR="002872A7" w:rsidRPr="002872A7" w:rsidRDefault="002872A7" w:rsidP="002872A7">
            <w:pPr>
              <w:spacing w:after="0" w:line="240" w:lineRule="auto"/>
              <w:jc w:val="center"/>
              <w:rPr>
                <w:rFonts w:cs="Times New Roman"/>
                <w:b/>
                <w:bCs/>
                <w:color w:val="000000"/>
              </w:rPr>
            </w:pPr>
            <w:r w:rsidRPr="002872A7">
              <w:rPr>
                <w:rFonts w:cs="Times New Roman"/>
                <w:b/>
                <w:bCs/>
                <w:color w:val="000000"/>
              </w:rPr>
              <w:t>(b) Return moment estimates</w:t>
            </w:r>
          </w:p>
        </w:tc>
      </w:tr>
      <w:tr w:rsidR="002872A7" w:rsidRPr="002872A7" w14:paraId="2F53AB3D" w14:textId="77777777" w:rsidTr="00452166">
        <w:trPr>
          <w:trHeight w:val="489"/>
        </w:trPr>
        <w:tc>
          <w:tcPr>
            <w:tcW w:w="2159" w:type="dxa"/>
            <w:tcBorders>
              <w:top w:val="single" w:sz="8" w:space="0" w:color="auto"/>
              <w:left w:val="single" w:sz="8" w:space="0" w:color="auto"/>
              <w:bottom w:val="nil"/>
              <w:right w:val="single" w:sz="8" w:space="0" w:color="auto"/>
            </w:tcBorders>
            <w:shd w:val="clear" w:color="auto" w:fill="auto"/>
            <w:noWrap/>
            <w:vAlign w:val="bottom"/>
            <w:hideMark/>
          </w:tcPr>
          <w:p w14:paraId="0C141833" w14:textId="77777777" w:rsidR="002872A7" w:rsidRPr="002872A7" w:rsidRDefault="002872A7" w:rsidP="002872A7">
            <w:pPr>
              <w:spacing w:after="0" w:line="240" w:lineRule="auto"/>
              <w:rPr>
                <w:rFonts w:cs="Times New Roman"/>
                <w:color w:val="000000"/>
              </w:rPr>
            </w:pPr>
            <w:r w:rsidRPr="002872A7">
              <w:rPr>
                <w:rFonts w:cs="Times New Roman"/>
                <w:color w:val="000000"/>
              </w:rPr>
              <w:t> </w:t>
            </w:r>
          </w:p>
        </w:tc>
        <w:tc>
          <w:tcPr>
            <w:tcW w:w="1645" w:type="dxa"/>
            <w:tcBorders>
              <w:top w:val="nil"/>
              <w:left w:val="nil"/>
              <w:bottom w:val="nil"/>
              <w:right w:val="single" w:sz="8" w:space="0" w:color="auto"/>
            </w:tcBorders>
            <w:shd w:val="clear" w:color="auto" w:fill="auto"/>
            <w:noWrap/>
            <w:vAlign w:val="bottom"/>
            <w:hideMark/>
          </w:tcPr>
          <w:p w14:paraId="79F11D30" w14:textId="77777777" w:rsidR="002872A7" w:rsidRPr="002872A7" w:rsidRDefault="002872A7" w:rsidP="002872A7">
            <w:pPr>
              <w:spacing w:after="0" w:line="240" w:lineRule="auto"/>
              <w:jc w:val="center"/>
              <w:rPr>
                <w:rFonts w:cs="Times New Roman"/>
                <w:b/>
                <w:bCs/>
                <w:color w:val="000000"/>
              </w:rPr>
            </w:pPr>
            <w:r w:rsidRPr="002872A7">
              <w:rPr>
                <w:rFonts w:cs="Times New Roman"/>
                <w:b/>
                <w:bCs/>
                <w:color w:val="000000"/>
              </w:rPr>
              <w:t xml:space="preserve">BAJAJ AUTO </w:t>
            </w:r>
          </w:p>
        </w:tc>
        <w:tc>
          <w:tcPr>
            <w:tcW w:w="1645" w:type="dxa"/>
            <w:tcBorders>
              <w:top w:val="nil"/>
              <w:left w:val="nil"/>
              <w:bottom w:val="nil"/>
              <w:right w:val="nil"/>
            </w:tcBorders>
            <w:shd w:val="clear" w:color="auto" w:fill="auto"/>
            <w:noWrap/>
            <w:vAlign w:val="bottom"/>
            <w:hideMark/>
          </w:tcPr>
          <w:p w14:paraId="31F9B146" w14:textId="77777777" w:rsidR="002872A7" w:rsidRPr="002872A7" w:rsidRDefault="002872A7" w:rsidP="002872A7">
            <w:pPr>
              <w:spacing w:after="0" w:line="240" w:lineRule="auto"/>
              <w:jc w:val="center"/>
              <w:rPr>
                <w:rFonts w:cs="Times New Roman"/>
                <w:b/>
                <w:bCs/>
                <w:color w:val="000000"/>
              </w:rPr>
            </w:pPr>
            <w:r w:rsidRPr="002872A7">
              <w:rPr>
                <w:rFonts w:cs="Times New Roman"/>
                <w:b/>
                <w:bCs/>
                <w:color w:val="000000"/>
              </w:rPr>
              <w:t xml:space="preserve">CIPLA </w:t>
            </w:r>
          </w:p>
        </w:tc>
        <w:tc>
          <w:tcPr>
            <w:tcW w:w="1645" w:type="dxa"/>
            <w:tcBorders>
              <w:top w:val="nil"/>
              <w:left w:val="single" w:sz="8" w:space="0" w:color="auto"/>
              <w:bottom w:val="nil"/>
              <w:right w:val="single" w:sz="8" w:space="0" w:color="auto"/>
            </w:tcBorders>
            <w:shd w:val="clear" w:color="auto" w:fill="auto"/>
            <w:noWrap/>
            <w:vAlign w:val="bottom"/>
            <w:hideMark/>
          </w:tcPr>
          <w:p w14:paraId="5312A791" w14:textId="77777777" w:rsidR="002872A7" w:rsidRPr="002872A7" w:rsidRDefault="002872A7" w:rsidP="002872A7">
            <w:pPr>
              <w:spacing w:after="0" w:line="240" w:lineRule="auto"/>
              <w:jc w:val="center"/>
              <w:rPr>
                <w:rFonts w:cs="Times New Roman"/>
                <w:b/>
                <w:bCs/>
                <w:color w:val="000000"/>
              </w:rPr>
            </w:pPr>
            <w:r w:rsidRPr="002872A7">
              <w:rPr>
                <w:rFonts w:cs="Times New Roman"/>
                <w:b/>
                <w:bCs/>
                <w:color w:val="000000"/>
              </w:rPr>
              <w:t>ITC</w:t>
            </w:r>
          </w:p>
        </w:tc>
        <w:tc>
          <w:tcPr>
            <w:tcW w:w="1739" w:type="dxa"/>
            <w:tcBorders>
              <w:top w:val="nil"/>
              <w:left w:val="nil"/>
              <w:bottom w:val="nil"/>
              <w:right w:val="single" w:sz="8" w:space="0" w:color="auto"/>
            </w:tcBorders>
            <w:shd w:val="clear" w:color="auto" w:fill="auto"/>
            <w:noWrap/>
            <w:vAlign w:val="bottom"/>
            <w:hideMark/>
          </w:tcPr>
          <w:p w14:paraId="0DB3370D" w14:textId="77777777" w:rsidR="002872A7" w:rsidRPr="002872A7" w:rsidRDefault="002872A7" w:rsidP="002872A7">
            <w:pPr>
              <w:spacing w:after="0" w:line="240" w:lineRule="auto"/>
              <w:jc w:val="center"/>
              <w:rPr>
                <w:rFonts w:cs="Times New Roman"/>
                <w:b/>
                <w:bCs/>
                <w:color w:val="000000"/>
              </w:rPr>
            </w:pPr>
            <w:r w:rsidRPr="002872A7">
              <w:rPr>
                <w:rFonts w:cs="Times New Roman"/>
                <w:b/>
                <w:bCs/>
                <w:color w:val="000000"/>
              </w:rPr>
              <w:t xml:space="preserve">GAIL </w:t>
            </w:r>
          </w:p>
        </w:tc>
      </w:tr>
      <w:tr w:rsidR="002872A7" w:rsidRPr="002872A7" w14:paraId="0E52CAED" w14:textId="77777777" w:rsidTr="00452166">
        <w:trPr>
          <w:trHeight w:val="489"/>
        </w:trPr>
        <w:tc>
          <w:tcPr>
            <w:tcW w:w="2159" w:type="dxa"/>
            <w:tcBorders>
              <w:top w:val="nil"/>
              <w:left w:val="single" w:sz="8" w:space="0" w:color="auto"/>
              <w:bottom w:val="nil"/>
              <w:right w:val="single" w:sz="8" w:space="0" w:color="auto"/>
            </w:tcBorders>
            <w:shd w:val="clear" w:color="auto" w:fill="auto"/>
            <w:noWrap/>
            <w:vAlign w:val="bottom"/>
            <w:hideMark/>
          </w:tcPr>
          <w:p w14:paraId="37DD21DF" w14:textId="77777777" w:rsidR="002872A7" w:rsidRPr="002872A7" w:rsidRDefault="002872A7" w:rsidP="002872A7">
            <w:pPr>
              <w:spacing w:after="0" w:line="240" w:lineRule="auto"/>
              <w:rPr>
                <w:rFonts w:cs="Times New Roman"/>
                <w:b/>
                <w:bCs/>
                <w:color w:val="000000"/>
              </w:rPr>
            </w:pPr>
            <w:r w:rsidRPr="002872A7">
              <w:rPr>
                <w:rFonts w:cs="Times New Roman"/>
                <w:b/>
                <w:bCs/>
                <w:color w:val="000000"/>
              </w:rPr>
              <w:t>Skewness</w:t>
            </w:r>
          </w:p>
        </w:tc>
        <w:tc>
          <w:tcPr>
            <w:tcW w:w="1645" w:type="dxa"/>
            <w:tcBorders>
              <w:top w:val="nil"/>
              <w:left w:val="nil"/>
              <w:bottom w:val="nil"/>
              <w:right w:val="single" w:sz="8" w:space="0" w:color="auto"/>
            </w:tcBorders>
            <w:shd w:val="clear" w:color="auto" w:fill="auto"/>
            <w:noWrap/>
            <w:vAlign w:val="bottom"/>
            <w:hideMark/>
          </w:tcPr>
          <w:p w14:paraId="39693244" w14:textId="77777777" w:rsidR="002872A7" w:rsidRPr="002872A7" w:rsidRDefault="002872A7" w:rsidP="002872A7">
            <w:pPr>
              <w:spacing w:after="0" w:line="240" w:lineRule="auto"/>
              <w:rPr>
                <w:rFonts w:cs="Times New Roman"/>
                <w:color w:val="000000"/>
              </w:rPr>
            </w:pPr>
            <w:r w:rsidRPr="002872A7">
              <w:rPr>
                <w:rFonts w:cs="Times New Roman"/>
                <w:color w:val="000000"/>
              </w:rPr>
              <w:t> </w:t>
            </w:r>
          </w:p>
        </w:tc>
        <w:tc>
          <w:tcPr>
            <w:tcW w:w="1645" w:type="dxa"/>
            <w:tcBorders>
              <w:top w:val="nil"/>
              <w:left w:val="nil"/>
              <w:bottom w:val="nil"/>
              <w:right w:val="nil"/>
            </w:tcBorders>
            <w:shd w:val="clear" w:color="auto" w:fill="auto"/>
            <w:noWrap/>
            <w:vAlign w:val="bottom"/>
            <w:hideMark/>
          </w:tcPr>
          <w:p w14:paraId="13BA34C5" w14:textId="77777777" w:rsidR="002872A7" w:rsidRPr="002872A7" w:rsidRDefault="002872A7" w:rsidP="002872A7">
            <w:pPr>
              <w:spacing w:after="0" w:line="240" w:lineRule="auto"/>
              <w:rPr>
                <w:rFonts w:cs="Times New Roman"/>
                <w:color w:val="000000"/>
              </w:rPr>
            </w:pPr>
          </w:p>
        </w:tc>
        <w:tc>
          <w:tcPr>
            <w:tcW w:w="1645" w:type="dxa"/>
            <w:tcBorders>
              <w:top w:val="nil"/>
              <w:left w:val="single" w:sz="8" w:space="0" w:color="auto"/>
              <w:bottom w:val="nil"/>
              <w:right w:val="single" w:sz="8" w:space="0" w:color="auto"/>
            </w:tcBorders>
            <w:shd w:val="clear" w:color="auto" w:fill="auto"/>
            <w:noWrap/>
            <w:vAlign w:val="bottom"/>
            <w:hideMark/>
          </w:tcPr>
          <w:p w14:paraId="698729C7" w14:textId="77777777" w:rsidR="002872A7" w:rsidRPr="002872A7" w:rsidRDefault="002872A7" w:rsidP="002872A7">
            <w:pPr>
              <w:spacing w:after="0" w:line="240" w:lineRule="auto"/>
              <w:rPr>
                <w:rFonts w:cs="Times New Roman"/>
                <w:color w:val="000000"/>
              </w:rPr>
            </w:pPr>
            <w:r w:rsidRPr="002872A7">
              <w:rPr>
                <w:rFonts w:cs="Times New Roman"/>
                <w:color w:val="000000"/>
              </w:rPr>
              <w:t> </w:t>
            </w:r>
          </w:p>
        </w:tc>
        <w:tc>
          <w:tcPr>
            <w:tcW w:w="1739" w:type="dxa"/>
            <w:tcBorders>
              <w:top w:val="nil"/>
              <w:left w:val="nil"/>
              <w:bottom w:val="nil"/>
              <w:right w:val="single" w:sz="8" w:space="0" w:color="auto"/>
            </w:tcBorders>
            <w:shd w:val="clear" w:color="auto" w:fill="auto"/>
            <w:noWrap/>
            <w:vAlign w:val="bottom"/>
            <w:hideMark/>
          </w:tcPr>
          <w:p w14:paraId="015AAAB0" w14:textId="77777777" w:rsidR="002872A7" w:rsidRPr="002872A7" w:rsidRDefault="002872A7" w:rsidP="002872A7">
            <w:pPr>
              <w:spacing w:after="0" w:line="240" w:lineRule="auto"/>
              <w:rPr>
                <w:rFonts w:cs="Times New Roman"/>
                <w:color w:val="000000"/>
              </w:rPr>
            </w:pPr>
            <w:r w:rsidRPr="002872A7">
              <w:rPr>
                <w:rFonts w:cs="Times New Roman"/>
                <w:color w:val="000000"/>
              </w:rPr>
              <w:t> </w:t>
            </w:r>
          </w:p>
        </w:tc>
      </w:tr>
      <w:tr w:rsidR="002872A7" w:rsidRPr="002872A7" w14:paraId="2A56D83F" w14:textId="77777777" w:rsidTr="00452166">
        <w:trPr>
          <w:trHeight w:val="466"/>
        </w:trPr>
        <w:tc>
          <w:tcPr>
            <w:tcW w:w="2159" w:type="dxa"/>
            <w:tcBorders>
              <w:top w:val="nil"/>
              <w:left w:val="single" w:sz="8" w:space="0" w:color="auto"/>
              <w:bottom w:val="nil"/>
              <w:right w:val="single" w:sz="8" w:space="0" w:color="auto"/>
            </w:tcBorders>
            <w:shd w:val="clear" w:color="auto" w:fill="auto"/>
            <w:noWrap/>
            <w:vAlign w:val="bottom"/>
            <w:hideMark/>
          </w:tcPr>
          <w:p w14:paraId="193FA74A" w14:textId="77777777" w:rsidR="002872A7" w:rsidRPr="002872A7" w:rsidRDefault="002872A7" w:rsidP="002872A7">
            <w:pPr>
              <w:spacing w:after="0" w:line="240" w:lineRule="auto"/>
              <w:rPr>
                <w:rFonts w:cs="Times New Roman"/>
                <w:color w:val="000000"/>
              </w:rPr>
            </w:pPr>
            <w:r w:rsidRPr="002872A7">
              <w:rPr>
                <w:rFonts w:cs="Times New Roman"/>
                <w:color w:val="000000"/>
              </w:rPr>
              <w:t>Mean</w:t>
            </w:r>
          </w:p>
        </w:tc>
        <w:tc>
          <w:tcPr>
            <w:tcW w:w="1645" w:type="dxa"/>
            <w:tcBorders>
              <w:top w:val="nil"/>
              <w:left w:val="nil"/>
              <w:bottom w:val="nil"/>
              <w:right w:val="single" w:sz="8" w:space="0" w:color="auto"/>
            </w:tcBorders>
            <w:shd w:val="clear" w:color="auto" w:fill="auto"/>
            <w:noWrap/>
            <w:vAlign w:val="bottom"/>
            <w:hideMark/>
          </w:tcPr>
          <w:p w14:paraId="3A0181E9" w14:textId="77777777" w:rsidR="002872A7" w:rsidRPr="002872A7" w:rsidRDefault="002872A7" w:rsidP="002872A7">
            <w:pPr>
              <w:spacing w:after="0" w:line="240" w:lineRule="auto"/>
              <w:jc w:val="center"/>
              <w:rPr>
                <w:rFonts w:cs="Times New Roman"/>
                <w:color w:val="000000"/>
              </w:rPr>
            </w:pPr>
            <w:r w:rsidRPr="002872A7">
              <w:rPr>
                <w:rFonts w:cs="Times New Roman"/>
                <w:color w:val="000000"/>
              </w:rPr>
              <w:t>0.126332404</w:t>
            </w:r>
          </w:p>
        </w:tc>
        <w:tc>
          <w:tcPr>
            <w:tcW w:w="1645" w:type="dxa"/>
            <w:tcBorders>
              <w:top w:val="nil"/>
              <w:left w:val="nil"/>
              <w:bottom w:val="nil"/>
              <w:right w:val="nil"/>
            </w:tcBorders>
            <w:shd w:val="clear" w:color="auto" w:fill="auto"/>
            <w:noWrap/>
            <w:vAlign w:val="bottom"/>
            <w:hideMark/>
          </w:tcPr>
          <w:p w14:paraId="66E1966E" w14:textId="77777777" w:rsidR="002872A7" w:rsidRPr="002872A7" w:rsidRDefault="002872A7" w:rsidP="002872A7">
            <w:pPr>
              <w:spacing w:after="0" w:line="240" w:lineRule="auto"/>
              <w:jc w:val="center"/>
              <w:rPr>
                <w:rFonts w:cs="Times New Roman"/>
                <w:color w:val="000000"/>
              </w:rPr>
            </w:pPr>
            <w:r w:rsidRPr="002872A7">
              <w:rPr>
                <w:rFonts w:cs="Times New Roman"/>
                <w:color w:val="000000"/>
              </w:rPr>
              <w:t>0.070600171</w:t>
            </w:r>
          </w:p>
        </w:tc>
        <w:tc>
          <w:tcPr>
            <w:tcW w:w="1645" w:type="dxa"/>
            <w:tcBorders>
              <w:top w:val="nil"/>
              <w:left w:val="single" w:sz="8" w:space="0" w:color="auto"/>
              <w:bottom w:val="nil"/>
              <w:right w:val="single" w:sz="8" w:space="0" w:color="auto"/>
            </w:tcBorders>
            <w:shd w:val="clear" w:color="auto" w:fill="auto"/>
            <w:noWrap/>
            <w:vAlign w:val="bottom"/>
            <w:hideMark/>
          </w:tcPr>
          <w:p w14:paraId="7754E6C1" w14:textId="77777777" w:rsidR="002872A7" w:rsidRPr="002872A7" w:rsidRDefault="002872A7" w:rsidP="002872A7">
            <w:pPr>
              <w:spacing w:after="0" w:line="240" w:lineRule="auto"/>
              <w:jc w:val="center"/>
              <w:rPr>
                <w:rFonts w:cs="Times New Roman"/>
                <w:color w:val="000000"/>
              </w:rPr>
            </w:pPr>
            <w:r w:rsidRPr="002872A7">
              <w:rPr>
                <w:rFonts w:cs="Times New Roman"/>
                <w:color w:val="000000"/>
              </w:rPr>
              <w:t>-0.05665188</w:t>
            </w:r>
          </w:p>
        </w:tc>
        <w:tc>
          <w:tcPr>
            <w:tcW w:w="1739" w:type="dxa"/>
            <w:tcBorders>
              <w:top w:val="nil"/>
              <w:left w:val="nil"/>
              <w:bottom w:val="nil"/>
              <w:right w:val="single" w:sz="8" w:space="0" w:color="auto"/>
            </w:tcBorders>
            <w:shd w:val="clear" w:color="auto" w:fill="auto"/>
            <w:noWrap/>
            <w:vAlign w:val="bottom"/>
            <w:hideMark/>
          </w:tcPr>
          <w:p w14:paraId="0F25706E" w14:textId="77777777" w:rsidR="002872A7" w:rsidRPr="002872A7" w:rsidRDefault="002872A7" w:rsidP="002872A7">
            <w:pPr>
              <w:spacing w:after="0" w:line="240" w:lineRule="auto"/>
              <w:jc w:val="center"/>
              <w:rPr>
                <w:rFonts w:cs="Times New Roman"/>
                <w:color w:val="000000"/>
              </w:rPr>
            </w:pPr>
            <w:r w:rsidRPr="002872A7">
              <w:rPr>
                <w:rFonts w:cs="Times New Roman"/>
                <w:color w:val="000000"/>
              </w:rPr>
              <w:t>0.045883306</w:t>
            </w:r>
          </w:p>
        </w:tc>
      </w:tr>
      <w:tr w:rsidR="002872A7" w:rsidRPr="002872A7" w14:paraId="1141CB5C" w14:textId="77777777" w:rsidTr="00452166">
        <w:trPr>
          <w:trHeight w:val="466"/>
        </w:trPr>
        <w:tc>
          <w:tcPr>
            <w:tcW w:w="2159" w:type="dxa"/>
            <w:tcBorders>
              <w:top w:val="nil"/>
              <w:left w:val="single" w:sz="8" w:space="0" w:color="auto"/>
              <w:bottom w:val="nil"/>
              <w:right w:val="single" w:sz="8" w:space="0" w:color="auto"/>
            </w:tcBorders>
            <w:shd w:val="clear" w:color="auto" w:fill="auto"/>
            <w:noWrap/>
            <w:vAlign w:val="bottom"/>
            <w:hideMark/>
          </w:tcPr>
          <w:p w14:paraId="60B2A9C6" w14:textId="77777777" w:rsidR="002872A7" w:rsidRPr="002872A7" w:rsidRDefault="002872A7" w:rsidP="002872A7">
            <w:pPr>
              <w:spacing w:after="0" w:line="240" w:lineRule="auto"/>
              <w:rPr>
                <w:rFonts w:cs="Times New Roman"/>
                <w:color w:val="000000"/>
              </w:rPr>
            </w:pPr>
            <w:r w:rsidRPr="002872A7">
              <w:rPr>
                <w:rFonts w:cs="Times New Roman"/>
                <w:color w:val="000000"/>
              </w:rPr>
              <w:t>Median</w:t>
            </w:r>
          </w:p>
        </w:tc>
        <w:tc>
          <w:tcPr>
            <w:tcW w:w="1645" w:type="dxa"/>
            <w:tcBorders>
              <w:top w:val="nil"/>
              <w:left w:val="nil"/>
              <w:bottom w:val="nil"/>
              <w:right w:val="single" w:sz="8" w:space="0" w:color="auto"/>
            </w:tcBorders>
            <w:shd w:val="clear" w:color="auto" w:fill="auto"/>
            <w:noWrap/>
            <w:vAlign w:val="bottom"/>
            <w:hideMark/>
          </w:tcPr>
          <w:p w14:paraId="4127F64F" w14:textId="77777777" w:rsidR="002872A7" w:rsidRPr="002872A7" w:rsidRDefault="002872A7" w:rsidP="002872A7">
            <w:pPr>
              <w:spacing w:after="0" w:line="240" w:lineRule="auto"/>
              <w:jc w:val="center"/>
              <w:rPr>
                <w:rFonts w:cs="Times New Roman"/>
                <w:color w:val="000000"/>
              </w:rPr>
            </w:pPr>
            <w:r w:rsidRPr="002872A7">
              <w:rPr>
                <w:rFonts w:cs="Times New Roman"/>
                <w:color w:val="000000"/>
              </w:rPr>
              <w:t>0.037823072</w:t>
            </w:r>
          </w:p>
        </w:tc>
        <w:tc>
          <w:tcPr>
            <w:tcW w:w="1645" w:type="dxa"/>
            <w:tcBorders>
              <w:top w:val="nil"/>
              <w:left w:val="nil"/>
              <w:bottom w:val="nil"/>
              <w:right w:val="nil"/>
            </w:tcBorders>
            <w:shd w:val="clear" w:color="auto" w:fill="auto"/>
            <w:noWrap/>
            <w:vAlign w:val="bottom"/>
            <w:hideMark/>
          </w:tcPr>
          <w:p w14:paraId="35210553" w14:textId="77777777" w:rsidR="002872A7" w:rsidRPr="002872A7" w:rsidRDefault="002872A7" w:rsidP="002872A7">
            <w:pPr>
              <w:spacing w:after="0" w:line="240" w:lineRule="auto"/>
              <w:jc w:val="center"/>
              <w:rPr>
                <w:rFonts w:cs="Times New Roman"/>
                <w:color w:val="000000"/>
              </w:rPr>
            </w:pPr>
            <w:r w:rsidRPr="002872A7">
              <w:rPr>
                <w:rFonts w:cs="Times New Roman"/>
                <w:color w:val="000000"/>
              </w:rPr>
              <w:t>0.081129108</w:t>
            </w:r>
          </w:p>
        </w:tc>
        <w:tc>
          <w:tcPr>
            <w:tcW w:w="1645" w:type="dxa"/>
            <w:tcBorders>
              <w:top w:val="nil"/>
              <w:left w:val="single" w:sz="8" w:space="0" w:color="auto"/>
              <w:bottom w:val="nil"/>
              <w:right w:val="single" w:sz="8" w:space="0" w:color="auto"/>
            </w:tcBorders>
            <w:shd w:val="clear" w:color="auto" w:fill="auto"/>
            <w:noWrap/>
            <w:vAlign w:val="bottom"/>
            <w:hideMark/>
          </w:tcPr>
          <w:p w14:paraId="4ED605B6" w14:textId="77777777" w:rsidR="002872A7" w:rsidRPr="002872A7" w:rsidRDefault="002872A7" w:rsidP="002872A7">
            <w:pPr>
              <w:spacing w:after="0" w:line="240" w:lineRule="auto"/>
              <w:jc w:val="center"/>
              <w:rPr>
                <w:rFonts w:cs="Times New Roman"/>
                <w:color w:val="000000"/>
              </w:rPr>
            </w:pPr>
            <w:r w:rsidRPr="002872A7">
              <w:rPr>
                <w:rFonts w:cs="Times New Roman"/>
                <w:color w:val="000000"/>
              </w:rPr>
              <w:t>-0.16960306</w:t>
            </w:r>
          </w:p>
        </w:tc>
        <w:tc>
          <w:tcPr>
            <w:tcW w:w="1739" w:type="dxa"/>
            <w:tcBorders>
              <w:top w:val="nil"/>
              <w:left w:val="nil"/>
              <w:bottom w:val="nil"/>
              <w:right w:val="single" w:sz="8" w:space="0" w:color="auto"/>
            </w:tcBorders>
            <w:shd w:val="clear" w:color="auto" w:fill="auto"/>
            <w:noWrap/>
            <w:vAlign w:val="bottom"/>
            <w:hideMark/>
          </w:tcPr>
          <w:p w14:paraId="03A5F8AE" w14:textId="77777777" w:rsidR="002872A7" w:rsidRPr="002872A7" w:rsidRDefault="002872A7" w:rsidP="002872A7">
            <w:pPr>
              <w:spacing w:after="0" w:line="240" w:lineRule="auto"/>
              <w:jc w:val="center"/>
              <w:rPr>
                <w:rFonts w:cs="Times New Roman"/>
                <w:color w:val="000000"/>
              </w:rPr>
            </w:pPr>
            <w:r w:rsidRPr="002872A7">
              <w:rPr>
                <w:rFonts w:cs="Times New Roman"/>
                <w:color w:val="000000"/>
              </w:rPr>
              <w:t>-0.042300135</w:t>
            </w:r>
          </w:p>
        </w:tc>
      </w:tr>
      <w:tr w:rsidR="002872A7" w:rsidRPr="002872A7" w14:paraId="2343F35E" w14:textId="77777777" w:rsidTr="00452166">
        <w:trPr>
          <w:trHeight w:val="466"/>
        </w:trPr>
        <w:tc>
          <w:tcPr>
            <w:tcW w:w="2159" w:type="dxa"/>
            <w:tcBorders>
              <w:top w:val="nil"/>
              <w:left w:val="single" w:sz="8" w:space="0" w:color="auto"/>
              <w:bottom w:val="nil"/>
              <w:right w:val="single" w:sz="8" w:space="0" w:color="auto"/>
            </w:tcBorders>
            <w:shd w:val="clear" w:color="auto" w:fill="auto"/>
            <w:noWrap/>
            <w:vAlign w:val="bottom"/>
            <w:hideMark/>
          </w:tcPr>
          <w:p w14:paraId="242338FA" w14:textId="77777777" w:rsidR="002872A7" w:rsidRPr="002872A7" w:rsidRDefault="002872A7" w:rsidP="002872A7">
            <w:pPr>
              <w:spacing w:after="0" w:line="240" w:lineRule="auto"/>
              <w:rPr>
                <w:rFonts w:cs="Times New Roman"/>
                <w:color w:val="000000"/>
              </w:rPr>
            </w:pPr>
            <w:r w:rsidRPr="002872A7">
              <w:rPr>
                <w:rFonts w:cs="Times New Roman"/>
                <w:color w:val="000000"/>
              </w:rPr>
              <w:t>Standard deviation</w:t>
            </w:r>
          </w:p>
        </w:tc>
        <w:tc>
          <w:tcPr>
            <w:tcW w:w="1645" w:type="dxa"/>
            <w:tcBorders>
              <w:top w:val="nil"/>
              <w:left w:val="nil"/>
              <w:bottom w:val="nil"/>
              <w:right w:val="single" w:sz="8" w:space="0" w:color="auto"/>
            </w:tcBorders>
            <w:shd w:val="clear" w:color="auto" w:fill="auto"/>
            <w:noWrap/>
            <w:vAlign w:val="bottom"/>
            <w:hideMark/>
          </w:tcPr>
          <w:p w14:paraId="764D9D44" w14:textId="77777777" w:rsidR="002872A7" w:rsidRPr="002872A7" w:rsidRDefault="002872A7" w:rsidP="002872A7">
            <w:pPr>
              <w:spacing w:after="0" w:line="240" w:lineRule="auto"/>
              <w:jc w:val="center"/>
              <w:rPr>
                <w:rFonts w:cs="Times New Roman"/>
                <w:color w:val="000000"/>
              </w:rPr>
            </w:pPr>
            <w:r w:rsidRPr="002872A7">
              <w:rPr>
                <w:rFonts w:cs="Times New Roman"/>
                <w:color w:val="000000"/>
              </w:rPr>
              <w:t>0.25063248</w:t>
            </w:r>
          </w:p>
        </w:tc>
        <w:tc>
          <w:tcPr>
            <w:tcW w:w="1645" w:type="dxa"/>
            <w:tcBorders>
              <w:top w:val="nil"/>
              <w:left w:val="nil"/>
              <w:bottom w:val="nil"/>
              <w:right w:val="nil"/>
            </w:tcBorders>
            <w:shd w:val="clear" w:color="auto" w:fill="auto"/>
            <w:noWrap/>
            <w:vAlign w:val="bottom"/>
            <w:hideMark/>
          </w:tcPr>
          <w:p w14:paraId="1A9740BA" w14:textId="77777777" w:rsidR="002872A7" w:rsidRPr="002872A7" w:rsidRDefault="002872A7" w:rsidP="002872A7">
            <w:pPr>
              <w:spacing w:after="0" w:line="240" w:lineRule="auto"/>
              <w:jc w:val="center"/>
              <w:rPr>
                <w:rFonts w:cs="Times New Roman"/>
                <w:color w:val="000000"/>
              </w:rPr>
            </w:pPr>
            <w:r w:rsidRPr="002872A7">
              <w:rPr>
                <w:rFonts w:cs="Times New Roman"/>
                <w:color w:val="000000"/>
              </w:rPr>
              <w:t>0.281448566</w:t>
            </w:r>
          </w:p>
        </w:tc>
        <w:tc>
          <w:tcPr>
            <w:tcW w:w="1645" w:type="dxa"/>
            <w:tcBorders>
              <w:top w:val="nil"/>
              <w:left w:val="single" w:sz="8" w:space="0" w:color="auto"/>
              <w:bottom w:val="nil"/>
              <w:right w:val="single" w:sz="8" w:space="0" w:color="auto"/>
            </w:tcBorders>
            <w:shd w:val="clear" w:color="auto" w:fill="auto"/>
            <w:noWrap/>
            <w:vAlign w:val="bottom"/>
            <w:hideMark/>
          </w:tcPr>
          <w:p w14:paraId="379ADF56" w14:textId="77777777" w:rsidR="002872A7" w:rsidRPr="002872A7" w:rsidRDefault="002872A7" w:rsidP="002872A7">
            <w:pPr>
              <w:spacing w:after="0" w:line="240" w:lineRule="auto"/>
              <w:jc w:val="center"/>
              <w:rPr>
                <w:rFonts w:cs="Times New Roman"/>
                <w:color w:val="000000"/>
              </w:rPr>
            </w:pPr>
            <w:r w:rsidRPr="002872A7">
              <w:rPr>
                <w:rFonts w:cs="Times New Roman"/>
                <w:color w:val="000000"/>
              </w:rPr>
              <w:t>0.423730486</w:t>
            </w:r>
          </w:p>
        </w:tc>
        <w:tc>
          <w:tcPr>
            <w:tcW w:w="1739" w:type="dxa"/>
            <w:tcBorders>
              <w:top w:val="nil"/>
              <w:left w:val="nil"/>
              <w:bottom w:val="nil"/>
              <w:right w:val="single" w:sz="8" w:space="0" w:color="auto"/>
            </w:tcBorders>
            <w:shd w:val="clear" w:color="auto" w:fill="auto"/>
            <w:noWrap/>
            <w:vAlign w:val="bottom"/>
            <w:hideMark/>
          </w:tcPr>
          <w:p w14:paraId="4B76AFD2" w14:textId="77777777" w:rsidR="002872A7" w:rsidRPr="002872A7" w:rsidRDefault="002872A7" w:rsidP="002872A7">
            <w:pPr>
              <w:spacing w:after="0" w:line="240" w:lineRule="auto"/>
              <w:jc w:val="center"/>
              <w:rPr>
                <w:rFonts w:cs="Times New Roman"/>
                <w:color w:val="000000"/>
              </w:rPr>
            </w:pPr>
            <w:r w:rsidRPr="002872A7">
              <w:rPr>
                <w:rFonts w:cs="Times New Roman"/>
                <w:color w:val="000000"/>
              </w:rPr>
              <w:t>0.262188642</w:t>
            </w:r>
          </w:p>
        </w:tc>
      </w:tr>
      <w:tr w:rsidR="002872A7" w:rsidRPr="002872A7" w14:paraId="1664C3F8" w14:textId="77777777" w:rsidTr="00452166">
        <w:trPr>
          <w:trHeight w:val="466"/>
        </w:trPr>
        <w:tc>
          <w:tcPr>
            <w:tcW w:w="2159" w:type="dxa"/>
            <w:tcBorders>
              <w:top w:val="nil"/>
              <w:left w:val="single" w:sz="8" w:space="0" w:color="auto"/>
              <w:bottom w:val="nil"/>
              <w:right w:val="single" w:sz="8" w:space="0" w:color="auto"/>
            </w:tcBorders>
            <w:shd w:val="clear" w:color="auto" w:fill="auto"/>
            <w:noWrap/>
            <w:vAlign w:val="bottom"/>
            <w:hideMark/>
          </w:tcPr>
          <w:p w14:paraId="00DC1C18" w14:textId="77777777" w:rsidR="002872A7" w:rsidRPr="002872A7" w:rsidRDefault="002872A7" w:rsidP="002872A7">
            <w:pPr>
              <w:spacing w:after="0" w:line="240" w:lineRule="auto"/>
              <w:rPr>
                <w:rFonts w:cs="Times New Roman"/>
                <w:color w:val="000000"/>
              </w:rPr>
            </w:pPr>
            <w:r w:rsidRPr="002872A7">
              <w:rPr>
                <w:rFonts w:cs="Times New Roman"/>
                <w:color w:val="000000"/>
              </w:rPr>
              <w:t> </w:t>
            </w:r>
          </w:p>
        </w:tc>
        <w:tc>
          <w:tcPr>
            <w:tcW w:w="1645" w:type="dxa"/>
            <w:tcBorders>
              <w:top w:val="nil"/>
              <w:left w:val="nil"/>
              <w:bottom w:val="nil"/>
              <w:right w:val="single" w:sz="8" w:space="0" w:color="auto"/>
            </w:tcBorders>
            <w:shd w:val="clear" w:color="auto" w:fill="auto"/>
            <w:noWrap/>
            <w:vAlign w:val="bottom"/>
            <w:hideMark/>
          </w:tcPr>
          <w:p w14:paraId="172E6803" w14:textId="77777777" w:rsidR="002872A7" w:rsidRPr="002872A7" w:rsidRDefault="002872A7" w:rsidP="002872A7">
            <w:pPr>
              <w:spacing w:after="0" w:line="240" w:lineRule="auto"/>
              <w:jc w:val="center"/>
              <w:rPr>
                <w:rFonts w:cs="Times New Roman"/>
                <w:color w:val="000000"/>
              </w:rPr>
            </w:pPr>
          </w:p>
        </w:tc>
        <w:tc>
          <w:tcPr>
            <w:tcW w:w="1645" w:type="dxa"/>
            <w:tcBorders>
              <w:top w:val="nil"/>
              <w:left w:val="nil"/>
              <w:bottom w:val="nil"/>
              <w:right w:val="nil"/>
            </w:tcBorders>
            <w:shd w:val="clear" w:color="auto" w:fill="auto"/>
            <w:noWrap/>
            <w:vAlign w:val="bottom"/>
            <w:hideMark/>
          </w:tcPr>
          <w:p w14:paraId="6A5903C5" w14:textId="77777777" w:rsidR="002872A7" w:rsidRPr="002872A7" w:rsidRDefault="002872A7" w:rsidP="002872A7">
            <w:pPr>
              <w:spacing w:after="0" w:line="240" w:lineRule="auto"/>
              <w:jc w:val="center"/>
              <w:rPr>
                <w:rFonts w:cs="Times New Roman"/>
                <w:color w:val="000000"/>
              </w:rPr>
            </w:pPr>
          </w:p>
        </w:tc>
        <w:tc>
          <w:tcPr>
            <w:tcW w:w="1645" w:type="dxa"/>
            <w:tcBorders>
              <w:top w:val="nil"/>
              <w:left w:val="single" w:sz="8" w:space="0" w:color="auto"/>
              <w:bottom w:val="nil"/>
              <w:right w:val="single" w:sz="8" w:space="0" w:color="auto"/>
            </w:tcBorders>
            <w:shd w:val="clear" w:color="auto" w:fill="auto"/>
            <w:noWrap/>
            <w:vAlign w:val="bottom"/>
            <w:hideMark/>
          </w:tcPr>
          <w:p w14:paraId="73F2893F" w14:textId="77777777" w:rsidR="002872A7" w:rsidRPr="002872A7" w:rsidRDefault="002872A7" w:rsidP="002872A7">
            <w:pPr>
              <w:spacing w:after="0" w:line="240" w:lineRule="auto"/>
              <w:jc w:val="center"/>
              <w:rPr>
                <w:rFonts w:cs="Times New Roman"/>
                <w:color w:val="000000"/>
              </w:rPr>
            </w:pPr>
          </w:p>
        </w:tc>
        <w:tc>
          <w:tcPr>
            <w:tcW w:w="1739" w:type="dxa"/>
            <w:tcBorders>
              <w:top w:val="nil"/>
              <w:left w:val="nil"/>
              <w:bottom w:val="nil"/>
              <w:right w:val="single" w:sz="8" w:space="0" w:color="auto"/>
            </w:tcBorders>
            <w:shd w:val="clear" w:color="auto" w:fill="auto"/>
            <w:noWrap/>
            <w:vAlign w:val="bottom"/>
            <w:hideMark/>
          </w:tcPr>
          <w:p w14:paraId="3A8834F7" w14:textId="77777777" w:rsidR="002872A7" w:rsidRPr="002872A7" w:rsidRDefault="002872A7" w:rsidP="002872A7">
            <w:pPr>
              <w:spacing w:after="0" w:line="240" w:lineRule="auto"/>
              <w:jc w:val="center"/>
              <w:rPr>
                <w:rFonts w:cs="Times New Roman"/>
                <w:color w:val="000000"/>
              </w:rPr>
            </w:pPr>
          </w:p>
        </w:tc>
      </w:tr>
      <w:tr w:rsidR="002872A7" w:rsidRPr="002872A7" w14:paraId="0462949A" w14:textId="77777777" w:rsidTr="00452166">
        <w:trPr>
          <w:trHeight w:val="466"/>
        </w:trPr>
        <w:tc>
          <w:tcPr>
            <w:tcW w:w="2159" w:type="dxa"/>
            <w:tcBorders>
              <w:top w:val="nil"/>
              <w:left w:val="single" w:sz="8" w:space="0" w:color="auto"/>
              <w:bottom w:val="nil"/>
              <w:right w:val="single" w:sz="8" w:space="0" w:color="auto"/>
            </w:tcBorders>
            <w:shd w:val="clear" w:color="auto" w:fill="auto"/>
            <w:noWrap/>
            <w:vAlign w:val="bottom"/>
            <w:hideMark/>
          </w:tcPr>
          <w:p w14:paraId="32BECB93" w14:textId="77777777" w:rsidR="002872A7" w:rsidRPr="002872A7" w:rsidRDefault="002872A7" w:rsidP="002872A7">
            <w:pPr>
              <w:spacing w:after="0" w:line="240" w:lineRule="auto"/>
              <w:rPr>
                <w:rFonts w:cs="Times New Roman"/>
                <w:b/>
                <w:bCs/>
                <w:color w:val="000000"/>
              </w:rPr>
            </w:pPr>
            <w:r w:rsidRPr="002872A7">
              <w:rPr>
                <w:rFonts w:cs="Times New Roman"/>
                <w:b/>
                <w:bCs/>
                <w:color w:val="000000"/>
              </w:rPr>
              <w:t>Kurtosis</w:t>
            </w:r>
          </w:p>
        </w:tc>
        <w:tc>
          <w:tcPr>
            <w:tcW w:w="1645" w:type="dxa"/>
            <w:tcBorders>
              <w:top w:val="nil"/>
              <w:left w:val="nil"/>
              <w:bottom w:val="nil"/>
              <w:right w:val="single" w:sz="8" w:space="0" w:color="auto"/>
            </w:tcBorders>
            <w:shd w:val="clear" w:color="auto" w:fill="auto"/>
            <w:noWrap/>
            <w:vAlign w:val="bottom"/>
            <w:hideMark/>
          </w:tcPr>
          <w:p w14:paraId="5C948F02" w14:textId="77777777" w:rsidR="002872A7" w:rsidRPr="002872A7" w:rsidRDefault="002872A7" w:rsidP="002872A7">
            <w:pPr>
              <w:spacing w:after="0" w:line="240" w:lineRule="auto"/>
              <w:jc w:val="center"/>
              <w:rPr>
                <w:rFonts w:cs="Times New Roman"/>
                <w:color w:val="000000"/>
              </w:rPr>
            </w:pPr>
          </w:p>
        </w:tc>
        <w:tc>
          <w:tcPr>
            <w:tcW w:w="1645" w:type="dxa"/>
            <w:tcBorders>
              <w:top w:val="nil"/>
              <w:left w:val="nil"/>
              <w:bottom w:val="nil"/>
              <w:right w:val="nil"/>
            </w:tcBorders>
            <w:shd w:val="clear" w:color="auto" w:fill="auto"/>
            <w:noWrap/>
            <w:vAlign w:val="bottom"/>
            <w:hideMark/>
          </w:tcPr>
          <w:p w14:paraId="4A3F19F1" w14:textId="77777777" w:rsidR="002872A7" w:rsidRPr="002872A7" w:rsidRDefault="002872A7" w:rsidP="002872A7">
            <w:pPr>
              <w:spacing w:after="0" w:line="240" w:lineRule="auto"/>
              <w:jc w:val="center"/>
              <w:rPr>
                <w:rFonts w:cs="Times New Roman"/>
                <w:color w:val="000000"/>
              </w:rPr>
            </w:pPr>
          </w:p>
        </w:tc>
        <w:tc>
          <w:tcPr>
            <w:tcW w:w="1645" w:type="dxa"/>
            <w:tcBorders>
              <w:top w:val="nil"/>
              <w:left w:val="single" w:sz="8" w:space="0" w:color="auto"/>
              <w:bottom w:val="nil"/>
              <w:right w:val="single" w:sz="8" w:space="0" w:color="auto"/>
            </w:tcBorders>
            <w:shd w:val="clear" w:color="auto" w:fill="auto"/>
            <w:noWrap/>
            <w:vAlign w:val="bottom"/>
            <w:hideMark/>
          </w:tcPr>
          <w:p w14:paraId="71D300B3" w14:textId="77777777" w:rsidR="002872A7" w:rsidRPr="002872A7" w:rsidRDefault="002872A7" w:rsidP="002872A7">
            <w:pPr>
              <w:spacing w:after="0" w:line="240" w:lineRule="auto"/>
              <w:jc w:val="center"/>
              <w:rPr>
                <w:rFonts w:cs="Times New Roman"/>
                <w:color w:val="000000"/>
              </w:rPr>
            </w:pPr>
          </w:p>
        </w:tc>
        <w:tc>
          <w:tcPr>
            <w:tcW w:w="1739" w:type="dxa"/>
            <w:tcBorders>
              <w:top w:val="nil"/>
              <w:left w:val="nil"/>
              <w:bottom w:val="nil"/>
              <w:right w:val="single" w:sz="8" w:space="0" w:color="auto"/>
            </w:tcBorders>
            <w:shd w:val="clear" w:color="auto" w:fill="auto"/>
            <w:noWrap/>
            <w:vAlign w:val="bottom"/>
            <w:hideMark/>
          </w:tcPr>
          <w:p w14:paraId="46CEBE2D" w14:textId="77777777" w:rsidR="002872A7" w:rsidRPr="002872A7" w:rsidRDefault="002872A7" w:rsidP="002872A7">
            <w:pPr>
              <w:spacing w:after="0" w:line="240" w:lineRule="auto"/>
              <w:jc w:val="center"/>
              <w:rPr>
                <w:rFonts w:cs="Times New Roman"/>
                <w:color w:val="000000"/>
              </w:rPr>
            </w:pPr>
          </w:p>
        </w:tc>
      </w:tr>
      <w:tr w:rsidR="002872A7" w:rsidRPr="002872A7" w14:paraId="1E8E471C" w14:textId="77777777" w:rsidTr="00452166">
        <w:trPr>
          <w:trHeight w:val="466"/>
        </w:trPr>
        <w:tc>
          <w:tcPr>
            <w:tcW w:w="2159" w:type="dxa"/>
            <w:tcBorders>
              <w:top w:val="nil"/>
              <w:left w:val="single" w:sz="8" w:space="0" w:color="auto"/>
              <w:bottom w:val="nil"/>
              <w:right w:val="single" w:sz="8" w:space="0" w:color="auto"/>
            </w:tcBorders>
            <w:shd w:val="clear" w:color="auto" w:fill="auto"/>
            <w:noWrap/>
            <w:vAlign w:val="bottom"/>
            <w:hideMark/>
          </w:tcPr>
          <w:p w14:paraId="54EB79A9" w14:textId="77777777" w:rsidR="002872A7" w:rsidRPr="002872A7" w:rsidRDefault="002872A7" w:rsidP="002872A7">
            <w:pPr>
              <w:spacing w:after="0" w:line="240" w:lineRule="auto"/>
              <w:rPr>
                <w:rFonts w:cs="Times New Roman"/>
                <w:color w:val="000000"/>
              </w:rPr>
            </w:pPr>
            <w:r w:rsidRPr="002872A7">
              <w:rPr>
                <w:rFonts w:cs="Times New Roman"/>
                <w:color w:val="000000"/>
              </w:rPr>
              <w:t>Mean</w:t>
            </w:r>
          </w:p>
        </w:tc>
        <w:tc>
          <w:tcPr>
            <w:tcW w:w="1645" w:type="dxa"/>
            <w:tcBorders>
              <w:top w:val="nil"/>
              <w:left w:val="nil"/>
              <w:bottom w:val="nil"/>
              <w:right w:val="single" w:sz="8" w:space="0" w:color="auto"/>
            </w:tcBorders>
            <w:shd w:val="clear" w:color="auto" w:fill="auto"/>
            <w:noWrap/>
            <w:vAlign w:val="bottom"/>
            <w:hideMark/>
          </w:tcPr>
          <w:p w14:paraId="68A73E8E" w14:textId="77777777" w:rsidR="002872A7" w:rsidRPr="002872A7" w:rsidRDefault="002872A7" w:rsidP="002872A7">
            <w:pPr>
              <w:spacing w:after="0" w:line="240" w:lineRule="auto"/>
              <w:jc w:val="center"/>
              <w:rPr>
                <w:rFonts w:cs="Times New Roman"/>
                <w:color w:val="000000"/>
              </w:rPr>
            </w:pPr>
            <w:r w:rsidRPr="002872A7">
              <w:rPr>
                <w:rFonts w:cs="Times New Roman"/>
                <w:color w:val="000000"/>
              </w:rPr>
              <w:t>0.851454442</w:t>
            </w:r>
          </w:p>
        </w:tc>
        <w:tc>
          <w:tcPr>
            <w:tcW w:w="1645" w:type="dxa"/>
            <w:tcBorders>
              <w:top w:val="nil"/>
              <w:left w:val="nil"/>
              <w:bottom w:val="nil"/>
              <w:right w:val="nil"/>
            </w:tcBorders>
            <w:shd w:val="clear" w:color="auto" w:fill="auto"/>
            <w:noWrap/>
            <w:vAlign w:val="bottom"/>
            <w:hideMark/>
          </w:tcPr>
          <w:p w14:paraId="7317B895" w14:textId="77777777" w:rsidR="002872A7" w:rsidRPr="002872A7" w:rsidRDefault="002872A7" w:rsidP="002872A7">
            <w:pPr>
              <w:spacing w:after="0" w:line="240" w:lineRule="auto"/>
              <w:jc w:val="center"/>
              <w:rPr>
                <w:rFonts w:cs="Times New Roman"/>
                <w:color w:val="000000"/>
              </w:rPr>
            </w:pPr>
            <w:r w:rsidRPr="002872A7">
              <w:rPr>
                <w:rFonts w:cs="Times New Roman"/>
                <w:color w:val="000000"/>
              </w:rPr>
              <w:t>1.674145</w:t>
            </w:r>
          </w:p>
        </w:tc>
        <w:tc>
          <w:tcPr>
            <w:tcW w:w="1645" w:type="dxa"/>
            <w:tcBorders>
              <w:top w:val="nil"/>
              <w:left w:val="single" w:sz="8" w:space="0" w:color="auto"/>
              <w:bottom w:val="nil"/>
              <w:right w:val="single" w:sz="8" w:space="0" w:color="auto"/>
            </w:tcBorders>
            <w:shd w:val="clear" w:color="auto" w:fill="auto"/>
            <w:noWrap/>
            <w:vAlign w:val="bottom"/>
            <w:hideMark/>
          </w:tcPr>
          <w:p w14:paraId="701114A7" w14:textId="77777777" w:rsidR="002872A7" w:rsidRPr="002872A7" w:rsidRDefault="002872A7" w:rsidP="002872A7">
            <w:pPr>
              <w:spacing w:after="0" w:line="240" w:lineRule="auto"/>
              <w:jc w:val="center"/>
              <w:rPr>
                <w:rFonts w:cs="Times New Roman"/>
                <w:color w:val="000000"/>
              </w:rPr>
            </w:pPr>
            <w:r w:rsidRPr="002872A7">
              <w:rPr>
                <w:rFonts w:cs="Times New Roman"/>
                <w:color w:val="000000"/>
              </w:rPr>
              <w:t>1.882035737</w:t>
            </w:r>
          </w:p>
        </w:tc>
        <w:tc>
          <w:tcPr>
            <w:tcW w:w="1739" w:type="dxa"/>
            <w:tcBorders>
              <w:top w:val="nil"/>
              <w:left w:val="nil"/>
              <w:bottom w:val="nil"/>
              <w:right w:val="single" w:sz="8" w:space="0" w:color="auto"/>
            </w:tcBorders>
            <w:shd w:val="clear" w:color="auto" w:fill="auto"/>
            <w:noWrap/>
            <w:vAlign w:val="bottom"/>
            <w:hideMark/>
          </w:tcPr>
          <w:p w14:paraId="5A52337E" w14:textId="77777777" w:rsidR="002872A7" w:rsidRPr="002872A7" w:rsidRDefault="002872A7" w:rsidP="002872A7">
            <w:pPr>
              <w:spacing w:after="0" w:line="240" w:lineRule="auto"/>
              <w:jc w:val="center"/>
              <w:rPr>
                <w:rFonts w:cs="Times New Roman"/>
                <w:color w:val="000000"/>
              </w:rPr>
            </w:pPr>
            <w:r w:rsidRPr="002872A7">
              <w:rPr>
                <w:rFonts w:cs="Times New Roman"/>
                <w:color w:val="000000"/>
              </w:rPr>
              <w:t>0.485880215</w:t>
            </w:r>
          </w:p>
        </w:tc>
      </w:tr>
      <w:tr w:rsidR="002872A7" w:rsidRPr="002872A7" w14:paraId="4E4522D8" w14:textId="77777777" w:rsidTr="00452166">
        <w:trPr>
          <w:trHeight w:val="466"/>
        </w:trPr>
        <w:tc>
          <w:tcPr>
            <w:tcW w:w="2159" w:type="dxa"/>
            <w:tcBorders>
              <w:top w:val="nil"/>
              <w:left w:val="single" w:sz="8" w:space="0" w:color="auto"/>
              <w:bottom w:val="nil"/>
              <w:right w:val="single" w:sz="8" w:space="0" w:color="auto"/>
            </w:tcBorders>
            <w:shd w:val="clear" w:color="auto" w:fill="auto"/>
            <w:noWrap/>
            <w:vAlign w:val="bottom"/>
            <w:hideMark/>
          </w:tcPr>
          <w:p w14:paraId="534ACAF2" w14:textId="77777777" w:rsidR="002872A7" w:rsidRPr="002872A7" w:rsidRDefault="002872A7" w:rsidP="002872A7">
            <w:pPr>
              <w:spacing w:after="0" w:line="240" w:lineRule="auto"/>
              <w:rPr>
                <w:rFonts w:cs="Times New Roman"/>
                <w:color w:val="000000"/>
              </w:rPr>
            </w:pPr>
            <w:r w:rsidRPr="002872A7">
              <w:rPr>
                <w:rFonts w:cs="Times New Roman"/>
                <w:color w:val="000000"/>
              </w:rPr>
              <w:t>Median</w:t>
            </w:r>
          </w:p>
        </w:tc>
        <w:tc>
          <w:tcPr>
            <w:tcW w:w="1645" w:type="dxa"/>
            <w:tcBorders>
              <w:top w:val="nil"/>
              <w:left w:val="nil"/>
              <w:bottom w:val="nil"/>
              <w:right w:val="single" w:sz="8" w:space="0" w:color="auto"/>
            </w:tcBorders>
            <w:shd w:val="clear" w:color="auto" w:fill="auto"/>
            <w:noWrap/>
            <w:vAlign w:val="bottom"/>
            <w:hideMark/>
          </w:tcPr>
          <w:p w14:paraId="77589495" w14:textId="77777777" w:rsidR="002872A7" w:rsidRPr="002872A7" w:rsidRDefault="002872A7" w:rsidP="002872A7">
            <w:pPr>
              <w:spacing w:after="0" w:line="240" w:lineRule="auto"/>
              <w:jc w:val="center"/>
              <w:rPr>
                <w:rFonts w:cs="Times New Roman"/>
                <w:color w:val="000000"/>
              </w:rPr>
            </w:pPr>
            <w:r w:rsidRPr="002872A7">
              <w:rPr>
                <w:rFonts w:cs="Times New Roman"/>
                <w:color w:val="000000"/>
              </w:rPr>
              <w:t>0.902888808</w:t>
            </w:r>
          </w:p>
        </w:tc>
        <w:tc>
          <w:tcPr>
            <w:tcW w:w="1645" w:type="dxa"/>
            <w:tcBorders>
              <w:top w:val="nil"/>
              <w:left w:val="nil"/>
              <w:bottom w:val="nil"/>
              <w:right w:val="nil"/>
            </w:tcBorders>
            <w:shd w:val="clear" w:color="auto" w:fill="auto"/>
            <w:noWrap/>
            <w:vAlign w:val="bottom"/>
            <w:hideMark/>
          </w:tcPr>
          <w:p w14:paraId="1C48FCD6" w14:textId="77777777" w:rsidR="002872A7" w:rsidRPr="002872A7" w:rsidRDefault="002872A7" w:rsidP="002872A7">
            <w:pPr>
              <w:spacing w:after="0" w:line="240" w:lineRule="auto"/>
              <w:jc w:val="center"/>
              <w:rPr>
                <w:rFonts w:cs="Times New Roman"/>
                <w:color w:val="000000"/>
              </w:rPr>
            </w:pPr>
            <w:r w:rsidRPr="002872A7">
              <w:rPr>
                <w:rFonts w:cs="Times New Roman"/>
                <w:color w:val="000000"/>
              </w:rPr>
              <w:t>1.424672729</w:t>
            </w:r>
          </w:p>
        </w:tc>
        <w:tc>
          <w:tcPr>
            <w:tcW w:w="1645" w:type="dxa"/>
            <w:tcBorders>
              <w:top w:val="nil"/>
              <w:left w:val="single" w:sz="8" w:space="0" w:color="auto"/>
              <w:bottom w:val="nil"/>
              <w:right w:val="single" w:sz="8" w:space="0" w:color="auto"/>
            </w:tcBorders>
            <w:shd w:val="clear" w:color="auto" w:fill="auto"/>
            <w:noWrap/>
            <w:vAlign w:val="bottom"/>
            <w:hideMark/>
          </w:tcPr>
          <w:p w14:paraId="37185604" w14:textId="77777777" w:rsidR="002872A7" w:rsidRPr="002872A7" w:rsidRDefault="002872A7" w:rsidP="002872A7">
            <w:pPr>
              <w:spacing w:after="0" w:line="240" w:lineRule="auto"/>
              <w:jc w:val="center"/>
              <w:rPr>
                <w:rFonts w:cs="Times New Roman"/>
                <w:color w:val="000000"/>
              </w:rPr>
            </w:pPr>
            <w:r w:rsidRPr="002872A7">
              <w:rPr>
                <w:rFonts w:cs="Times New Roman"/>
                <w:color w:val="000000"/>
              </w:rPr>
              <w:t>1.858183712</w:t>
            </w:r>
          </w:p>
        </w:tc>
        <w:tc>
          <w:tcPr>
            <w:tcW w:w="1739" w:type="dxa"/>
            <w:tcBorders>
              <w:top w:val="nil"/>
              <w:left w:val="nil"/>
              <w:bottom w:val="nil"/>
              <w:right w:val="single" w:sz="8" w:space="0" w:color="auto"/>
            </w:tcBorders>
            <w:shd w:val="clear" w:color="auto" w:fill="auto"/>
            <w:noWrap/>
            <w:vAlign w:val="bottom"/>
            <w:hideMark/>
          </w:tcPr>
          <w:p w14:paraId="3BA89ABD" w14:textId="77777777" w:rsidR="002872A7" w:rsidRPr="002872A7" w:rsidRDefault="002872A7" w:rsidP="002872A7">
            <w:pPr>
              <w:spacing w:after="0" w:line="240" w:lineRule="auto"/>
              <w:jc w:val="center"/>
              <w:rPr>
                <w:rFonts w:cs="Times New Roman"/>
                <w:color w:val="000000"/>
              </w:rPr>
            </w:pPr>
            <w:r w:rsidRPr="002872A7">
              <w:rPr>
                <w:rFonts w:cs="Times New Roman"/>
                <w:color w:val="000000"/>
              </w:rPr>
              <w:t>0.337319939</w:t>
            </w:r>
          </w:p>
        </w:tc>
      </w:tr>
      <w:tr w:rsidR="002872A7" w:rsidRPr="002872A7" w14:paraId="348E8BB5" w14:textId="77777777" w:rsidTr="00452166">
        <w:trPr>
          <w:trHeight w:val="489"/>
        </w:trPr>
        <w:tc>
          <w:tcPr>
            <w:tcW w:w="2159" w:type="dxa"/>
            <w:tcBorders>
              <w:top w:val="nil"/>
              <w:left w:val="single" w:sz="8" w:space="0" w:color="auto"/>
              <w:bottom w:val="single" w:sz="8" w:space="0" w:color="auto"/>
              <w:right w:val="single" w:sz="8" w:space="0" w:color="auto"/>
            </w:tcBorders>
            <w:shd w:val="clear" w:color="auto" w:fill="auto"/>
            <w:noWrap/>
            <w:vAlign w:val="bottom"/>
            <w:hideMark/>
          </w:tcPr>
          <w:p w14:paraId="4D569EAC" w14:textId="77777777" w:rsidR="002872A7" w:rsidRPr="002872A7" w:rsidRDefault="002872A7" w:rsidP="002872A7">
            <w:pPr>
              <w:spacing w:after="0" w:line="240" w:lineRule="auto"/>
              <w:rPr>
                <w:rFonts w:cs="Times New Roman"/>
                <w:color w:val="000000"/>
              </w:rPr>
            </w:pPr>
            <w:r w:rsidRPr="002872A7">
              <w:rPr>
                <w:rFonts w:cs="Times New Roman"/>
                <w:color w:val="000000"/>
              </w:rPr>
              <w:t>Standard deviation</w:t>
            </w:r>
          </w:p>
        </w:tc>
        <w:tc>
          <w:tcPr>
            <w:tcW w:w="1645" w:type="dxa"/>
            <w:tcBorders>
              <w:top w:val="nil"/>
              <w:left w:val="nil"/>
              <w:bottom w:val="single" w:sz="8" w:space="0" w:color="auto"/>
              <w:right w:val="single" w:sz="8" w:space="0" w:color="auto"/>
            </w:tcBorders>
            <w:shd w:val="clear" w:color="auto" w:fill="auto"/>
            <w:noWrap/>
            <w:vAlign w:val="bottom"/>
            <w:hideMark/>
          </w:tcPr>
          <w:p w14:paraId="0F11FD09" w14:textId="77777777" w:rsidR="002872A7" w:rsidRPr="002872A7" w:rsidRDefault="002872A7" w:rsidP="002872A7">
            <w:pPr>
              <w:spacing w:after="0" w:line="240" w:lineRule="auto"/>
              <w:jc w:val="center"/>
              <w:rPr>
                <w:rFonts w:cs="Times New Roman"/>
                <w:color w:val="000000"/>
              </w:rPr>
            </w:pPr>
            <w:r w:rsidRPr="002872A7">
              <w:rPr>
                <w:rFonts w:cs="Times New Roman"/>
                <w:color w:val="000000"/>
              </w:rPr>
              <w:t>0.3489489</w:t>
            </w:r>
          </w:p>
        </w:tc>
        <w:tc>
          <w:tcPr>
            <w:tcW w:w="1645" w:type="dxa"/>
            <w:tcBorders>
              <w:top w:val="nil"/>
              <w:left w:val="nil"/>
              <w:bottom w:val="single" w:sz="8" w:space="0" w:color="auto"/>
              <w:right w:val="nil"/>
            </w:tcBorders>
            <w:shd w:val="clear" w:color="auto" w:fill="auto"/>
            <w:noWrap/>
            <w:vAlign w:val="bottom"/>
            <w:hideMark/>
          </w:tcPr>
          <w:p w14:paraId="4024FFDC" w14:textId="77777777" w:rsidR="002872A7" w:rsidRPr="002872A7" w:rsidRDefault="002872A7" w:rsidP="002872A7">
            <w:pPr>
              <w:spacing w:after="0" w:line="240" w:lineRule="auto"/>
              <w:jc w:val="center"/>
              <w:rPr>
                <w:rFonts w:cs="Times New Roman"/>
                <w:color w:val="000000"/>
              </w:rPr>
            </w:pPr>
            <w:r w:rsidRPr="002872A7">
              <w:rPr>
                <w:rFonts w:cs="Times New Roman"/>
                <w:color w:val="000000"/>
              </w:rPr>
              <w:t>0.915809932</w:t>
            </w:r>
          </w:p>
        </w:tc>
        <w:tc>
          <w:tcPr>
            <w:tcW w:w="1645" w:type="dxa"/>
            <w:tcBorders>
              <w:top w:val="nil"/>
              <w:left w:val="single" w:sz="8" w:space="0" w:color="auto"/>
              <w:bottom w:val="single" w:sz="8" w:space="0" w:color="auto"/>
              <w:right w:val="single" w:sz="8" w:space="0" w:color="auto"/>
            </w:tcBorders>
            <w:shd w:val="clear" w:color="auto" w:fill="auto"/>
            <w:noWrap/>
            <w:vAlign w:val="bottom"/>
            <w:hideMark/>
          </w:tcPr>
          <w:p w14:paraId="66788099" w14:textId="77777777" w:rsidR="002872A7" w:rsidRPr="002872A7" w:rsidRDefault="002872A7" w:rsidP="002872A7">
            <w:pPr>
              <w:spacing w:after="0" w:line="240" w:lineRule="auto"/>
              <w:jc w:val="center"/>
              <w:rPr>
                <w:rFonts w:cs="Times New Roman"/>
                <w:color w:val="000000"/>
              </w:rPr>
            </w:pPr>
            <w:r w:rsidRPr="002872A7">
              <w:rPr>
                <w:rFonts w:cs="Times New Roman"/>
                <w:color w:val="000000"/>
              </w:rPr>
              <w:t>0.977181887</w:t>
            </w:r>
          </w:p>
        </w:tc>
        <w:tc>
          <w:tcPr>
            <w:tcW w:w="1739" w:type="dxa"/>
            <w:tcBorders>
              <w:top w:val="nil"/>
              <w:left w:val="nil"/>
              <w:bottom w:val="single" w:sz="8" w:space="0" w:color="auto"/>
              <w:right w:val="single" w:sz="8" w:space="0" w:color="auto"/>
            </w:tcBorders>
            <w:shd w:val="clear" w:color="auto" w:fill="auto"/>
            <w:noWrap/>
            <w:vAlign w:val="bottom"/>
            <w:hideMark/>
          </w:tcPr>
          <w:p w14:paraId="37EA5A14" w14:textId="77777777" w:rsidR="002872A7" w:rsidRPr="002872A7" w:rsidRDefault="002872A7" w:rsidP="002872A7">
            <w:pPr>
              <w:spacing w:after="0" w:line="240" w:lineRule="auto"/>
              <w:jc w:val="center"/>
              <w:rPr>
                <w:rFonts w:cs="Times New Roman"/>
                <w:color w:val="000000"/>
              </w:rPr>
            </w:pPr>
            <w:r w:rsidRPr="002872A7">
              <w:rPr>
                <w:rFonts w:cs="Times New Roman"/>
                <w:color w:val="000000"/>
              </w:rPr>
              <w:t>0.549955371</w:t>
            </w:r>
          </w:p>
        </w:tc>
      </w:tr>
    </w:tbl>
    <w:p w14:paraId="5B925B72" w14:textId="77777777" w:rsidR="00452166" w:rsidRDefault="00452166" w:rsidP="00452166">
      <w:pPr>
        <w:autoSpaceDE w:val="0"/>
        <w:autoSpaceDN w:val="0"/>
        <w:adjustRightInd w:val="0"/>
        <w:spacing w:line="480" w:lineRule="auto"/>
        <w:jc w:val="both"/>
        <w:rPr>
          <w:rFonts w:ascii="Times New Roman" w:hAnsi="Times New Roman" w:cs="Times New Roman"/>
          <w:sz w:val="24"/>
          <w:szCs w:val="24"/>
        </w:rPr>
      </w:pPr>
    </w:p>
    <w:p w14:paraId="18CB0333" w14:textId="77777777" w:rsidR="00452166" w:rsidRDefault="00452166" w:rsidP="00452166">
      <w:pPr>
        <w:autoSpaceDE w:val="0"/>
        <w:autoSpaceDN w:val="0"/>
        <w:adjustRightInd w:val="0"/>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E</w:t>
      </w:r>
      <w:r w:rsidRPr="00976FD9">
        <w:rPr>
          <w:rFonts w:ascii="Times New Roman" w:hAnsi="Times New Roman" w:cs="Times New Roman"/>
          <w:sz w:val="24"/>
          <w:szCs w:val="24"/>
        </w:rPr>
        <w:t xml:space="preserve">mpirical 99% percentile estimate of </w:t>
      </w:r>
      <m:oMath>
        <m:sSub>
          <m:sSubPr>
            <m:ctrlPr>
              <w:rPr>
                <w:rFonts w:ascii="Cambria Math" w:hAnsi="Cambria Math" w:cs="Times New Roman"/>
                <w:i/>
                <w:sz w:val="24"/>
                <w:szCs w:val="24"/>
              </w:rPr>
            </m:ctrlPr>
          </m:sSubPr>
          <m:e>
            <m:acc>
              <m:accPr>
                <m:ctrlPr>
                  <w:rPr>
                    <w:rFonts w:ascii="Cambria Math" w:hAnsi="Cambria Math" w:cs="Times New Roman"/>
                    <w:i/>
                    <w:sz w:val="24"/>
                    <w:szCs w:val="24"/>
                  </w:rPr>
                </m:ctrlPr>
              </m:accPr>
              <m:e>
                <m:r>
                  <w:rPr>
                    <w:rFonts w:ascii="Cambria Math" w:hAnsi="Cambria Math" w:cs="Times New Roman"/>
                    <w:sz w:val="24"/>
                    <w:szCs w:val="24"/>
                  </w:rPr>
                  <m:t>z</m:t>
                </m:r>
              </m:e>
            </m:acc>
          </m:e>
          <m:sub>
            <m:r>
              <w:rPr>
                <w:rFonts w:ascii="Cambria Math" w:hAnsi="Cambria Math" w:cs="Times New Roman"/>
                <w:sz w:val="24"/>
                <w:szCs w:val="24"/>
              </w:rPr>
              <m:t>α</m:t>
            </m:r>
          </m:sub>
        </m:sSub>
      </m:oMath>
      <w:r w:rsidRPr="00976FD9">
        <w:rPr>
          <w:rFonts w:ascii="Times New Roman" w:hAnsi="Times New Roman" w:cs="Times New Roman"/>
          <w:noProof/>
          <w:sz w:val="24"/>
          <w:szCs w:val="24"/>
          <w:lang w:val="en-IN" w:eastAsia="en-IN"/>
        </w:rPr>
        <w:t xml:space="preserve">(S) </w:t>
      </w:r>
      <w:r w:rsidR="00876C49">
        <w:rPr>
          <w:rFonts w:ascii="Times New Roman" w:hAnsi="Times New Roman" w:cs="Times New Roman"/>
          <w:noProof/>
          <w:sz w:val="24"/>
          <w:szCs w:val="24"/>
          <w:lang w:val="en-IN" w:eastAsia="en-IN"/>
        </w:rPr>
        <w:t>shown in Table 4</w:t>
      </w:r>
      <w:r>
        <w:rPr>
          <w:rFonts w:ascii="Times New Roman" w:hAnsi="Times New Roman" w:cs="Times New Roman"/>
          <w:noProof/>
          <w:sz w:val="24"/>
          <w:szCs w:val="24"/>
          <w:lang w:val="en-IN" w:eastAsia="en-IN"/>
        </w:rPr>
        <w:t xml:space="preserve"> are calculated according to the Bangia et al. (2002) framework </w:t>
      </w:r>
      <w:r>
        <w:rPr>
          <w:rFonts w:ascii="Times New Roman" w:hAnsi="Times New Roman" w:cs="Times New Roman"/>
          <w:sz w:val="24"/>
          <w:szCs w:val="24"/>
        </w:rPr>
        <w:t>as:</w:t>
      </w:r>
    </w:p>
    <w:p w14:paraId="3F468CC0" w14:textId="77777777" w:rsidR="00452166" w:rsidRDefault="00EC34E3" w:rsidP="00452166">
      <w:pPr>
        <w:spacing w:line="480" w:lineRule="auto"/>
        <w:jc w:val="both"/>
        <w:rPr>
          <w:rFonts w:ascii="Times New Roman" w:hAnsi="Times New Roman" w:cs="Times New Roman"/>
          <w:sz w:val="24"/>
          <w:szCs w:val="24"/>
        </w:rPr>
      </w:pPr>
      <m:oMath>
        <m:sSub>
          <m:sSubPr>
            <m:ctrlPr>
              <w:rPr>
                <w:rFonts w:ascii="Cambria Math" w:hAnsi="Cambria Math" w:cs="Times New Roman"/>
                <w:i/>
                <w:sz w:val="24"/>
                <w:szCs w:val="24"/>
              </w:rPr>
            </m:ctrlPr>
          </m:sSubPr>
          <m:e>
            <m:acc>
              <m:accPr>
                <m:ctrlPr>
                  <w:rPr>
                    <w:rFonts w:ascii="Cambria Math" w:hAnsi="Cambria Math" w:cs="Times New Roman"/>
                    <w:i/>
                    <w:sz w:val="24"/>
                    <w:szCs w:val="24"/>
                  </w:rPr>
                </m:ctrlPr>
              </m:accPr>
              <m:e>
                <m:r>
                  <w:rPr>
                    <w:rFonts w:ascii="Cambria Math" w:hAnsi="Cambria Math" w:cs="Times New Roman"/>
                    <w:sz w:val="24"/>
                    <w:szCs w:val="24"/>
                  </w:rPr>
                  <m:t>z</m:t>
                </m:r>
              </m:e>
            </m:acc>
          </m:e>
          <m:sub>
            <m:r>
              <w:rPr>
                <w:rFonts w:ascii="Cambria Math" w:hAnsi="Cambria Math" w:cs="Times New Roman"/>
                <w:sz w:val="24"/>
                <w:szCs w:val="24"/>
              </w:rPr>
              <m:t>α</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m:t>
            </m:r>
            <m:acc>
              <m:accPr>
                <m:ctrlPr>
                  <w:rPr>
                    <w:rFonts w:ascii="Cambria Math" w:hAnsi="Cambria Math" w:cs="Times New Roman"/>
                    <w:i/>
                    <w:sz w:val="24"/>
                    <w:szCs w:val="24"/>
                  </w:rPr>
                </m:ctrlPr>
              </m:accPr>
              <m:e>
                <m:r>
                  <w:rPr>
                    <w:rFonts w:ascii="Cambria Math" w:hAnsi="Cambria Math" w:cs="Times New Roman"/>
                    <w:sz w:val="24"/>
                    <w:szCs w:val="24"/>
                  </w:rPr>
                  <m:t>S</m:t>
                </m:r>
              </m:e>
            </m:acc>
          </m:e>
          <m:sub>
            <m:r>
              <w:rPr>
                <w:rFonts w:ascii="Cambria Math" w:hAnsi="Cambria Math" w:cs="Times New Roman"/>
                <w:sz w:val="24"/>
                <w:szCs w:val="24"/>
              </w:rPr>
              <m:t>α</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μ</m:t>
            </m:r>
          </m:e>
          <m:sub>
            <m:r>
              <w:rPr>
                <w:rFonts w:ascii="Cambria Math" w:hAnsi="Cambria Math" w:cs="Times New Roman"/>
                <w:sz w:val="24"/>
                <w:szCs w:val="24"/>
              </w:rPr>
              <m:t>S</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σ</m:t>
            </m:r>
          </m:e>
          <m:sub>
            <m:r>
              <w:rPr>
                <w:rFonts w:ascii="Cambria Math" w:hAnsi="Cambria Math" w:cs="Times New Roman"/>
                <w:sz w:val="24"/>
                <w:szCs w:val="24"/>
              </w:rPr>
              <m:t>S</m:t>
            </m:r>
          </m:sub>
        </m:sSub>
      </m:oMath>
      <w:r w:rsidR="00452166">
        <w:rPr>
          <w:rFonts w:ascii="Times New Roman" w:hAnsi="Times New Roman" w:cs="Times New Roman"/>
          <w:sz w:val="24"/>
          <w:szCs w:val="24"/>
        </w:rPr>
        <w:t>............................................................................................. (Equation 10)</w:t>
      </w:r>
    </w:p>
    <w:p w14:paraId="109277B2" w14:textId="77777777" w:rsidR="00452166" w:rsidRDefault="00452166" w:rsidP="00452166">
      <w:pPr>
        <w:autoSpaceDE w:val="0"/>
        <w:autoSpaceDN w:val="0"/>
        <w:adjustRightInd w:val="0"/>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where  </w:t>
      </w:r>
      <m:oMath>
        <m:sSub>
          <m:sSubPr>
            <m:ctrlPr>
              <w:rPr>
                <w:rFonts w:ascii="Cambria Math" w:hAnsi="Cambria Math" w:cs="Times New Roman"/>
                <w:i/>
                <w:sz w:val="24"/>
                <w:szCs w:val="24"/>
              </w:rPr>
            </m:ctrlPr>
          </m:sSubPr>
          <m:e>
            <m:acc>
              <m:accPr>
                <m:ctrlPr>
                  <w:rPr>
                    <w:rFonts w:ascii="Cambria Math" w:hAnsi="Cambria Math" w:cs="Times New Roman"/>
                    <w:i/>
                    <w:sz w:val="24"/>
                    <w:szCs w:val="24"/>
                  </w:rPr>
                </m:ctrlPr>
              </m:accPr>
              <m:e>
                <m:r>
                  <w:rPr>
                    <w:rFonts w:ascii="Cambria Math" w:hAnsi="Cambria Math" w:cs="Times New Roman"/>
                    <w:sz w:val="24"/>
                    <w:szCs w:val="24"/>
                  </w:rPr>
                  <m:t>S</m:t>
                </m:r>
              </m:e>
            </m:acc>
          </m:e>
          <m:sub>
            <m:r>
              <w:rPr>
                <w:rFonts w:ascii="Cambria Math" w:hAnsi="Cambria Math" w:cs="Times New Roman"/>
                <w:sz w:val="24"/>
                <w:szCs w:val="24"/>
              </w:rPr>
              <m:t>α</m:t>
            </m:r>
          </m:sub>
        </m:sSub>
      </m:oMath>
      <w:r>
        <w:rPr>
          <w:rFonts w:ascii="Times New Roman" w:hAnsi="Times New Roman" w:cs="Times New Roman"/>
          <w:sz w:val="24"/>
          <w:szCs w:val="24"/>
        </w:rPr>
        <w:t xml:space="preserve"> is the percentile spread of the past twenty-day historical distribution and </w:t>
      </w:r>
      <m:oMath>
        <m:sSub>
          <m:sSubPr>
            <m:ctrlPr>
              <w:rPr>
                <w:rFonts w:ascii="Cambria Math" w:hAnsi="Cambria Math" w:cs="Times New Roman"/>
                <w:i/>
                <w:sz w:val="24"/>
                <w:szCs w:val="24"/>
              </w:rPr>
            </m:ctrlPr>
          </m:sSubPr>
          <m:e>
            <m:r>
              <w:rPr>
                <w:rFonts w:ascii="Cambria Math" w:hAnsi="Cambria Math" w:cs="Times New Roman"/>
                <w:sz w:val="24"/>
                <w:szCs w:val="24"/>
              </w:rPr>
              <m:t>μ</m:t>
            </m:r>
          </m:e>
          <m:sub>
            <m:r>
              <w:rPr>
                <w:rFonts w:ascii="Cambria Math" w:hAnsi="Cambria Math" w:cs="Times New Roman"/>
                <w:sz w:val="24"/>
                <w:szCs w:val="24"/>
              </w:rPr>
              <m:t>S</m:t>
            </m:r>
          </m:sub>
        </m:sSub>
      </m:oMath>
      <w:r>
        <w:rPr>
          <w:rFonts w:ascii="Times New Roman" w:hAnsi="Times New Roman" w:cs="Times New Roman"/>
          <w:sz w:val="24"/>
          <w:szCs w:val="24"/>
        </w:rPr>
        <w:t xml:space="preserve"> and </w:t>
      </w:r>
      <m:oMath>
        <m:sSub>
          <m:sSubPr>
            <m:ctrlPr>
              <w:rPr>
                <w:rFonts w:ascii="Cambria Math" w:hAnsi="Cambria Math" w:cs="Times New Roman"/>
                <w:i/>
                <w:sz w:val="24"/>
                <w:szCs w:val="24"/>
              </w:rPr>
            </m:ctrlPr>
          </m:sSubPr>
          <m:e>
            <m:r>
              <w:rPr>
                <w:rFonts w:ascii="Cambria Math" w:hAnsi="Cambria Math" w:cs="Times New Roman"/>
                <w:sz w:val="24"/>
                <w:szCs w:val="24"/>
              </w:rPr>
              <m:t>σ</m:t>
            </m:r>
          </m:e>
          <m:sub>
            <m:r>
              <w:rPr>
                <w:rFonts w:ascii="Cambria Math" w:hAnsi="Cambria Math" w:cs="Times New Roman"/>
                <w:sz w:val="24"/>
                <w:szCs w:val="24"/>
              </w:rPr>
              <m:t>S</m:t>
            </m:r>
          </m:sub>
        </m:sSub>
      </m:oMath>
      <w:r>
        <w:rPr>
          <w:rFonts w:ascii="Times New Roman" w:hAnsi="Times New Roman" w:cs="Times New Roman"/>
          <w:sz w:val="24"/>
          <w:szCs w:val="24"/>
        </w:rPr>
        <w:t xml:space="preserve"> are mean and volatility of the relative spread.</w:t>
      </w:r>
    </w:p>
    <w:p w14:paraId="5E06A840" w14:textId="77777777" w:rsidR="00BA4699" w:rsidRDefault="00BA4699" w:rsidP="00BA4699">
      <w:pPr>
        <w:pStyle w:val="Caption"/>
        <w:keepNext/>
      </w:pPr>
      <w:r>
        <w:t xml:space="preserve">Table </w:t>
      </w:r>
      <w:r w:rsidR="00EC34E3">
        <w:fldChar w:fldCharType="begin"/>
      </w:r>
      <w:r w:rsidR="00EC34E3">
        <w:instrText xml:space="preserve"> SEQ Table \* ARABIC </w:instrText>
      </w:r>
      <w:r w:rsidR="00EC34E3">
        <w:fldChar w:fldCharType="separate"/>
      </w:r>
      <w:r w:rsidR="00B0578D">
        <w:rPr>
          <w:noProof/>
        </w:rPr>
        <w:t>4</w:t>
      </w:r>
      <w:r w:rsidR="00EC34E3">
        <w:rPr>
          <w:noProof/>
        </w:rPr>
        <w:fldChar w:fldCharType="end"/>
      </w:r>
      <w:r>
        <w:t xml:space="preserve"> Empirical percentile estimates for the Bangia model</w:t>
      </w:r>
    </w:p>
    <w:tbl>
      <w:tblPr>
        <w:tblW w:w="8954" w:type="dxa"/>
        <w:tblInd w:w="93" w:type="dxa"/>
        <w:tblLook w:val="04A0" w:firstRow="1" w:lastRow="0" w:firstColumn="1" w:lastColumn="0" w:noHBand="0" w:noVBand="1"/>
      </w:tblPr>
      <w:tblGrid>
        <w:gridCol w:w="1964"/>
        <w:gridCol w:w="1584"/>
        <w:gridCol w:w="1584"/>
        <w:gridCol w:w="1584"/>
        <w:gridCol w:w="2238"/>
      </w:tblGrid>
      <w:tr w:rsidR="00BA4699" w:rsidRPr="00BA4699" w14:paraId="2568C9CB" w14:textId="77777777" w:rsidTr="00BA4699">
        <w:trPr>
          <w:trHeight w:val="518"/>
        </w:trPr>
        <w:tc>
          <w:tcPr>
            <w:tcW w:w="196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0718F1E" w14:textId="77777777" w:rsidR="00BA4699" w:rsidRPr="00BA4699" w:rsidRDefault="00BA4699" w:rsidP="00BA4699">
            <w:pPr>
              <w:spacing w:after="0" w:line="240" w:lineRule="auto"/>
              <w:rPr>
                <w:rFonts w:cs="Times New Roman"/>
                <w:color w:val="000000"/>
              </w:rPr>
            </w:pPr>
            <w:r w:rsidRPr="00BA4699">
              <w:rPr>
                <w:rFonts w:cs="Times New Roman"/>
                <w:color w:val="000000"/>
              </w:rPr>
              <w:t> </w:t>
            </w:r>
          </w:p>
        </w:tc>
        <w:tc>
          <w:tcPr>
            <w:tcW w:w="1584" w:type="dxa"/>
            <w:tcBorders>
              <w:top w:val="single" w:sz="8" w:space="0" w:color="auto"/>
              <w:left w:val="nil"/>
              <w:bottom w:val="single" w:sz="8" w:space="0" w:color="auto"/>
              <w:right w:val="single" w:sz="8" w:space="0" w:color="auto"/>
            </w:tcBorders>
            <w:shd w:val="clear" w:color="auto" w:fill="auto"/>
            <w:noWrap/>
            <w:vAlign w:val="bottom"/>
            <w:hideMark/>
          </w:tcPr>
          <w:p w14:paraId="5F8C5301" w14:textId="77777777" w:rsidR="00BA4699" w:rsidRPr="00BA4699" w:rsidRDefault="00BA4699" w:rsidP="00BA4699">
            <w:pPr>
              <w:spacing w:after="0" w:line="240" w:lineRule="auto"/>
              <w:jc w:val="center"/>
              <w:rPr>
                <w:rFonts w:cs="Times New Roman"/>
                <w:b/>
                <w:bCs/>
                <w:color w:val="000000"/>
              </w:rPr>
            </w:pPr>
            <w:r w:rsidRPr="00BA4699">
              <w:rPr>
                <w:rFonts w:cs="Times New Roman"/>
                <w:b/>
                <w:bCs/>
                <w:color w:val="000000"/>
              </w:rPr>
              <w:t xml:space="preserve">BAJAJ AUTO </w:t>
            </w:r>
          </w:p>
        </w:tc>
        <w:tc>
          <w:tcPr>
            <w:tcW w:w="1584" w:type="dxa"/>
            <w:tcBorders>
              <w:top w:val="single" w:sz="8" w:space="0" w:color="auto"/>
              <w:left w:val="nil"/>
              <w:bottom w:val="single" w:sz="8" w:space="0" w:color="auto"/>
              <w:right w:val="nil"/>
            </w:tcBorders>
            <w:shd w:val="clear" w:color="auto" w:fill="auto"/>
            <w:noWrap/>
            <w:vAlign w:val="bottom"/>
            <w:hideMark/>
          </w:tcPr>
          <w:p w14:paraId="255936CA" w14:textId="77777777" w:rsidR="00BA4699" w:rsidRPr="00BA4699" w:rsidRDefault="00BA4699" w:rsidP="00BA4699">
            <w:pPr>
              <w:spacing w:after="0" w:line="240" w:lineRule="auto"/>
              <w:jc w:val="center"/>
              <w:rPr>
                <w:rFonts w:cs="Times New Roman"/>
                <w:b/>
                <w:bCs/>
                <w:color w:val="000000"/>
              </w:rPr>
            </w:pPr>
            <w:r w:rsidRPr="00BA4699">
              <w:rPr>
                <w:rFonts w:cs="Times New Roman"/>
                <w:b/>
                <w:bCs/>
                <w:color w:val="000000"/>
              </w:rPr>
              <w:t xml:space="preserve">CIPLA </w:t>
            </w:r>
          </w:p>
        </w:tc>
        <w:tc>
          <w:tcPr>
            <w:tcW w:w="158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A97ACA9" w14:textId="77777777" w:rsidR="00BA4699" w:rsidRPr="00BA4699" w:rsidRDefault="00BA4699" w:rsidP="00BA4699">
            <w:pPr>
              <w:spacing w:after="0" w:line="240" w:lineRule="auto"/>
              <w:jc w:val="center"/>
              <w:rPr>
                <w:rFonts w:cs="Times New Roman"/>
                <w:b/>
                <w:bCs/>
                <w:color w:val="000000"/>
              </w:rPr>
            </w:pPr>
            <w:r w:rsidRPr="00BA4699">
              <w:rPr>
                <w:rFonts w:cs="Times New Roman"/>
                <w:b/>
                <w:bCs/>
                <w:color w:val="000000"/>
              </w:rPr>
              <w:t>ITC</w:t>
            </w:r>
          </w:p>
        </w:tc>
        <w:tc>
          <w:tcPr>
            <w:tcW w:w="2238" w:type="dxa"/>
            <w:tcBorders>
              <w:top w:val="single" w:sz="8" w:space="0" w:color="auto"/>
              <w:left w:val="nil"/>
              <w:bottom w:val="single" w:sz="8" w:space="0" w:color="auto"/>
              <w:right w:val="single" w:sz="8" w:space="0" w:color="auto"/>
            </w:tcBorders>
            <w:shd w:val="clear" w:color="auto" w:fill="auto"/>
            <w:noWrap/>
            <w:vAlign w:val="bottom"/>
            <w:hideMark/>
          </w:tcPr>
          <w:p w14:paraId="57C7C1F5" w14:textId="77777777" w:rsidR="00BA4699" w:rsidRPr="00BA4699" w:rsidRDefault="00BA4699" w:rsidP="00BA4699">
            <w:pPr>
              <w:spacing w:after="0" w:line="240" w:lineRule="auto"/>
              <w:jc w:val="center"/>
              <w:rPr>
                <w:rFonts w:cs="Times New Roman"/>
                <w:b/>
                <w:bCs/>
                <w:color w:val="000000"/>
              </w:rPr>
            </w:pPr>
            <w:r w:rsidRPr="00BA4699">
              <w:rPr>
                <w:rFonts w:cs="Times New Roman"/>
                <w:b/>
                <w:bCs/>
                <w:color w:val="000000"/>
              </w:rPr>
              <w:t xml:space="preserve">GAIL </w:t>
            </w:r>
          </w:p>
        </w:tc>
      </w:tr>
      <w:tr w:rsidR="00BA4699" w:rsidRPr="00BA4699" w14:paraId="26BF7BF4" w14:textId="77777777" w:rsidTr="00BA4699">
        <w:trPr>
          <w:trHeight w:val="518"/>
        </w:trPr>
        <w:tc>
          <w:tcPr>
            <w:tcW w:w="1964" w:type="dxa"/>
            <w:tcBorders>
              <w:top w:val="nil"/>
              <w:left w:val="single" w:sz="8" w:space="0" w:color="auto"/>
              <w:bottom w:val="nil"/>
              <w:right w:val="single" w:sz="8" w:space="0" w:color="auto"/>
            </w:tcBorders>
            <w:shd w:val="clear" w:color="auto" w:fill="auto"/>
            <w:noWrap/>
            <w:vAlign w:val="bottom"/>
            <w:hideMark/>
          </w:tcPr>
          <w:p w14:paraId="401238E7" w14:textId="77777777" w:rsidR="00BA4699" w:rsidRPr="00BA4699" w:rsidRDefault="00BA4699" w:rsidP="00BA4699">
            <w:pPr>
              <w:spacing w:after="0" w:line="240" w:lineRule="auto"/>
              <w:rPr>
                <w:rFonts w:cs="Times New Roman"/>
                <w:color w:val="000000"/>
              </w:rPr>
            </w:pPr>
            <w:r w:rsidRPr="00BA4699">
              <w:rPr>
                <w:rFonts w:cs="Times New Roman"/>
                <w:color w:val="000000"/>
              </w:rPr>
              <w:t>Mean</w:t>
            </w:r>
          </w:p>
        </w:tc>
        <w:tc>
          <w:tcPr>
            <w:tcW w:w="1584" w:type="dxa"/>
            <w:tcBorders>
              <w:top w:val="nil"/>
              <w:left w:val="nil"/>
              <w:bottom w:val="nil"/>
              <w:right w:val="single" w:sz="8" w:space="0" w:color="auto"/>
            </w:tcBorders>
            <w:shd w:val="clear" w:color="auto" w:fill="auto"/>
            <w:noWrap/>
            <w:vAlign w:val="bottom"/>
            <w:hideMark/>
          </w:tcPr>
          <w:p w14:paraId="161DCCB0" w14:textId="77777777" w:rsidR="00BA4699" w:rsidRPr="00BA4699" w:rsidRDefault="00BA4699" w:rsidP="00BA4699">
            <w:pPr>
              <w:spacing w:after="0" w:line="240" w:lineRule="auto"/>
              <w:jc w:val="center"/>
              <w:rPr>
                <w:rFonts w:cs="Times New Roman"/>
                <w:color w:val="000000"/>
              </w:rPr>
            </w:pPr>
            <w:r w:rsidRPr="00BA4699">
              <w:rPr>
                <w:rFonts w:cs="Times New Roman"/>
                <w:color w:val="000000"/>
              </w:rPr>
              <w:t>1.646200565</w:t>
            </w:r>
          </w:p>
        </w:tc>
        <w:tc>
          <w:tcPr>
            <w:tcW w:w="1584" w:type="dxa"/>
            <w:tcBorders>
              <w:top w:val="nil"/>
              <w:left w:val="nil"/>
              <w:bottom w:val="nil"/>
              <w:right w:val="nil"/>
            </w:tcBorders>
            <w:shd w:val="clear" w:color="auto" w:fill="auto"/>
            <w:noWrap/>
            <w:vAlign w:val="bottom"/>
            <w:hideMark/>
          </w:tcPr>
          <w:p w14:paraId="10423C74" w14:textId="77777777" w:rsidR="00BA4699" w:rsidRPr="00BA4699" w:rsidRDefault="00BA4699" w:rsidP="00BA4699">
            <w:pPr>
              <w:spacing w:after="0" w:line="240" w:lineRule="auto"/>
              <w:jc w:val="center"/>
              <w:rPr>
                <w:rFonts w:cs="Times New Roman"/>
                <w:color w:val="000000"/>
              </w:rPr>
            </w:pPr>
            <w:r w:rsidRPr="00BA4699">
              <w:rPr>
                <w:rFonts w:cs="Times New Roman"/>
                <w:color w:val="000000"/>
              </w:rPr>
              <w:t>1.562148885</w:t>
            </w:r>
          </w:p>
        </w:tc>
        <w:tc>
          <w:tcPr>
            <w:tcW w:w="1584" w:type="dxa"/>
            <w:tcBorders>
              <w:top w:val="nil"/>
              <w:left w:val="single" w:sz="8" w:space="0" w:color="auto"/>
              <w:bottom w:val="nil"/>
              <w:right w:val="single" w:sz="8" w:space="0" w:color="auto"/>
            </w:tcBorders>
            <w:shd w:val="clear" w:color="auto" w:fill="auto"/>
            <w:noWrap/>
            <w:vAlign w:val="bottom"/>
            <w:hideMark/>
          </w:tcPr>
          <w:p w14:paraId="5815F0AD" w14:textId="77777777" w:rsidR="00BA4699" w:rsidRPr="00BA4699" w:rsidRDefault="00BA4699" w:rsidP="00BA4699">
            <w:pPr>
              <w:spacing w:after="0" w:line="240" w:lineRule="auto"/>
              <w:jc w:val="center"/>
              <w:rPr>
                <w:rFonts w:cs="Times New Roman"/>
                <w:color w:val="000000"/>
              </w:rPr>
            </w:pPr>
            <w:r w:rsidRPr="00BA4699">
              <w:rPr>
                <w:rFonts w:cs="Times New Roman"/>
                <w:color w:val="000000"/>
              </w:rPr>
              <w:t>1.555050208</w:t>
            </w:r>
          </w:p>
        </w:tc>
        <w:tc>
          <w:tcPr>
            <w:tcW w:w="2238" w:type="dxa"/>
            <w:tcBorders>
              <w:top w:val="nil"/>
              <w:left w:val="nil"/>
              <w:bottom w:val="nil"/>
              <w:right w:val="single" w:sz="8" w:space="0" w:color="auto"/>
            </w:tcBorders>
            <w:shd w:val="clear" w:color="auto" w:fill="auto"/>
            <w:noWrap/>
            <w:vAlign w:val="bottom"/>
            <w:hideMark/>
          </w:tcPr>
          <w:p w14:paraId="5CBF0213" w14:textId="77777777" w:rsidR="00BA4699" w:rsidRPr="00BA4699" w:rsidRDefault="00BA4699" w:rsidP="00BA4699">
            <w:pPr>
              <w:spacing w:after="0" w:line="240" w:lineRule="auto"/>
              <w:jc w:val="center"/>
              <w:rPr>
                <w:rFonts w:cs="Times New Roman"/>
                <w:color w:val="000000"/>
              </w:rPr>
            </w:pPr>
            <w:r w:rsidRPr="00BA4699">
              <w:rPr>
                <w:rFonts w:cs="Times New Roman"/>
                <w:color w:val="000000"/>
              </w:rPr>
              <w:t>1.621059388</w:t>
            </w:r>
          </w:p>
        </w:tc>
      </w:tr>
      <w:tr w:rsidR="00BA4699" w:rsidRPr="00BA4699" w14:paraId="7D096627" w14:textId="77777777" w:rsidTr="00BA4699">
        <w:trPr>
          <w:trHeight w:val="493"/>
        </w:trPr>
        <w:tc>
          <w:tcPr>
            <w:tcW w:w="1964" w:type="dxa"/>
            <w:tcBorders>
              <w:top w:val="nil"/>
              <w:left w:val="single" w:sz="8" w:space="0" w:color="auto"/>
              <w:bottom w:val="nil"/>
              <w:right w:val="single" w:sz="8" w:space="0" w:color="auto"/>
            </w:tcBorders>
            <w:shd w:val="clear" w:color="auto" w:fill="auto"/>
            <w:noWrap/>
            <w:vAlign w:val="bottom"/>
            <w:hideMark/>
          </w:tcPr>
          <w:p w14:paraId="1B030C72" w14:textId="77777777" w:rsidR="00BA4699" w:rsidRPr="00BA4699" w:rsidRDefault="00BA4699" w:rsidP="00BA4699">
            <w:pPr>
              <w:spacing w:after="0" w:line="240" w:lineRule="auto"/>
              <w:rPr>
                <w:rFonts w:cs="Times New Roman"/>
                <w:color w:val="000000"/>
              </w:rPr>
            </w:pPr>
            <w:r w:rsidRPr="00BA4699">
              <w:rPr>
                <w:rFonts w:cs="Times New Roman"/>
                <w:color w:val="000000"/>
              </w:rPr>
              <w:t>Median</w:t>
            </w:r>
          </w:p>
        </w:tc>
        <w:tc>
          <w:tcPr>
            <w:tcW w:w="1584" w:type="dxa"/>
            <w:tcBorders>
              <w:top w:val="nil"/>
              <w:left w:val="nil"/>
              <w:bottom w:val="nil"/>
              <w:right w:val="single" w:sz="8" w:space="0" w:color="auto"/>
            </w:tcBorders>
            <w:shd w:val="clear" w:color="auto" w:fill="auto"/>
            <w:noWrap/>
            <w:vAlign w:val="bottom"/>
            <w:hideMark/>
          </w:tcPr>
          <w:p w14:paraId="5F012BDB" w14:textId="77777777" w:rsidR="00BA4699" w:rsidRPr="00BA4699" w:rsidRDefault="00BA4699" w:rsidP="00BA4699">
            <w:pPr>
              <w:spacing w:after="0" w:line="240" w:lineRule="auto"/>
              <w:jc w:val="center"/>
              <w:rPr>
                <w:rFonts w:cs="Times New Roman"/>
                <w:color w:val="000000"/>
              </w:rPr>
            </w:pPr>
            <w:r w:rsidRPr="00BA4699">
              <w:rPr>
                <w:rFonts w:cs="Times New Roman"/>
                <w:color w:val="000000"/>
              </w:rPr>
              <w:t>1.600283939</w:t>
            </w:r>
          </w:p>
        </w:tc>
        <w:tc>
          <w:tcPr>
            <w:tcW w:w="1584" w:type="dxa"/>
            <w:tcBorders>
              <w:top w:val="nil"/>
              <w:left w:val="nil"/>
              <w:bottom w:val="nil"/>
              <w:right w:val="nil"/>
            </w:tcBorders>
            <w:shd w:val="clear" w:color="auto" w:fill="auto"/>
            <w:noWrap/>
            <w:vAlign w:val="bottom"/>
            <w:hideMark/>
          </w:tcPr>
          <w:p w14:paraId="4AFC6479" w14:textId="77777777" w:rsidR="00BA4699" w:rsidRPr="00BA4699" w:rsidRDefault="00BA4699" w:rsidP="00BA4699">
            <w:pPr>
              <w:spacing w:after="0" w:line="240" w:lineRule="auto"/>
              <w:jc w:val="center"/>
              <w:rPr>
                <w:rFonts w:cs="Times New Roman"/>
                <w:color w:val="000000"/>
              </w:rPr>
            </w:pPr>
            <w:r w:rsidRPr="00BA4699">
              <w:rPr>
                <w:rFonts w:cs="Times New Roman"/>
                <w:color w:val="000000"/>
              </w:rPr>
              <w:t>1.504682854</w:t>
            </w:r>
          </w:p>
        </w:tc>
        <w:tc>
          <w:tcPr>
            <w:tcW w:w="1584" w:type="dxa"/>
            <w:tcBorders>
              <w:top w:val="nil"/>
              <w:left w:val="single" w:sz="8" w:space="0" w:color="auto"/>
              <w:bottom w:val="nil"/>
              <w:right w:val="single" w:sz="8" w:space="0" w:color="auto"/>
            </w:tcBorders>
            <w:shd w:val="clear" w:color="auto" w:fill="auto"/>
            <w:noWrap/>
            <w:vAlign w:val="bottom"/>
            <w:hideMark/>
          </w:tcPr>
          <w:p w14:paraId="4FA74FB8" w14:textId="77777777" w:rsidR="00BA4699" w:rsidRPr="00BA4699" w:rsidRDefault="00BA4699" w:rsidP="00BA4699">
            <w:pPr>
              <w:spacing w:after="0" w:line="240" w:lineRule="auto"/>
              <w:jc w:val="center"/>
              <w:rPr>
                <w:rFonts w:cs="Times New Roman"/>
                <w:color w:val="000000"/>
              </w:rPr>
            </w:pPr>
            <w:r w:rsidRPr="00BA4699">
              <w:rPr>
                <w:rFonts w:cs="Times New Roman"/>
                <w:color w:val="000000"/>
              </w:rPr>
              <w:t>1.477278938</w:t>
            </w:r>
          </w:p>
        </w:tc>
        <w:tc>
          <w:tcPr>
            <w:tcW w:w="2238" w:type="dxa"/>
            <w:tcBorders>
              <w:top w:val="nil"/>
              <w:left w:val="nil"/>
              <w:bottom w:val="nil"/>
              <w:right w:val="single" w:sz="8" w:space="0" w:color="auto"/>
            </w:tcBorders>
            <w:shd w:val="clear" w:color="auto" w:fill="auto"/>
            <w:noWrap/>
            <w:vAlign w:val="bottom"/>
            <w:hideMark/>
          </w:tcPr>
          <w:p w14:paraId="60AA36E9" w14:textId="77777777" w:rsidR="00BA4699" w:rsidRPr="00BA4699" w:rsidRDefault="00BA4699" w:rsidP="00BA4699">
            <w:pPr>
              <w:spacing w:after="0" w:line="240" w:lineRule="auto"/>
              <w:jc w:val="center"/>
              <w:rPr>
                <w:rFonts w:cs="Times New Roman"/>
                <w:color w:val="000000"/>
              </w:rPr>
            </w:pPr>
            <w:r w:rsidRPr="00BA4699">
              <w:rPr>
                <w:rFonts w:cs="Times New Roman"/>
                <w:color w:val="000000"/>
              </w:rPr>
              <w:t>1.595656437</w:t>
            </w:r>
          </w:p>
        </w:tc>
      </w:tr>
      <w:tr w:rsidR="00BA4699" w:rsidRPr="00BA4699" w14:paraId="035ABF64" w14:textId="77777777" w:rsidTr="00BA4699">
        <w:trPr>
          <w:trHeight w:val="518"/>
        </w:trPr>
        <w:tc>
          <w:tcPr>
            <w:tcW w:w="1964" w:type="dxa"/>
            <w:tcBorders>
              <w:top w:val="nil"/>
              <w:left w:val="single" w:sz="8" w:space="0" w:color="auto"/>
              <w:bottom w:val="single" w:sz="8" w:space="0" w:color="auto"/>
              <w:right w:val="single" w:sz="8" w:space="0" w:color="auto"/>
            </w:tcBorders>
            <w:shd w:val="clear" w:color="auto" w:fill="auto"/>
            <w:noWrap/>
            <w:vAlign w:val="bottom"/>
            <w:hideMark/>
          </w:tcPr>
          <w:p w14:paraId="6CA0DA61" w14:textId="77777777" w:rsidR="00BA4699" w:rsidRPr="00BA4699" w:rsidRDefault="00BA4699" w:rsidP="00BA4699">
            <w:pPr>
              <w:spacing w:after="0" w:line="240" w:lineRule="auto"/>
              <w:rPr>
                <w:rFonts w:cs="Times New Roman"/>
                <w:color w:val="000000"/>
              </w:rPr>
            </w:pPr>
            <w:r w:rsidRPr="002872A7">
              <w:rPr>
                <w:rFonts w:cs="Times New Roman"/>
                <w:color w:val="000000"/>
              </w:rPr>
              <w:t>Standard deviation</w:t>
            </w:r>
          </w:p>
        </w:tc>
        <w:tc>
          <w:tcPr>
            <w:tcW w:w="1584" w:type="dxa"/>
            <w:tcBorders>
              <w:top w:val="nil"/>
              <w:left w:val="nil"/>
              <w:bottom w:val="single" w:sz="8" w:space="0" w:color="auto"/>
              <w:right w:val="single" w:sz="8" w:space="0" w:color="auto"/>
            </w:tcBorders>
            <w:shd w:val="clear" w:color="auto" w:fill="auto"/>
            <w:noWrap/>
            <w:vAlign w:val="bottom"/>
            <w:hideMark/>
          </w:tcPr>
          <w:p w14:paraId="71E6B0F3" w14:textId="77777777" w:rsidR="00BA4699" w:rsidRPr="00BA4699" w:rsidRDefault="00BA4699" w:rsidP="00BA4699">
            <w:pPr>
              <w:spacing w:after="0" w:line="240" w:lineRule="auto"/>
              <w:jc w:val="center"/>
              <w:rPr>
                <w:rFonts w:cs="Times New Roman"/>
                <w:color w:val="000000"/>
              </w:rPr>
            </w:pPr>
            <w:r w:rsidRPr="00BA4699">
              <w:rPr>
                <w:rFonts w:cs="Times New Roman"/>
                <w:color w:val="000000"/>
              </w:rPr>
              <w:t>0.460316135</w:t>
            </w:r>
          </w:p>
        </w:tc>
        <w:tc>
          <w:tcPr>
            <w:tcW w:w="1584" w:type="dxa"/>
            <w:tcBorders>
              <w:top w:val="nil"/>
              <w:left w:val="nil"/>
              <w:bottom w:val="single" w:sz="8" w:space="0" w:color="auto"/>
              <w:right w:val="nil"/>
            </w:tcBorders>
            <w:shd w:val="clear" w:color="auto" w:fill="auto"/>
            <w:noWrap/>
            <w:vAlign w:val="bottom"/>
            <w:hideMark/>
          </w:tcPr>
          <w:p w14:paraId="3A1F41E7" w14:textId="77777777" w:rsidR="00BA4699" w:rsidRPr="00BA4699" w:rsidRDefault="00BA4699" w:rsidP="00BA4699">
            <w:pPr>
              <w:spacing w:after="0" w:line="240" w:lineRule="auto"/>
              <w:jc w:val="center"/>
              <w:rPr>
                <w:rFonts w:cs="Times New Roman"/>
                <w:color w:val="000000"/>
              </w:rPr>
            </w:pPr>
            <w:r w:rsidRPr="00BA4699">
              <w:rPr>
                <w:rFonts w:cs="Times New Roman"/>
                <w:color w:val="000000"/>
              </w:rPr>
              <w:t>0.474548719</w:t>
            </w:r>
          </w:p>
        </w:tc>
        <w:tc>
          <w:tcPr>
            <w:tcW w:w="1584" w:type="dxa"/>
            <w:tcBorders>
              <w:top w:val="nil"/>
              <w:left w:val="single" w:sz="8" w:space="0" w:color="auto"/>
              <w:bottom w:val="single" w:sz="8" w:space="0" w:color="auto"/>
              <w:right w:val="single" w:sz="8" w:space="0" w:color="auto"/>
            </w:tcBorders>
            <w:shd w:val="clear" w:color="auto" w:fill="auto"/>
            <w:noWrap/>
            <w:vAlign w:val="bottom"/>
            <w:hideMark/>
          </w:tcPr>
          <w:p w14:paraId="5C301CD9" w14:textId="77777777" w:rsidR="00BA4699" w:rsidRPr="00BA4699" w:rsidRDefault="00BA4699" w:rsidP="00BA4699">
            <w:pPr>
              <w:spacing w:after="0" w:line="240" w:lineRule="auto"/>
              <w:jc w:val="center"/>
              <w:rPr>
                <w:rFonts w:cs="Times New Roman"/>
                <w:color w:val="000000"/>
              </w:rPr>
            </w:pPr>
            <w:r w:rsidRPr="00BA4699">
              <w:rPr>
                <w:rFonts w:cs="Times New Roman"/>
                <w:color w:val="000000"/>
              </w:rPr>
              <w:t>0.510702042</w:t>
            </w:r>
          </w:p>
        </w:tc>
        <w:tc>
          <w:tcPr>
            <w:tcW w:w="2238" w:type="dxa"/>
            <w:tcBorders>
              <w:top w:val="nil"/>
              <w:left w:val="nil"/>
              <w:bottom w:val="single" w:sz="8" w:space="0" w:color="auto"/>
              <w:right w:val="single" w:sz="8" w:space="0" w:color="auto"/>
            </w:tcBorders>
            <w:shd w:val="clear" w:color="auto" w:fill="auto"/>
            <w:noWrap/>
            <w:vAlign w:val="bottom"/>
            <w:hideMark/>
          </w:tcPr>
          <w:p w14:paraId="3CCF9A2F" w14:textId="77777777" w:rsidR="00BA4699" w:rsidRPr="00BA4699" w:rsidRDefault="00BA4699" w:rsidP="00BA4699">
            <w:pPr>
              <w:spacing w:after="0" w:line="240" w:lineRule="auto"/>
              <w:jc w:val="center"/>
              <w:rPr>
                <w:rFonts w:cs="Times New Roman"/>
                <w:color w:val="000000"/>
              </w:rPr>
            </w:pPr>
            <w:r w:rsidRPr="00BA4699">
              <w:rPr>
                <w:rFonts w:cs="Times New Roman"/>
                <w:color w:val="000000"/>
              </w:rPr>
              <w:t>0.486299454</w:t>
            </w:r>
          </w:p>
        </w:tc>
      </w:tr>
    </w:tbl>
    <w:p w14:paraId="4B6D094A" w14:textId="77777777" w:rsidR="00BA4699" w:rsidRDefault="00BA4699" w:rsidP="00BA7658">
      <w:pPr>
        <w:autoSpaceDE w:val="0"/>
        <w:autoSpaceDN w:val="0"/>
        <w:adjustRightInd w:val="0"/>
        <w:spacing w:line="480" w:lineRule="auto"/>
        <w:jc w:val="both"/>
        <w:rPr>
          <w:rFonts w:ascii="Times New Roman" w:hAnsi="Times New Roman" w:cs="Times New Roman"/>
          <w:sz w:val="24"/>
          <w:szCs w:val="24"/>
        </w:rPr>
      </w:pPr>
    </w:p>
    <w:p w14:paraId="310A2AEF" w14:textId="77777777" w:rsidR="00452166" w:rsidRDefault="00452166" w:rsidP="00452166">
      <w:pPr>
        <w:autoSpaceDE w:val="0"/>
        <w:autoSpaceDN w:val="0"/>
        <w:adjustRightInd w:val="0"/>
        <w:spacing w:line="480" w:lineRule="auto"/>
        <w:jc w:val="both"/>
        <w:rPr>
          <w:rFonts w:ascii="Times New Roman" w:hAnsi="Times New Roman" w:cs="Times New Roman"/>
          <w:sz w:val="24"/>
          <w:szCs w:val="24"/>
        </w:rPr>
      </w:pPr>
      <w:r>
        <w:rPr>
          <w:rFonts w:ascii="Times New Roman" w:hAnsi="Times New Roman" w:cs="Times New Roman"/>
          <w:sz w:val="24"/>
          <w:szCs w:val="24"/>
        </w:rPr>
        <w:t>Using the first four moments (mean, variance, skewness and kurtosis), the percentiles based on the Cornish-Fisher approximation are calculated for relative spreads and r</w:t>
      </w:r>
      <w:r w:rsidR="00876C49">
        <w:rPr>
          <w:rFonts w:ascii="Times New Roman" w:hAnsi="Times New Roman" w:cs="Times New Roman"/>
          <w:sz w:val="24"/>
          <w:szCs w:val="24"/>
        </w:rPr>
        <w:t>eturns using Equation 3 (Table 5</w:t>
      </w:r>
      <w:r>
        <w:rPr>
          <w:rFonts w:ascii="Times New Roman" w:hAnsi="Times New Roman" w:cs="Times New Roman"/>
          <w:sz w:val="24"/>
          <w:szCs w:val="24"/>
        </w:rPr>
        <w:t>).</w:t>
      </w:r>
    </w:p>
    <w:p w14:paraId="6E1DDE80" w14:textId="77777777" w:rsidR="00BA4699" w:rsidRDefault="00BA4699" w:rsidP="00BA4699">
      <w:pPr>
        <w:pStyle w:val="Caption"/>
        <w:keepNext/>
      </w:pPr>
      <w:r>
        <w:t xml:space="preserve">Table </w:t>
      </w:r>
      <w:r w:rsidR="00EC34E3">
        <w:fldChar w:fldCharType="begin"/>
      </w:r>
      <w:r w:rsidR="00EC34E3">
        <w:instrText xml:space="preserve"> SEQ Table \* ARABIC </w:instrText>
      </w:r>
      <w:r w:rsidR="00EC34E3">
        <w:fldChar w:fldCharType="separate"/>
      </w:r>
      <w:r w:rsidR="00B0578D">
        <w:rPr>
          <w:noProof/>
        </w:rPr>
        <w:t>5</w:t>
      </w:r>
      <w:r w:rsidR="00EC34E3">
        <w:rPr>
          <w:noProof/>
        </w:rPr>
        <w:fldChar w:fldCharType="end"/>
      </w:r>
      <w:r>
        <w:t xml:space="preserve"> Cornish-Fischer percentile estimates – Spread &amp; Return</w:t>
      </w:r>
    </w:p>
    <w:tbl>
      <w:tblPr>
        <w:tblW w:w="8938" w:type="dxa"/>
        <w:tblInd w:w="93" w:type="dxa"/>
        <w:tblLook w:val="04A0" w:firstRow="1" w:lastRow="0" w:firstColumn="1" w:lastColumn="0" w:noHBand="0" w:noVBand="1"/>
      </w:tblPr>
      <w:tblGrid>
        <w:gridCol w:w="1961"/>
        <w:gridCol w:w="1581"/>
        <w:gridCol w:w="1581"/>
        <w:gridCol w:w="1581"/>
        <w:gridCol w:w="2234"/>
      </w:tblGrid>
      <w:tr w:rsidR="00BA4699" w:rsidRPr="00BA4699" w14:paraId="51AD1EF8" w14:textId="77777777" w:rsidTr="00BA4699">
        <w:trPr>
          <w:trHeight w:val="412"/>
        </w:trPr>
        <w:tc>
          <w:tcPr>
            <w:tcW w:w="196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AEDBFE0" w14:textId="77777777" w:rsidR="00BA4699" w:rsidRPr="00BA4699" w:rsidRDefault="00BA4699" w:rsidP="00BA4699">
            <w:pPr>
              <w:spacing w:after="0" w:line="240" w:lineRule="auto"/>
              <w:rPr>
                <w:rFonts w:cs="Times New Roman"/>
                <w:color w:val="000000"/>
              </w:rPr>
            </w:pPr>
            <w:r w:rsidRPr="00BA4699">
              <w:rPr>
                <w:rFonts w:cs="Times New Roman"/>
                <w:color w:val="000000"/>
              </w:rPr>
              <w:t> </w:t>
            </w:r>
          </w:p>
        </w:tc>
        <w:tc>
          <w:tcPr>
            <w:tcW w:w="1581" w:type="dxa"/>
            <w:tcBorders>
              <w:top w:val="single" w:sz="8" w:space="0" w:color="auto"/>
              <w:left w:val="nil"/>
              <w:bottom w:val="single" w:sz="8" w:space="0" w:color="auto"/>
              <w:right w:val="single" w:sz="8" w:space="0" w:color="auto"/>
            </w:tcBorders>
            <w:shd w:val="clear" w:color="auto" w:fill="auto"/>
            <w:noWrap/>
            <w:vAlign w:val="bottom"/>
            <w:hideMark/>
          </w:tcPr>
          <w:p w14:paraId="5DE6B317" w14:textId="77777777" w:rsidR="00BA4699" w:rsidRPr="00BA4699" w:rsidRDefault="00BA4699" w:rsidP="00BA4699">
            <w:pPr>
              <w:spacing w:after="0" w:line="240" w:lineRule="auto"/>
              <w:jc w:val="center"/>
              <w:rPr>
                <w:rFonts w:cs="Times New Roman"/>
                <w:b/>
                <w:bCs/>
                <w:color w:val="000000"/>
              </w:rPr>
            </w:pPr>
            <w:r w:rsidRPr="00BA4699">
              <w:rPr>
                <w:rFonts w:cs="Times New Roman"/>
                <w:b/>
                <w:bCs/>
                <w:color w:val="000000"/>
              </w:rPr>
              <w:t xml:space="preserve">BAJAJ AUTO </w:t>
            </w:r>
          </w:p>
        </w:tc>
        <w:tc>
          <w:tcPr>
            <w:tcW w:w="1581" w:type="dxa"/>
            <w:tcBorders>
              <w:top w:val="single" w:sz="8" w:space="0" w:color="auto"/>
              <w:left w:val="nil"/>
              <w:bottom w:val="single" w:sz="8" w:space="0" w:color="auto"/>
              <w:right w:val="nil"/>
            </w:tcBorders>
            <w:shd w:val="clear" w:color="auto" w:fill="auto"/>
            <w:noWrap/>
            <w:vAlign w:val="bottom"/>
            <w:hideMark/>
          </w:tcPr>
          <w:p w14:paraId="76715477" w14:textId="77777777" w:rsidR="00BA4699" w:rsidRPr="00BA4699" w:rsidRDefault="00BA4699" w:rsidP="00BA4699">
            <w:pPr>
              <w:spacing w:after="0" w:line="240" w:lineRule="auto"/>
              <w:jc w:val="center"/>
              <w:rPr>
                <w:rFonts w:cs="Times New Roman"/>
                <w:b/>
                <w:bCs/>
                <w:color w:val="000000"/>
              </w:rPr>
            </w:pPr>
            <w:r w:rsidRPr="00BA4699">
              <w:rPr>
                <w:rFonts w:cs="Times New Roman"/>
                <w:b/>
                <w:bCs/>
                <w:color w:val="000000"/>
              </w:rPr>
              <w:t xml:space="preserve">CIPLA </w:t>
            </w:r>
          </w:p>
        </w:tc>
        <w:tc>
          <w:tcPr>
            <w:tcW w:w="158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4C254A2" w14:textId="77777777" w:rsidR="00BA4699" w:rsidRPr="00BA4699" w:rsidRDefault="00BA4699" w:rsidP="00BA4699">
            <w:pPr>
              <w:spacing w:after="0" w:line="240" w:lineRule="auto"/>
              <w:jc w:val="center"/>
              <w:rPr>
                <w:rFonts w:cs="Times New Roman"/>
                <w:b/>
                <w:bCs/>
                <w:color w:val="000000"/>
              </w:rPr>
            </w:pPr>
            <w:r w:rsidRPr="00BA4699">
              <w:rPr>
                <w:rFonts w:cs="Times New Roman"/>
                <w:b/>
                <w:bCs/>
                <w:color w:val="000000"/>
              </w:rPr>
              <w:t>ITC</w:t>
            </w:r>
          </w:p>
        </w:tc>
        <w:tc>
          <w:tcPr>
            <w:tcW w:w="2234" w:type="dxa"/>
            <w:tcBorders>
              <w:top w:val="single" w:sz="8" w:space="0" w:color="auto"/>
              <w:left w:val="nil"/>
              <w:bottom w:val="single" w:sz="8" w:space="0" w:color="auto"/>
              <w:right w:val="single" w:sz="8" w:space="0" w:color="auto"/>
            </w:tcBorders>
            <w:shd w:val="clear" w:color="auto" w:fill="auto"/>
            <w:noWrap/>
            <w:vAlign w:val="bottom"/>
            <w:hideMark/>
          </w:tcPr>
          <w:p w14:paraId="5E35D159" w14:textId="77777777" w:rsidR="00BA4699" w:rsidRPr="00BA4699" w:rsidRDefault="00BA4699" w:rsidP="00BA4699">
            <w:pPr>
              <w:spacing w:after="0" w:line="240" w:lineRule="auto"/>
              <w:jc w:val="center"/>
              <w:rPr>
                <w:rFonts w:cs="Times New Roman"/>
                <w:b/>
                <w:bCs/>
                <w:color w:val="000000"/>
              </w:rPr>
            </w:pPr>
            <w:r w:rsidRPr="00BA4699">
              <w:rPr>
                <w:rFonts w:cs="Times New Roman"/>
                <w:b/>
                <w:bCs/>
                <w:color w:val="000000"/>
              </w:rPr>
              <w:t xml:space="preserve">GAIL </w:t>
            </w:r>
          </w:p>
        </w:tc>
      </w:tr>
      <w:tr w:rsidR="00BA4699" w:rsidRPr="00BA4699" w14:paraId="1288F588" w14:textId="77777777" w:rsidTr="00BA4699">
        <w:trPr>
          <w:trHeight w:val="393"/>
        </w:trPr>
        <w:tc>
          <w:tcPr>
            <w:tcW w:w="1961" w:type="dxa"/>
            <w:tcBorders>
              <w:top w:val="nil"/>
              <w:left w:val="single" w:sz="8" w:space="0" w:color="auto"/>
              <w:bottom w:val="nil"/>
              <w:right w:val="single" w:sz="8" w:space="0" w:color="auto"/>
            </w:tcBorders>
            <w:shd w:val="clear" w:color="auto" w:fill="auto"/>
            <w:noWrap/>
            <w:vAlign w:val="bottom"/>
            <w:hideMark/>
          </w:tcPr>
          <w:p w14:paraId="7989EF8D" w14:textId="77777777" w:rsidR="00BA4699" w:rsidRPr="00BA4699" w:rsidRDefault="00BA4699" w:rsidP="00BA4699">
            <w:pPr>
              <w:spacing w:after="0" w:line="240" w:lineRule="auto"/>
              <w:rPr>
                <w:rFonts w:cs="Times New Roman"/>
                <w:b/>
                <w:bCs/>
                <w:color w:val="000000"/>
              </w:rPr>
            </w:pPr>
            <w:r w:rsidRPr="00BA4699">
              <w:rPr>
                <w:rFonts w:cs="Times New Roman"/>
                <w:b/>
                <w:bCs/>
                <w:color w:val="000000"/>
              </w:rPr>
              <w:t>Spread</w:t>
            </w:r>
          </w:p>
        </w:tc>
        <w:tc>
          <w:tcPr>
            <w:tcW w:w="1581" w:type="dxa"/>
            <w:tcBorders>
              <w:top w:val="nil"/>
              <w:left w:val="nil"/>
              <w:bottom w:val="nil"/>
              <w:right w:val="single" w:sz="8" w:space="0" w:color="auto"/>
            </w:tcBorders>
            <w:shd w:val="clear" w:color="auto" w:fill="auto"/>
            <w:noWrap/>
            <w:vAlign w:val="bottom"/>
            <w:hideMark/>
          </w:tcPr>
          <w:p w14:paraId="3BB7DDCC" w14:textId="77777777" w:rsidR="00BA4699" w:rsidRPr="00BA4699" w:rsidRDefault="00BA4699" w:rsidP="00BA4699">
            <w:pPr>
              <w:spacing w:after="0" w:line="240" w:lineRule="auto"/>
              <w:jc w:val="center"/>
              <w:rPr>
                <w:rFonts w:cs="Times New Roman"/>
                <w:b/>
                <w:bCs/>
                <w:color w:val="000000"/>
              </w:rPr>
            </w:pPr>
            <w:r w:rsidRPr="00BA4699">
              <w:rPr>
                <w:rFonts w:cs="Times New Roman"/>
                <w:b/>
                <w:bCs/>
                <w:color w:val="000000"/>
              </w:rPr>
              <w:t> </w:t>
            </w:r>
          </w:p>
        </w:tc>
        <w:tc>
          <w:tcPr>
            <w:tcW w:w="1581" w:type="dxa"/>
            <w:tcBorders>
              <w:top w:val="nil"/>
              <w:left w:val="nil"/>
              <w:bottom w:val="nil"/>
              <w:right w:val="nil"/>
            </w:tcBorders>
            <w:shd w:val="clear" w:color="auto" w:fill="auto"/>
            <w:noWrap/>
            <w:vAlign w:val="bottom"/>
            <w:hideMark/>
          </w:tcPr>
          <w:p w14:paraId="17C4B267" w14:textId="77777777" w:rsidR="00BA4699" w:rsidRPr="00BA4699" w:rsidRDefault="00BA4699" w:rsidP="00BA4699">
            <w:pPr>
              <w:spacing w:after="0" w:line="240" w:lineRule="auto"/>
              <w:jc w:val="center"/>
              <w:rPr>
                <w:rFonts w:cs="Times New Roman"/>
                <w:b/>
                <w:bCs/>
                <w:color w:val="000000"/>
              </w:rPr>
            </w:pPr>
            <w:r w:rsidRPr="00BA4699">
              <w:rPr>
                <w:rFonts w:cs="Times New Roman"/>
                <w:b/>
                <w:bCs/>
                <w:color w:val="000000"/>
              </w:rPr>
              <w:t> </w:t>
            </w:r>
          </w:p>
        </w:tc>
        <w:tc>
          <w:tcPr>
            <w:tcW w:w="1581" w:type="dxa"/>
            <w:tcBorders>
              <w:top w:val="nil"/>
              <w:left w:val="single" w:sz="8" w:space="0" w:color="auto"/>
              <w:bottom w:val="nil"/>
              <w:right w:val="single" w:sz="8" w:space="0" w:color="auto"/>
            </w:tcBorders>
            <w:shd w:val="clear" w:color="auto" w:fill="auto"/>
            <w:noWrap/>
            <w:vAlign w:val="bottom"/>
            <w:hideMark/>
          </w:tcPr>
          <w:p w14:paraId="6FFCE458" w14:textId="77777777" w:rsidR="00BA4699" w:rsidRPr="00BA4699" w:rsidRDefault="00BA4699" w:rsidP="00BA4699">
            <w:pPr>
              <w:spacing w:after="0" w:line="240" w:lineRule="auto"/>
              <w:jc w:val="center"/>
              <w:rPr>
                <w:rFonts w:cs="Times New Roman"/>
                <w:b/>
                <w:bCs/>
                <w:color w:val="000000"/>
              </w:rPr>
            </w:pPr>
            <w:r w:rsidRPr="00BA4699">
              <w:rPr>
                <w:rFonts w:cs="Times New Roman"/>
                <w:b/>
                <w:bCs/>
                <w:color w:val="000000"/>
              </w:rPr>
              <w:t> </w:t>
            </w:r>
          </w:p>
        </w:tc>
        <w:tc>
          <w:tcPr>
            <w:tcW w:w="2234" w:type="dxa"/>
            <w:tcBorders>
              <w:top w:val="nil"/>
              <w:left w:val="nil"/>
              <w:bottom w:val="nil"/>
              <w:right w:val="single" w:sz="8" w:space="0" w:color="auto"/>
            </w:tcBorders>
            <w:shd w:val="clear" w:color="auto" w:fill="auto"/>
            <w:noWrap/>
            <w:vAlign w:val="bottom"/>
            <w:hideMark/>
          </w:tcPr>
          <w:p w14:paraId="53D0F662" w14:textId="77777777" w:rsidR="00BA4699" w:rsidRPr="00BA4699" w:rsidRDefault="00BA4699" w:rsidP="00BA4699">
            <w:pPr>
              <w:spacing w:after="0" w:line="240" w:lineRule="auto"/>
              <w:jc w:val="center"/>
              <w:rPr>
                <w:rFonts w:cs="Times New Roman"/>
                <w:b/>
                <w:bCs/>
                <w:color w:val="000000"/>
              </w:rPr>
            </w:pPr>
            <w:r w:rsidRPr="00BA4699">
              <w:rPr>
                <w:rFonts w:cs="Times New Roman"/>
                <w:b/>
                <w:bCs/>
                <w:color w:val="000000"/>
              </w:rPr>
              <w:t> </w:t>
            </w:r>
          </w:p>
        </w:tc>
      </w:tr>
      <w:tr w:rsidR="00BA4699" w:rsidRPr="00BA4699" w14:paraId="642F8F77" w14:textId="77777777" w:rsidTr="00BA4699">
        <w:trPr>
          <w:trHeight w:val="393"/>
        </w:trPr>
        <w:tc>
          <w:tcPr>
            <w:tcW w:w="1961" w:type="dxa"/>
            <w:tcBorders>
              <w:top w:val="nil"/>
              <w:left w:val="single" w:sz="8" w:space="0" w:color="auto"/>
              <w:bottom w:val="nil"/>
              <w:right w:val="single" w:sz="8" w:space="0" w:color="auto"/>
            </w:tcBorders>
            <w:shd w:val="clear" w:color="auto" w:fill="auto"/>
            <w:noWrap/>
            <w:vAlign w:val="bottom"/>
            <w:hideMark/>
          </w:tcPr>
          <w:p w14:paraId="2B401369" w14:textId="77777777" w:rsidR="00BA4699" w:rsidRPr="00BA4699" w:rsidRDefault="00BA4699" w:rsidP="00BA4699">
            <w:pPr>
              <w:spacing w:after="0" w:line="240" w:lineRule="auto"/>
              <w:rPr>
                <w:rFonts w:cs="Times New Roman"/>
                <w:color w:val="000000"/>
              </w:rPr>
            </w:pPr>
            <w:r w:rsidRPr="00BA4699">
              <w:rPr>
                <w:rFonts w:cs="Times New Roman"/>
                <w:color w:val="000000"/>
              </w:rPr>
              <w:t>Mean</w:t>
            </w:r>
          </w:p>
        </w:tc>
        <w:tc>
          <w:tcPr>
            <w:tcW w:w="1581" w:type="dxa"/>
            <w:tcBorders>
              <w:top w:val="nil"/>
              <w:left w:val="nil"/>
              <w:bottom w:val="nil"/>
              <w:right w:val="single" w:sz="8" w:space="0" w:color="auto"/>
            </w:tcBorders>
            <w:shd w:val="clear" w:color="auto" w:fill="auto"/>
            <w:noWrap/>
            <w:vAlign w:val="bottom"/>
            <w:hideMark/>
          </w:tcPr>
          <w:p w14:paraId="5435750A" w14:textId="77777777" w:rsidR="00BA4699" w:rsidRPr="00BA4699" w:rsidRDefault="00BA4699" w:rsidP="00BA4699">
            <w:pPr>
              <w:spacing w:after="0" w:line="240" w:lineRule="auto"/>
              <w:jc w:val="center"/>
              <w:rPr>
                <w:rFonts w:cs="Times New Roman"/>
                <w:color w:val="000000"/>
              </w:rPr>
            </w:pPr>
            <w:r w:rsidRPr="00BA4699">
              <w:rPr>
                <w:rFonts w:cs="Times New Roman"/>
                <w:color w:val="000000"/>
              </w:rPr>
              <w:t>3.314796833</w:t>
            </w:r>
          </w:p>
        </w:tc>
        <w:tc>
          <w:tcPr>
            <w:tcW w:w="1581" w:type="dxa"/>
            <w:tcBorders>
              <w:top w:val="nil"/>
              <w:left w:val="nil"/>
              <w:bottom w:val="nil"/>
              <w:right w:val="nil"/>
            </w:tcBorders>
            <w:shd w:val="clear" w:color="auto" w:fill="auto"/>
            <w:noWrap/>
            <w:vAlign w:val="bottom"/>
            <w:hideMark/>
          </w:tcPr>
          <w:p w14:paraId="21D7EEEE" w14:textId="77777777" w:rsidR="00BA4699" w:rsidRPr="00BA4699" w:rsidRDefault="00BA4699" w:rsidP="00BA4699">
            <w:pPr>
              <w:spacing w:after="0" w:line="240" w:lineRule="auto"/>
              <w:jc w:val="center"/>
              <w:rPr>
                <w:rFonts w:cs="Times New Roman"/>
                <w:color w:val="000000"/>
              </w:rPr>
            </w:pPr>
            <w:r w:rsidRPr="00BA4699">
              <w:rPr>
                <w:rFonts w:cs="Times New Roman"/>
                <w:color w:val="000000"/>
              </w:rPr>
              <w:t>3.510807394</w:t>
            </w:r>
          </w:p>
        </w:tc>
        <w:tc>
          <w:tcPr>
            <w:tcW w:w="1581" w:type="dxa"/>
            <w:tcBorders>
              <w:top w:val="nil"/>
              <w:left w:val="single" w:sz="8" w:space="0" w:color="auto"/>
              <w:bottom w:val="nil"/>
              <w:right w:val="single" w:sz="8" w:space="0" w:color="auto"/>
            </w:tcBorders>
            <w:shd w:val="clear" w:color="auto" w:fill="auto"/>
            <w:noWrap/>
            <w:vAlign w:val="bottom"/>
            <w:hideMark/>
          </w:tcPr>
          <w:p w14:paraId="73F5E252" w14:textId="77777777" w:rsidR="00BA4699" w:rsidRPr="00BA4699" w:rsidRDefault="00BA4699" w:rsidP="00BA4699">
            <w:pPr>
              <w:spacing w:after="0" w:line="240" w:lineRule="auto"/>
              <w:jc w:val="center"/>
              <w:rPr>
                <w:rFonts w:cs="Times New Roman"/>
                <w:color w:val="000000"/>
              </w:rPr>
            </w:pPr>
            <w:r w:rsidRPr="00BA4699">
              <w:rPr>
                <w:rFonts w:cs="Times New Roman"/>
                <w:color w:val="000000"/>
              </w:rPr>
              <w:t>3.788462333</w:t>
            </w:r>
          </w:p>
        </w:tc>
        <w:tc>
          <w:tcPr>
            <w:tcW w:w="2234" w:type="dxa"/>
            <w:tcBorders>
              <w:top w:val="nil"/>
              <w:left w:val="nil"/>
              <w:bottom w:val="nil"/>
              <w:right w:val="single" w:sz="8" w:space="0" w:color="auto"/>
            </w:tcBorders>
            <w:shd w:val="clear" w:color="auto" w:fill="auto"/>
            <w:noWrap/>
            <w:vAlign w:val="bottom"/>
            <w:hideMark/>
          </w:tcPr>
          <w:p w14:paraId="3AF85708" w14:textId="77777777" w:rsidR="00BA4699" w:rsidRPr="00BA4699" w:rsidRDefault="00BA4699" w:rsidP="00BA4699">
            <w:pPr>
              <w:spacing w:after="0" w:line="240" w:lineRule="auto"/>
              <w:jc w:val="center"/>
              <w:rPr>
                <w:rFonts w:cs="Times New Roman"/>
                <w:color w:val="000000"/>
              </w:rPr>
            </w:pPr>
            <w:r w:rsidRPr="00BA4699">
              <w:rPr>
                <w:rFonts w:cs="Times New Roman"/>
                <w:color w:val="000000"/>
              </w:rPr>
              <w:t>3.638404654</w:t>
            </w:r>
          </w:p>
        </w:tc>
      </w:tr>
      <w:tr w:rsidR="00BA4699" w:rsidRPr="00BA4699" w14:paraId="40BD6801" w14:textId="77777777" w:rsidTr="00BA4699">
        <w:trPr>
          <w:trHeight w:val="412"/>
        </w:trPr>
        <w:tc>
          <w:tcPr>
            <w:tcW w:w="1961" w:type="dxa"/>
            <w:tcBorders>
              <w:top w:val="nil"/>
              <w:left w:val="single" w:sz="8" w:space="0" w:color="auto"/>
              <w:bottom w:val="nil"/>
              <w:right w:val="single" w:sz="8" w:space="0" w:color="auto"/>
            </w:tcBorders>
            <w:shd w:val="clear" w:color="auto" w:fill="auto"/>
            <w:noWrap/>
            <w:vAlign w:val="bottom"/>
            <w:hideMark/>
          </w:tcPr>
          <w:p w14:paraId="0F9FC5F7" w14:textId="77777777" w:rsidR="00BA4699" w:rsidRPr="00BA4699" w:rsidRDefault="00BA4699" w:rsidP="00BA4699">
            <w:pPr>
              <w:spacing w:after="0" w:line="240" w:lineRule="auto"/>
              <w:rPr>
                <w:rFonts w:cs="Times New Roman"/>
                <w:color w:val="000000"/>
              </w:rPr>
            </w:pPr>
            <w:r w:rsidRPr="00BA4699">
              <w:rPr>
                <w:rFonts w:cs="Times New Roman"/>
                <w:color w:val="000000"/>
              </w:rPr>
              <w:t>Median</w:t>
            </w:r>
          </w:p>
        </w:tc>
        <w:tc>
          <w:tcPr>
            <w:tcW w:w="1581" w:type="dxa"/>
            <w:tcBorders>
              <w:top w:val="nil"/>
              <w:left w:val="nil"/>
              <w:bottom w:val="nil"/>
              <w:right w:val="single" w:sz="8" w:space="0" w:color="auto"/>
            </w:tcBorders>
            <w:shd w:val="clear" w:color="auto" w:fill="auto"/>
            <w:noWrap/>
            <w:vAlign w:val="bottom"/>
            <w:hideMark/>
          </w:tcPr>
          <w:p w14:paraId="7F7A4043" w14:textId="77777777" w:rsidR="00BA4699" w:rsidRPr="00BA4699" w:rsidRDefault="00BA4699" w:rsidP="00BA4699">
            <w:pPr>
              <w:spacing w:after="0" w:line="240" w:lineRule="auto"/>
              <w:jc w:val="center"/>
              <w:rPr>
                <w:rFonts w:cs="Times New Roman"/>
                <w:color w:val="000000"/>
              </w:rPr>
            </w:pPr>
            <w:r w:rsidRPr="00BA4699">
              <w:rPr>
                <w:rFonts w:cs="Times New Roman"/>
                <w:color w:val="000000"/>
              </w:rPr>
              <w:t>3.379408608</w:t>
            </w:r>
          </w:p>
        </w:tc>
        <w:tc>
          <w:tcPr>
            <w:tcW w:w="1581" w:type="dxa"/>
            <w:tcBorders>
              <w:top w:val="nil"/>
              <w:left w:val="nil"/>
              <w:bottom w:val="nil"/>
              <w:right w:val="nil"/>
            </w:tcBorders>
            <w:shd w:val="clear" w:color="auto" w:fill="auto"/>
            <w:noWrap/>
            <w:vAlign w:val="bottom"/>
            <w:hideMark/>
          </w:tcPr>
          <w:p w14:paraId="100038A3" w14:textId="77777777" w:rsidR="00BA4699" w:rsidRPr="00BA4699" w:rsidRDefault="00BA4699" w:rsidP="00BA4699">
            <w:pPr>
              <w:spacing w:after="0" w:line="240" w:lineRule="auto"/>
              <w:jc w:val="center"/>
              <w:rPr>
                <w:rFonts w:cs="Times New Roman"/>
                <w:color w:val="000000"/>
              </w:rPr>
            </w:pPr>
            <w:r w:rsidRPr="00BA4699">
              <w:rPr>
                <w:rFonts w:cs="Times New Roman"/>
                <w:color w:val="000000"/>
              </w:rPr>
              <w:t>3.399985274</w:t>
            </w:r>
          </w:p>
        </w:tc>
        <w:tc>
          <w:tcPr>
            <w:tcW w:w="1581" w:type="dxa"/>
            <w:tcBorders>
              <w:top w:val="nil"/>
              <w:left w:val="single" w:sz="8" w:space="0" w:color="auto"/>
              <w:bottom w:val="nil"/>
              <w:right w:val="single" w:sz="8" w:space="0" w:color="auto"/>
            </w:tcBorders>
            <w:shd w:val="clear" w:color="auto" w:fill="auto"/>
            <w:noWrap/>
            <w:vAlign w:val="bottom"/>
            <w:hideMark/>
          </w:tcPr>
          <w:p w14:paraId="73898713" w14:textId="77777777" w:rsidR="00BA4699" w:rsidRPr="00BA4699" w:rsidRDefault="00BA4699" w:rsidP="00BA4699">
            <w:pPr>
              <w:spacing w:after="0" w:line="240" w:lineRule="auto"/>
              <w:jc w:val="center"/>
              <w:rPr>
                <w:rFonts w:cs="Times New Roman"/>
                <w:color w:val="000000"/>
              </w:rPr>
            </w:pPr>
            <w:r w:rsidRPr="00BA4699">
              <w:rPr>
                <w:rFonts w:cs="Times New Roman"/>
                <w:color w:val="000000"/>
              </w:rPr>
              <w:t>3.801174484</w:t>
            </w:r>
          </w:p>
        </w:tc>
        <w:tc>
          <w:tcPr>
            <w:tcW w:w="2234" w:type="dxa"/>
            <w:tcBorders>
              <w:top w:val="nil"/>
              <w:left w:val="nil"/>
              <w:bottom w:val="nil"/>
              <w:right w:val="single" w:sz="8" w:space="0" w:color="auto"/>
            </w:tcBorders>
            <w:shd w:val="clear" w:color="auto" w:fill="auto"/>
            <w:noWrap/>
            <w:vAlign w:val="bottom"/>
            <w:hideMark/>
          </w:tcPr>
          <w:p w14:paraId="7E0FD723" w14:textId="77777777" w:rsidR="00BA4699" w:rsidRPr="00BA4699" w:rsidRDefault="00BA4699" w:rsidP="00BA4699">
            <w:pPr>
              <w:spacing w:after="0" w:line="240" w:lineRule="auto"/>
              <w:jc w:val="center"/>
              <w:rPr>
                <w:rFonts w:cs="Times New Roman"/>
                <w:color w:val="000000"/>
              </w:rPr>
            </w:pPr>
            <w:r w:rsidRPr="00BA4699">
              <w:rPr>
                <w:rFonts w:cs="Times New Roman"/>
                <w:color w:val="000000"/>
              </w:rPr>
              <w:t>3.437969448</w:t>
            </w:r>
          </w:p>
        </w:tc>
      </w:tr>
      <w:tr w:rsidR="00BA4699" w:rsidRPr="00BA4699" w14:paraId="7E1A3724" w14:textId="77777777" w:rsidTr="00BA4699">
        <w:trPr>
          <w:trHeight w:val="412"/>
        </w:trPr>
        <w:tc>
          <w:tcPr>
            <w:tcW w:w="1961" w:type="dxa"/>
            <w:tcBorders>
              <w:top w:val="nil"/>
              <w:left w:val="single" w:sz="8" w:space="0" w:color="auto"/>
              <w:bottom w:val="single" w:sz="8" w:space="0" w:color="auto"/>
              <w:right w:val="single" w:sz="8" w:space="0" w:color="auto"/>
            </w:tcBorders>
            <w:shd w:val="clear" w:color="auto" w:fill="auto"/>
            <w:noWrap/>
            <w:vAlign w:val="bottom"/>
            <w:hideMark/>
          </w:tcPr>
          <w:p w14:paraId="3D4BC5CE" w14:textId="77777777" w:rsidR="00BA4699" w:rsidRPr="00BA4699" w:rsidRDefault="00BA4699" w:rsidP="00BA4699">
            <w:pPr>
              <w:spacing w:after="0" w:line="240" w:lineRule="auto"/>
              <w:rPr>
                <w:rFonts w:cs="Times New Roman"/>
                <w:color w:val="000000"/>
              </w:rPr>
            </w:pPr>
            <w:r w:rsidRPr="002872A7">
              <w:rPr>
                <w:rFonts w:cs="Times New Roman"/>
                <w:color w:val="000000"/>
              </w:rPr>
              <w:t>Standard deviation</w:t>
            </w:r>
          </w:p>
        </w:tc>
        <w:tc>
          <w:tcPr>
            <w:tcW w:w="1581" w:type="dxa"/>
            <w:tcBorders>
              <w:top w:val="nil"/>
              <w:left w:val="nil"/>
              <w:bottom w:val="single" w:sz="8" w:space="0" w:color="auto"/>
              <w:right w:val="single" w:sz="8" w:space="0" w:color="auto"/>
            </w:tcBorders>
            <w:shd w:val="clear" w:color="auto" w:fill="auto"/>
            <w:noWrap/>
            <w:vAlign w:val="bottom"/>
            <w:hideMark/>
          </w:tcPr>
          <w:p w14:paraId="1EF048B4" w14:textId="77777777" w:rsidR="00BA4699" w:rsidRPr="00BA4699" w:rsidRDefault="00BA4699" w:rsidP="00BA4699">
            <w:pPr>
              <w:spacing w:after="0" w:line="240" w:lineRule="auto"/>
              <w:jc w:val="center"/>
              <w:rPr>
                <w:rFonts w:cs="Times New Roman"/>
                <w:color w:val="000000"/>
              </w:rPr>
            </w:pPr>
            <w:r w:rsidRPr="00BA4699">
              <w:rPr>
                <w:rFonts w:cs="Times New Roman"/>
                <w:color w:val="000000"/>
              </w:rPr>
              <w:t>0.234776953</w:t>
            </w:r>
          </w:p>
        </w:tc>
        <w:tc>
          <w:tcPr>
            <w:tcW w:w="1581" w:type="dxa"/>
            <w:tcBorders>
              <w:top w:val="nil"/>
              <w:left w:val="nil"/>
              <w:bottom w:val="single" w:sz="8" w:space="0" w:color="auto"/>
              <w:right w:val="nil"/>
            </w:tcBorders>
            <w:shd w:val="clear" w:color="auto" w:fill="auto"/>
            <w:noWrap/>
            <w:vAlign w:val="bottom"/>
            <w:hideMark/>
          </w:tcPr>
          <w:p w14:paraId="0321E534" w14:textId="77777777" w:rsidR="00BA4699" w:rsidRPr="00BA4699" w:rsidRDefault="00BA4699" w:rsidP="00BA4699">
            <w:pPr>
              <w:spacing w:after="0" w:line="240" w:lineRule="auto"/>
              <w:jc w:val="center"/>
              <w:rPr>
                <w:rFonts w:cs="Times New Roman"/>
                <w:color w:val="000000"/>
              </w:rPr>
            </w:pPr>
            <w:r w:rsidRPr="00BA4699">
              <w:rPr>
                <w:rFonts w:cs="Times New Roman"/>
                <w:color w:val="000000"/>
              </w:rPr>
              <w:t>0.323706586</w:t>
            </w:r>
          </w:p>
        </w:tc>
        <w:tc>
          <w:tcPr>
            <w:tcW w:w="1581" w:type="dxa"/>
            <w:tcBorders>
              <w:top w:val="nil"/>
              <w:left w:val="single" w:sz="8" w:space="0" w:color="auto"/>
              <w:bottom w:val="single" w:sz="8" w:space="0" w:color="auto"/>
              <w:right w:val="single" w:sz="8" w:space="0" w:color="auto"/>
            </w:tcBorders>
            <w:shd w:val="clear" w:color="auto" w:fill="auto"/>
            <w:noWrap/>
            <w:vAlign w:val="bottom"/>
            <w:hideMark/>
          </w:tcPr>
          <w:p w14:paraId="4662BE21" w14:textId="77777777" w:rsidR="00BA4699" w:rsidRPr="00BA4699" w:rsidRDefault="00BA4699" w:rsidP="00BA4699">
            <w:pPr>
              <w:spacing w:after="0" w:line="240" w:lineRule="auto"/>
              <w:jc w:val="center"/>
              <w:rPr>
                <w:rFonts w:cs="Times New Roman"/>
                <w:color w:val="000000"/>
              </w:rPr>
            </w:pPr>
            <w:r w:rsidRPr="00BA4699">
              <w:rPr>
                <w:rFonts w:cs="Times New Roman"/>
                <w:color w:val="000000"/>
              </w:rPr>
              <w:t>0.44515262</w:t>
            </w:r>
          </w:p>
        </w:tc>
        <w:tc>
          <w:tcPr>
            <w:tcW w:w="2234" w:type="dxa"/>
            <w:tcBorders>
              <w:top w:val="nil"/>
              <w:left w:val="nil"/>
              <w:bottom w:val="single" w:sz="8" w:space="0" w:color="auto"/>
              <w:right w:val="single" w:sz="8" w:space="0" w:color="auto"/>
            </w:tcBorders>
            <w:shd w:val="clear" w:color="auto" w:fill="auto"/>
            <w:noWrap/>
            <w:vAlign w:val="bottom"/>
            <w:hideMark/>
          </w:tcPr>
          <w:p w14:paraId="5524C158" w14:textId="77777777" w:rsidR="00BA4699" w:rsidRPr="00BA4699" w:rsidRDefault="00BA4699" w:rsidP="00BA4699">
            <w:pPr>
              <w:spacing w:after="0" w:line="240" w:lineRule="auto"/>
              <w:jc w:val="center"/>
              <w:rPr>
                <w:rFonts w:cs="Times New Roman"/>
                <w:color w:val="000000"/>
              </w:rPr>
            </w:pPr>
            <w:r w:rsidRPr="00BA4699">
              <w:rPr>
                <w:rFonts w:cs="Times New Roman"/>
                <w:color w:val="000000"/>
              </w:rPr>
              <w:t>0.738801237</w:t>
            </w:r>
          </w:p>
        </w:tc>
      </w:tr>
      <w:tr w:rsidR="00BA4699" w:rsidRPr="00BA4699" w14:paraId="291FA422" w14:textId="77777777" w:rsidTr="00BA4699">
        <w:trPr>
          <w:trHeight w:val="412"/>
        </w:trPr>
        <w:tc>
          <w:tcPr>
            <w:tcW w:w="1961" w:type="dxa"/>
            <w:tcBorders>
              <w:top w:val="nil"/>
              <w:left w:val="single" w:sz="8" w:space="0" w:color="auto"/>
              <w:bottom w:val="nil"/>
              <w:right w:val="single" w:sz="8" w:space="0" w:color="auto"/>
            </w:tcBorders>
            <w:shd w:val="clear" w:color="auto" w:fill="auto"/>
            <w:noWrap/>
            <w:vAlign w:val="bottom"/>
            <w:hideMark/>
          </w:tcPr>
          <w:p w14:paraId="4EC248AD" w14:textId="77777777" w:rsidR="00BA4699" w:rsidRPr="00BA4699" w:rsidRDefault="00BA4699" w:rsidP="00BA4699">
            <w:pPr>
              <w:spacing w:after="0" w:line="240" w:lineRule="auto"/>
              <w:rPr>
                <w:rFonts w:cs="Times New Roman"/>
                <w:b/>
                <w:bCs/>
                <w:color w:val="000000"/>
              </w:rPr>
            </w:pPr>
            <w:r w:rsidRPr="00BA4699">
              <w:rPr>
                <w:rFonts w:cs="Times New Roman"/>
                <w:b/>
                <w:bCs/>
                <w:color w:val="000000"/>
              </w:rPr>
              <w:t>Return</w:t>
            </w:r>
          </w:p>
        </w:tc>
        <w:tc>
          <w:tcPr>
            <w:tcW w:w="1581" w:type="dxa"/>
            <w:tcBorders>
              <w:top w:val="nil"/>
              <w:left w:val="nil"/>
              <w:bottom w:val="nil"/>
              <w:right w:val="single" w:sz="8" w:space="0" w:color="auto"/>
            </w:tcBorders>
            <w:shd w:val="clear" w:color="auto" w:fill="auto"/>
            <w:noWrap/>
            <w:vAlign w:val="bottom"/>
            <w:hideMark/>
          </w:tcPr>
          <w:p w14:paraId="0E6B0492" w14:textId="77777777" w:rsidR="00BA4699" w:rsidRPr="00BA4699" w:rsidRDefault="00BA4699" w:rsidP="00BA4699">
            <w:pPr>
              <w:spacing w:after="0" w:line="240" w:lineRule="auto"/>
              <w:jc w:val="center"/>
              <w:rPr>
                <w:rFonts w:cs="Times New Roman"/>
                <w:color w:val="000000"/>
              </w:rPr>
            </w:pPr>
          </w:p>
        </w:tc>
        <w:tc>
          <w:tcPr>
            <w:tcW w:w="1581" w:type="dxa"/>
            <w:tcBorders>
              <w:top w:val="nil"/>
              <w:left w:val="nil"/>
              <w:bottom w:val="nil"/>
              <w:right w:val="nil"/>
            </w:tcBorders>
            <w:shd w:val="clear" w:color="auto" w:fill="auto"/>
            <w:noWrap/>
            <w:vAlign w:val="bottom"/>
            <w:hideMark/>
          </w:tcPr>
          <w:p w14:paraId="3A9B01D9" w14:textId="77777777" w:rsidR="00BA4699" w:rsidRPr="00BA4699" w:rsidRDefault="00BA4699" w:rsidP="00BA4699">
            <w:pPr>
              <w:spacing w:after="0" w:line="240" w:lineRule="auto"/>
              <w:jc w:val="center"/>
              <w:rPr>
                <w:rFonts w:cs="Times New Roman"/>
                <w:color w:val="000000"/>
              </w:rPr>
            </w:pPr>
          </w:p>
        </w:tc>
        <w:tc>
          <w:tcPr>
            <w:tcW w:w="1581" w:type="dxa"/>
            <w:tcBorders>
              <w:top w:val="nil"/>
              <w:left w:val="single" w:sz="8" w:space="0" w:color="auto"/>
              <w:bottom w:val="nil"/>
              <w:right w:val="single" w:sz="8" w:space="0" w:color="auto"/>
            </w:tcBorders>
            <w:shd w:val="clear" w:color="auto" w:fill="auto"/>
            <w:noWrap/>
            <w:vAlign w:val="bottom"/>
            <w:hideMark/>
          </w:tcPr>
          <w:p w14:paraId="67A2AD22" w14:textId="77777777" w:rsidR="00BA4699" w:rsidRPr="00BA4699" w:rsidRDefault="00BA4699" w:rsidP="00BA4699">
            <w:pPr>
              <w:spacing w:after="0" w:line="240" w:lineRule="auto"/>
              <w:jc w:val="center"/>
              <w:rPr>
                <w:rFonts w:cs="Times New Roman"/>
                <w:color w:val="000000"/>
              </w:rPr>
            </w:pPr>
          </w:p>
        </w:tc>
        <w:tc>
          <w:tcPr>
            <w:tcW w:w="2234" w:type="dxa"/>
            <w:tcBorders>
              <w:top w:val="nil"/>
              <w:left w:val="nil"/>
              <w:bottom w:val="nil"/>
              <w:right w:val="single" w:sz="8" w:space="0" w:color="auto"/>
            </w:tcBorders>
            <w:shd w:val="clear" w:color="auto" w:fill="auto"/>
            <w:noWrap/>
            <w:vAlign w:val="bottom"/>
            <w:hideMark/>
          </w:tcPr>
          <w:p w14:paraId="66D8E03E" w14:textId="77777777" w:rsidR="00BA4699" w:rsidRPr="00BA4699" w:rsidRDefault="00BA4699" w:rsidP="00BA4699">
            <w:pPr>
              <w:spacing w:after="0" w:line="240" w:lineRule="auto"/>
              <w:jc w:val="center"/>
              <w:rPr>
                <w:rFonts w:cs="Times New Roman"/>
                <w:color w:val="000000"/>
              </w:rPr>
            </w:pPr>
          </w:p>
        </w:tc>
      </w:tr>
      <w:tr w:rsidR="00BA4699" w:rsidRPr="00BA4699" w14:paraId="0621C6D2" w14:textId="77777777" w:rsidTr="00BA4699">
        <w:trPr>
          <w:trHeight w:val="412"/>
        </w:trPr>
        <w:tc>
          <w:tcPr>
            <w:tcW w:w="1961" w:type="dxa"/>
            <w:tcBorders>
              <w:top w:val="nil"/>
              <w:left w:val="single" w:sz="8" w:space="0" w:color="auto"/>
              <w:bottom w:val="nil"/>
              <w:right w:val="single" w:sz="8" w:space="0" w:color="auto"/>
            </w:tcBorders>
            <w:shd w:val="clear" w:color="auto" w:fill="auto"/>
            <w:noWrap/>
            <w:vAlign w:val="bottom"/>
            <w:hideMark/>
          </w:tcPr>
          <w:p w14:paraId="3DE87EA0" w14:textId="77777777" w:rsidR="00BA4699" w:rsidRPr="00BA4699" w:rsidRDefault="00BA4699" w:rsidP="00BA4699">
            <w:pPr>
              <w:spacing w:after="0" w:line="240" w:lineRule="auto"/>
              <w:rPr>
                <w:rFonts w:cs="Times New Roman"/>
                <w:color w:val="000000"/>
              </w:rPr>
            </w:pPr>
            <w:r w:rsidRPr="00BA4699">
              <w:rPr>
                <w:rFonts w:cs="Times New Roman"/>
                <w:color w:val="000000"/>
              </w:rPr>
              <w:t>Mean</w:t>
            </w:r>
          </w:p>
        </w:tc>
        <w:tc>
          <w:tcPr>
            <w:tcW w:w="1581" w:type="dxa"/>
            <w:tcBorders>
              <w:top w:val="nil"/>
              <w:left w:val="nil"/>
              <w:bottom w:val="nil"/>
              <w:right w:val="single" w:sz="8" w:space="0" w:color="auto"/>
            </w:tcBorders>
            <w:shd w:val="clear" w:color="auto" w:fill="auto"/>
            <w:noWrap/>
            <w:vAlign w:val="bottom"/>
            <w:hideMark/>
          </w:tcPr>
          <w:p w14:paraId="1B4E8489" w14:textId="77777777" w:rsidR="00BA4699" w:rsidRPr="00BA4699" w:rsidRDefault="00BA4699" w:rsidP="00BA4699">
            <w:pPr>
              <w:spacing w:after="0" w:line="240" w:lineRule="auto"/>
              <w:jc w:val="center"/>
              <w:rPr>
                <w:rFonts w:cs="Times New Roman"/>
                <w:color w:val="000000"/>
              </w:rPr>
            </w:pPr>
            <w:r w:rsidRPr="00BA4699">
              <w:rPr>
                <w:rFonts w:cs="Times New Roman"/>
                <w:color w:val="000000"/>
              </w:rPr>
              <w:t>2.588458345</w:t>
            </w:r>
          </w:p>
        </w:tc>
        <w:tc>
          <w:tcPr>
            <w:tcW w:w="1581" w:type="dxa"/>
            <w:tcBorders>
              <w:top w:val="nil"/>
              <w:left w:val="nil"/>
              <w:bottom w:val="nil"/>
              <w:right w:val="nil"/>
            </w:tcBorders>
            <w:shd w:val="clear" w:color="auto" w:fill="auto"/>
            <w:noWrap/>
            <w:vAlign w:val="bottom"/>
            <w:hideMark/>
          </w:tcPr>
          <w:p w14:paraId="2E3F4F64" w14:textId="77777777" w:rsidR="00BA4699" w:rsidRPr="00BA4699" w:rsidRDefault="00BA4699" w:rsidP="00BA4699">
            <w:pPr>
              <w:spacing w:after="0" w:line="240" w:lineRule="auto"/>
              <w:jc w:val="center"/>
              <w:rPr>
                <w:rFonts w:cs="Times New Roman"/>
                <w:color w:val="000000"/>
              </w:rPr>
            </w:pPr>
            <w:r w:rsidRPr="00BA4699">
              <w:rPr>
                <w:rFonts w:cs="Times New Roman"/>
                <w:color w:val="000000"/>
              </w:rPr>
              <w:t>2.737654317</w:t>
            </w:r>
          </w:p>
        </w:tc>
        <w:tc>
          <w:tcPr>
            <w:tcW w:w="1581" w:type="dxa"/>
            <w:tcBorders>
              <w:top w:val="nil"/>
              <w:left w:val="single" w:sz="8" w:space="0" w:color="auto"/>
              <w:bottom w:val="nil"/>
              <w:right w:val="single" w:sz="8" w:space="0" w:color="auto"/>
            </w:tcBorders>
            <w:shd w:val="clear" w:color="auto" w:fill="auto"/>
            <w:noWrap/>
            <w:vAlign w:val="bottom"/>
            <w:hideMark/>
          </w:tcPr>
          <w:p w14:paraId="4DD57E14" w14:textId="77777777" w:rsidR="00BA4699" w:rsidRPr="00BA4699" w:rsidRDefault="00BA4699" w:rsidP="00BA4699">
            <w:pPr>
              <w:spacing w:after="0" w:line="240" w:lineRule="auto"/>
              <w:jc w:val="center"/>
              <w:rPr>
                <w:rFonts w:cs="Times New Roman"/>
                <w:color w:val="000000"/>
              </w:rPr>
            </w:pPr>
            <w:r w:rsidRPr="00BA4699">
              <w:rPr>
                <w:rFonts w:cs="Times New Roman"/>
                <w:color w:val="000000"/>
              </w:rPr>
              <w:t>2.655693383</w:t>
            </w:r>
          </w:p>
        </w:tc>
        <w:tc>
          <w:tcPr>
            <w:tcW w:w="2234" w:type="dxa"/>
            <w:tcBorders>
              <w:top w:val="nil"/>
              <w:left w:val="nil"/>
              <w:bottom w:val="nil"/>
              <w:right w:val="single" w:sz="8" w:space="0" w:color="auto"/>
            </w:tcBorders>
            <w:shd w:val="clear" w:color="auto" w:fill="auto"/>
            <w:noWrap/>
            <w:vAlign w:val="bottom"/>
            <w:hideMark/>
          </w:tcPr>
          <w:p w14:paraId="12529B70" w14:textId="77777777" w:rsidR="00BA4699" w:rsidRPr="00BA4699" w:rsidRDefault="00BA4699" w:rsidP="00BA4699">
            <w:pPr>
              <w:spacing w:after="0" w:line="240" w:lineRule="auto"/>
              <w:jc w:val="center"/>
              <w:rPr>
                <w:rFonts w:cs="Times New Roman"/>
                <w:color w:val="000000"/>
              </w:rPr>
            </w:pPr>
            <w:r w:rsidRPr="00BA4699">
              <w:rPr>
                <w:rFonts w:cs="Times New Roman"/>
                <w:color w:val="000000"/>
              </w:rPr>
              <w:t>2.446938434</w:t>
            </w:r>
          </w:p>
        </w:tc>
      </w:tr>
      <w:tr w:rsidR="00BA4699" w:rsidRPr="00BA4699" w14:paraId="5C507663" w14:textId="77777777" w:rsidTr="00BA4699">
        <w:trPr>
          <w:trHeight w:val="412"/>
        </w:trPr>
        <w:tc>
          <w:tcPr>
            <w:tcW w:w="1961" w:type="dxa"/>
            <w:tcBorders>
              <w:top w:val="nil"/>
              <w:left w:val="single" w:sz="8" w:space="0" w:color="auto"/>
              <w:bottom w:val="nil"/>
              <w:right w:val="single" w:sz="8" w:space="0" w:color="auto"/>
            </w:tcBorders>
            <w:shd w:val="clear" w:color="auto" w:fill="auto"/>
            <w:noWrap/>
            <w:vAlign w:val="bottom"/>
            <w:hideMark/>
          </w:tcPr>
          <w:p w14:paraId="58D5236E" w14:textId="77777777" w:rsidR="00BA4699" w:rsidRPr="00BA4699" w:rsidRDefault="00BA4699" w:rsidP="00BA4699">
            <w:pPr>
              <w:spacing w:after="0" w:line="240" w:lineRule="auto"/>
              <w:rPr>
                <w:rFonts w:cs="Times New Roman"/>
                <w:color w:val="000000"/>
              </w:rPr>
            </w:pPr>
            <w:r w:rsidRPr="00BA4699">
              <w:rPr>
                <w:rFonts w:cs="Times New Roman"/>
                <w:color w:val="000000"/>
              </w:rPr>
              <w:t>Median</w:t>
            </w:r>
          </w:p>
        </w:tc>
        <w:tc>
          <w:tcPr>
            <w:tcW w:w="1581" w:type="dxa"/>
            <w:tcBorders>
              <w:top w:val="nil"/>
              <w:left w:val="nil"/>
              <w:bottom w:val="nil"/>
              <w:right w:val="single" w:sz="8" w:space="0" w:color="auto"/>
            </w:tcBorders>
            <w:shd w:val="clear" w:color="auto" w:fill="auto"/>
            <w:noWrap/>
            <w:vAlign w:val="bottom"/>
            <w:hideMark/>
          </w:tcPr>
          <w:p w14:paraId="03BD1532" w14:textId="77777777" w:rsidR="00BA4699" w:rsidRPr="00BA4699" w:rsidRDefault="00BA4699" w:rsidP="00BA4699">
            <w:pPr>
              <w:spacing w:after="0" w:line="240" w:lineRule="auto"/>
              <w:jc w:val="center"/>
              <w:rPr>
                <w:rFonts w:cs="Times New Roman"/>
                <w:color w:val="000000"/>
              </w:rPr>
            </w:pPr>
            <w:r w:rsidRPr="00BA4699">
              <w:rPr>
                <w:rFonts w:cs="Times New Roman"/>
                <w:color w:val="000000"/>
              </w:rPr>
              <w:t>2.557345522</w:t>
            </w:r>
          </w:p>
        </w:tc>
        <w:tc>
          <w:tcPr>
            <w:tcW w:w="1581" w:type="dxa"/>
            <w:tcBorders>
              <w:top w:val="nil"/>
              <w:left w:val="nil"/>
              <w:bottom w:val="nil"/>
              <w:right w:val="nil"/>
            </w:tcBorders>
            <w:shd w:val="clear" w:color="auto" w:fill="auto"/>
            <w:noWrap/>
            <w:vAlign w:val="bottom"/>
            <w:hideMark/>
          </w:tcPr>
          <w:p w14:paraId="07E2D7AA" w14:textId="77777777" w:rsidR="00BA4699" w:rsidRPr="00BA4699" w:rsidRDefault="00BA4699" w:rsidP="00BA4699">
            <w:pPr>
              <w:spacing w:after="0" w:line="240" w:lineRule="auto"/>
              <w:jc w:val="center"/>
              <w:rPr>
                <w:rFonts w:cs="Times New Roman"/>
                <w:color w:val="000000"/>
              </w:rPr>
            </w:pPr>
            <w:r w:rsidRPr="00BA4699">
              <w:rPr>
                <w:rFonts w:cs="Times New Roman"/>
                <w:color w:val="000000"/>
              </w:rPr>
              <w:t>2.76865779</w:t>
            </w:r>
          </w:p>
        </w:tc>
        <w:tc>
          <w:tcPr>
            <w:tcW w:w="1581" w:type="dxa"/>
            <w:tcBorders>
              <w:top w:val="nil"/>
              <w:left w:val="single" w:sz="8" w:space="0" w:color="auto"/>
              <w:bottom w:val="nil"/>
              <w:right w:val="single" w:sz="8" w:space="0" w:color="auto"/>
            </w:tcBorders>
            <w:shd w:val="clear" w:color="auto" w:fill="auto"/>
            <w:noWrap/>
            <w:vAlign w:val="bottom"/>
            <w:hideMark/>
          </w:tcPr>
          <w:p w14:paraId="24784696" w14:textId="77777777" w:rsidR="00BA4699" w:rsidRPr="00BA4699" w:rsidRDefault="00BA4699" w:rsidP="00BA4699">
            <w:pPr>
              <w:spacing w:after="0" w:line="240" w:lineRule="auto"/>
              <w:jc w:val="center"/>
              <w:rPr>
                <w:rFonts w:cs="Times New Roman"/>
                <w:color w:val="000000"/>
              </w:rPr>
            </w:pPr>
            <w:r w:rsidRPr="00BA4699">
              <w:rPr>
                <w:rFonts w:cs="Times New Roman"/>
                <w:color w:val="000000"/>
              </w:rPr>
              <w:t>2.500223997</w:t>
            </w:r>
          </w:p>
        </w:tc>
        <w:tc>
          <w:tcPr>
            <w:tcW w:w="2234" w:type="dxa"/>
            <w:tcBorders>
              <w:top w:val="nil"/>
              <w:left w:val="nil"/>
              <w:bottom w:val="nil"/>
              <w:right w:val="single" w:sz="8" w:space="0" w:color="auto"/>
            </w:tcBorders>
            <w:shd w:val="clear" w:color="auto" w:fill="auto"/>
            <w:noWrap/>
            <w:vAlign w:val="bottom"/>
            <w:hideMark/>
          </w:tcPr>
          <w:p w14:paraId="3538BA51" w14:textId="77777777" w:rsidR="00BA4699" w:rsidRPr="00BA4699" w:rsidRDefault="00BA4699" w:rsidP="00BA4699">
            <w:pPr>
              <w:spacing w:after="0" w:line="240" w:lineRule="auto"/>
              <w:jc w:val="center"/>
              <w:rPr>
                <w:rFonts w:cs="Times New Roman"/>
                <w:color w:val="000000"/>
              </w:rPr>
            </w:pPr>
            <w:r w:rsidRPr="00BA4699">
              <w:rPr>
                <w:rFonts w:cs="Times New Roman"/>
                <w:color w:val="000000"/>
              </w:rPr>
              <w:t>2.380306519</w:t>
            </w:r>
          </w:p>
        </w:tc>
      </w:tr>
      <w:tr w:rsidR="00BA4699" w:rsidRPr="00BA4699" w14:paraId="2383129C" w14:textId="77777777" w:rsidTr="00BA4699">
        <w:trPr>
          <w:trHeight w:val="412"/>
        </w:trPr>
        <w:tc>
          <w:tcPr>
            <w:tcW w:w="1961" w:type="dxa"/>
            <w:tcBorders>
              <w:top w:val="nil"/>
              <w:left w:val="single" w:sz="8" w:space="0" w:color="auto"/>
              <w:bottom w:val="single" w:sz="8" w:space="0" w:color="auto"/>
              <w:right w:val="single" w:sz="8" w:space="0" w:color="auto"/>
            </w:tcBorders>
            <w:shd w:val="clear" w:color="auto" w:fill="auto"/>
            <w:noWrap/>
            <w:vAlign w:val="bottom"/>
            <w:hideMark/>
          </w:tcPr>
          <w:p w14:paraId="15DAA050" w14:textId="77777777" w:rsidR="00BA4699" w:rsidRPr="00BA4699" w:rsidRDefault="00BA4699" w:rsidP="00BA4699">
            <w:pPr>
              <w:spacing w:after="0" w:line="240" w:lineRule="auto"/>
              <w:rPr>
                <w:rFonts w:cs="Times New Roman"/>
                <w:color w:val="000000"/>
              </w:rPr>
            </w:pPr>
            <w:r w:rsidRPr="002872A7">
              <w:rPr>
                <w:rFonts w:cs="Times New Roman"/>
                <w:color w:val="000000"/>
              </w:rPr>
              <w:t>Standard deviation</w:t>
            </w:r>
          </w:p>
        </w:tc>
        <w:tc>
          <w:tcPr>
            <w:tcW w:w="1581" w:type="dxa"/>
            <w:tcBorders>
              <w:top w:val="nil"/>
              <w:left w:val="nil"/>
              <w:bottom w:val="single" w:sz="8" w:space="0" w:color="auto"/>
              <w:right w:val="single" w:sz="8" w:space="0" w:color="auto"/>
            </w:tcBorders>
            <w:shd w:val="clear" w:color="auto" w:fill="auto"/>
            <w:noWrap/>
            <w:vAlign w:val="bottom"/>
            <w:hideMark/>
          </w:tcPr>
          <w:p w14:paraId="7F44E990" w14:textId="77777777" w:rsidR="00BA4699" w:rsidRPr="00BA4699" w:rsidRDefault="00BA4699" w:rsidP="00BA4699">
            <w:pPr>
              <w:spacing w:after="0" w:line="240" w:lineRule="auto"/>
              <w:jc w:val="center"/>
              <w:rPr>
                <w:rFonts w:cs="Times New Roman"/>
                <w:color w:val="000000"/>
              </w:rPr>
            </w:pPr>
            <w:r w:rsidRPr="00BA4699">
              <w:rPr>
                <w:rFonts w:cs="Times New Roman"/>
                <w:color w:val="000000"/>
              </w:rPr>
              <w:t>0.153474096</w:t>
            </w:r>
          </w:p>
        </w:tc>
        <w:tc>
          <w:tcPr>
            <w:tcW w:w="1581" w:type="dxa"/>
            <w:tcBorders>
              <w:top w:val="nil"/>
              <w:left w:val="nil"/>
              <w:bottom w:val="single" w:sz="8" w:space="0" w:color="auto"/>
              <w:right w:val="nil"/>
            </w:tcBorders>
            <w:shd w:val="clear" w:color="auto" w:fill="auto"/>
            <w:noWrap/>
            <w:vAlign w:val="bottom"/>
            <w:hideMark/>
          </w:tcPr>
          <w:p w14:paraId="11C1249D" w14:textId="77777777" w:rsidR="00BA4699" w:rsidRPr="00BA4699" w:rsidRDefault="00BA4699" w:rsidP="00BA4699">
            <w:pPr>
              <w:spacing w:after="0" w:line="240" w:lineRule="auto"/>
              <w:jc w:val="center"/>
              <w:rPr>
                <w:rFonts w:cs="Times New Roman"/>
                <w:color w:val="000000"/>
              </w:rPr>
            </w:pPr>
            <w:r w:rsidRPr="00BA4699">
              <w:rPr>
                <w:rFonts w:cs="Times New Roman"/>
                <w:color w:val="000000"/>
              </w:rPr>
              <w:t>0.192993233</w:t>
            </w:r>
          </w:p>
        </w:tc>
        <w:tc>
          <w:tcPr>
            <w:tcW w:w="1581" w:type="dxa"/>
            <w:tcBorders>
              <w:top w:val="nil"/>
              <w:left w:val="single" w:sz="8" w:space="0" w:color="auto"/>
              <w:bottom w:val="single" w:sz="8" w:space="0" w:color="auto"/>
              <w:right w:val="single" w:sz="8" w:space="0" w:color="auto"/>
            </w:tcBorders>
            <w:shd w:val="clear" w:color="auto" w:fill="auto"/>
            <w:noWrap/>
            <w:vAlign w:val="bottom"/>
            <w:hideMark/>
          </w:tcPr>
          <w:p w14:paraId="39A652B5" w14:textId="77777777" w:rsidR="00BA4699" w:rsidRPr="00BA4699" w:rsidRDefault="00BA4699" w:rsidP="00BA4699">
            <w:pPr>
              <w:spacing w:after="0" w:line="240" w:lineRule="auto"/>
              <w:jc w:val="center"/>
              <w:rPr>
                <w:rFonts w:cs="Times New Roman"/>
                <w:color w:val="000000"/>
              </w:rPr>
            </w:pPr>
            <w:r w:rsidRPr="00BA4699">
              <w:rPr>
                <w:rFonts w:cs="Times New Roman"/>
                <w:color w:val="000000"/>
              </w:rPr>
              <w:t>0.37992527</w:t>
            </w:r>
          </w:p>
        </w:tc>
        <w:tc>
          <w:tcPr>
            <w:tcW w:w="2234" w:type="dxa"/>
            <w:tcBorders>
              <w:top w:val="nil"/>
              <w:left w:val="nil"/>
              <w:bottom w:val="single" w:sz="8" w:space="0" w:color="auto"/>
              <w:right w:val="single" w:sz="8" w:space="0" w:color="auto"/>
            </w:tcBorders>
            <w:shd w:val="clear" w:color="auto" w:fill="auto"/>
            <w:noWrap/>
            <w:vAlign w:val="bottom"/>
            <w:hideMark/>
          </w:tcPr>
          <w:p w14:paraId="3CBFC205" w14:textId="77777777" w:rsidR="00BA4699" w:rsidRPr="00BA4699" w:rsidRDefault="00BA4699" w:rsidP="00BA4699">
            <w:pPr>
              <w:spacing w:after="0" w:line="240" w:lineRule="auto"/>
              <w:jc w:val="center"/>
              <w:rPr>
                <w:rFonts w:cs="Times New Roman"/>
                <w:color w:val="000000"/>
              </w:rPr>
            </w:pPr>
            <w:r w:rsidRPr="00BA4699">
              <w:rPr>
                <w:rFonts w:cs="Times New Roman"/>
                <w:color w:val="000000"/>
              </w:rPr>
              <w:t>0.202782626</w:t>
            </w:r>
          </w:p>
        </w:tc>
      </w:tr>
    </w:tbl>
    <w:p w14:paraId="766DA783" w14:textId="77777777" w:rsidR="00BA4699" w:rsidRDefault="00BA4699" w:rsidP="00BA7658">
      <w:pPr>
        <w:autoSpaceDE w:val="0"/>
        <w:autoSpaceDN w:val="0"/>
        <w:adjustRightInd w:val="0"/>
        <w:spacing w:line="480" w:lineRule="auto"/>
        <w:jc w:val="both"/>
        <w:rPr>
          <w:rFonts w:ascii="Times New Roman" w:hAnsi="Times New Roman" w:cs="Times New Roman"/>
          <w:sz w:val="24"/>
          <w:szCs w:val="24"/>
        </w:rPr>
      </w:pPr>
    </w:p>
    <w:p w14:paraId="67C0394F" w14:textId="77777777" w:rsidR="00955D39" w:rsidRDefault="00876C49" w:rsidP="00955D39">
      <w:pPr>
        <w:autoSpaceDE w:val="0"/>
        <w:autoSpaceDN w:val="0"/>
        <w:adjustRightInd w:val="0"/>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Table 6</w:t>
      </w:r>
      <w:r w:rsidR="00955D39" w:rsidRPr="00976FD9">
        <w:rPr>
          <w:rFonts w:ascii="Times New Roman" w:hAnsi="Times New Roman" w:cs="Times New Roman"/>
          <w:sz w:val="24"/>
          <w:szCs w:val="24"/>
        </w:rPr>
        <w:t xml:space="preserve"> shows empirical risk estimates for </w:t>
      </w:r>
      <w:r w:rsidR="00955D39">
        <w:rPr>
          <w:rFonts w:ascii="Times New Roman" w:hAnsi="Times New Roman" w:cs="Times New Roman"/>
          <w:sz w:val="24"/>
          <w:szCs w:val="24"/>
        </w:rPr>
        <w:t xml:space="preserve">VaR or Price risk (Equation 1), LVaR measure (Equation 2) according to Bangia et al. (2002) and </w:t>
      </w:r>
      <w:r w:rsidR="00955D39" w:rsidRPr="00976FD9">
        <w:rPr>
          <w:rFonts w:ascii="Times New Roman" w:hAnsi="Times New Roman" w:cs="Times New Roman"/>
          <w:sz w:val="24"/>
          <w:szCs w:val="24"/>
        </w:rPr>
        <w:t xml:space="preserve">the LVaR </w:t>
      </w:r>
      <w:r w:rsidR="00955D39">
        <w:rPr>
          <w:rFonts w:ascii="Times New Roman" w:hAnsi="Times New Roman" w:cs="Times New Roman"/>
          <w:sz w:val="24"/>
          <w:szCs w:val="24"/>
        </w:rPr>
        <w:t>measure</w:t>
      </w:r>
      <w:r w:rsidR="00955D39" w:rsidRPr="00976FD9">
        <w:rPr>
          <w:rFonts w:ascii="Times New Roman" w:hAnsi="Times New Roman" w:cs="Times New Roman"/>
          <w:sz w:val="24"/>
          <w:szCs w:val="24"/>
        </w:rPr>
        <w:t xml:space="preserve"> </w:t>
      </w:r>
      <w:r w:rsidR="009C7CF2">
        <w:rPr>
          <w:rFonts w:ascii="Times New Roman" w:hAnsi="Times New Roman" w:cs="Times New Roman"/>
          <w:sz w:val="24"/>
          <w:szCs w:val="24"/>
        </w:rPr>
        <w:t>(Equation 6</w:t>
      </w:r>
      <w:r w:rsidR="009C7CF2" w:rsidRPr="00976FD9">
        <w:rPr>
          <w:rFonts w:ascii="Times New Roman" w:hAnsi="Times New Roman" w:cs="Times New Roman"/>
          <w:sz w:val="24"/>
          <w:szCs w:val="24"/>
        </w:rPr>
        <w:t xml:space="preserve">) </w:t>
      </w:r>
      <w:r w:rsidR="00955D39" w:rsidRPr="00976FD9">
        <w:rPr>
          <w:rFonts w:ascii="Times New Roman" w:hAnsi="Times New Roman" w:cs="Times New Roman"/>
          <w:sz w:val="24"/>
          <w:szCs w:val="24"/>
        </w:rPr>
        <w:t>suggested by Ernst et al</w:t>
      </w:r>
      <w:r w:rsidR="00955D39">
        <w:rPr>
          <w:rFonts w:ascii="Times New Roman" w:hAnsi="Times New Roman" w:cs="Times New Roman"/>
          <w:sz w:val="24"/>
          <w:szCs w:val="24"/>
        </w:rPr>
        <w:t>. (2012)</w:t>
      </w:r>
      <w:r w:rsidR="009C7CF2">
        <w:rPr>
          <w:rFonts w:ascii="Times New Roman" w:hAnsi="Times New Roman" w:cs="Times New Roman"/>
          <w:sz w:val="24"/>
          <w:szCs w:val="24"/>
        </w:rPr>
        <w:t>.</w:t>
      </w:r>
      <w:r w:rsidR="00955D39">
        <w:rPr>
          <w:rFonts w:ascii="Times New Roman" w:hAnsi="Times New Roman" w:cs="Times New Roman"/>
          <w:sz w:val="24"/>
          <w:szCs w:val="24"/>
        </w:rPr>
        <w:t xml:space="preserve"> </w:t>
      </w:r>
      <w:r w:rsidR="009C7CF2">
        <w:rPr>
          <w:rFonts w:ascii="Times New Roman" w:hAnsi="Times New Roman" w:cs="Times New Roman"/>
          <w:sz w:val="24"/>
          <w:szCs w:val="24"/>
        </w:rPr>
        <w:t>Since, ITC is the most liquid stock with the smallest spread and GAIL is the least liquid stock with the largest spread therefore as expected GAIL has the highest risk estimate and ITC has the lowest. Further the LVaR measure suggested by Ernst et al. (2012) provides highest risk estimates across all the securities.</w:t>
      </w:r>
    </w:p>
    <w:p w14:paraId="54637B1E" w14:textId="77777777" w:rsidR="003F203A" w:rsidRDefault="003F203A" w:rsidP="003F203A">
      <w:pPr>
        <w:pStyle w:val="Caption"/>
        <w:keepNext/>
      </w:pPr>
      <w:r>
        <w:t xml:space="preserve">Table </w:t>
      </w:r>
      <w:r w:rsidR="00EC34E3">
        <w:fldChar w:fldCharType="begin"/>
      </w:r>
      <w:r w:rsidR="00EC34E3">
        <w:instrText xml:space="preserve"> SEQ Table \* ARABIC </w:instrText>
      </w:r>
      <w:r w:rsidR="00EC34E3">
        <w:fldChar w:fldCharType="separate"/>
      </w:r>
      <w:r w:rsidR="00B0578D">
        <w:rPr>
          <w:noProof/>
        </w:rPr>
        <w:t>6</w:t>
      </w:r>
      <w:r w:rsidR="00EC34E3">
        <w:rPr>
          <w:noProof/>
        </w:rPr>
        <w:fldChar w:fldCharType="end"/>
      </w:r>
      <w:r>
        <w:t xml:space="preserve"> Risk estimates</w:t>
      </w:r>
      <w:r w:rsidR="00D0232A">
        <w:t xml:space="preserve"> for Individual Stocks</w:t>
      </w:r>
    </w:p>
    <w:tbl>
      <w:tblPr>
        <w:tblW w:w="9202" w:type="dxa"/>
        <w:tblInd w:w="93" w:type="dxa"/>
        <w:tblLook w:val="04A0" w:firstRow="1" w:lastRow="0" w:firstColumn="1" w:lastColumn="0" w:noHBand="0" w:noVBand="1"/>
      </w:tblPr>
      <w:tblGrid>
        <w:gridCol w:w="2183"/>
        <w:gridCol w:w="2301"/>
        <w:gridCol w:w="1387"/>
        <w:gridCol w:w="1387"/>
        <w:gridCol w:w="1944"/>
      </w:tblGrid>
      <w:tr w:rsidR="003F203A" w:rsidRPr="00BA4699" w14:paraId="5C125635" w14:textId="77777777" w:rsidTr="003F203A">
        <w:trPr>
          <w:trHeight w:val="382"/>
        </w:trPr>
        <w:tc>
          <w:tcPr>
            <w:tcW w:w="218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7770B90" w14:textId="77777777" w:rsidR="00BA4699" w:rsidRPr="00BA4699" w:rsidRDefault="00BA4699" w:rsidP="00BA4699">
            <w:pPr>
              <w:spacing w:after="0" w:line="240" w:lineRule="auto"/>
              <w:rPr>
                <w:rFonts w:cs="Times New Roman"/>
                <w:color w:val="000000"/>
              </w:rPr>
            </w:pPr>
            <w:r w:rsidRPr="00BA4699">
              <w:rPr>
                <w:rFonts w:cs="Times New Roman"/>
                <w:color w:val="000000"/>
              </w:rPr>
              <w:t> </w:t>
            </w:r>
            <w:r w:rsidR="003F203A">
              <w:rPr>
                <w:rFonts w:cs="Times New Roman"/>
                <w:color w:val="000000"/>
              </w:rPr>
              <w:t>%</w:t>
            </w:r>
          </w:p>
        </w:tc>
        <w:tc>
          <w:tcPr>
            <w:tcW w:w="2301" w:type="dxa"/>
            <w:tcBorders>
              <w:top w:val="single" w:sz="8" w:space="0" w:color="auto"/>
              <w:left w:val="nil"/>
              <w:bottom w:val="single" w:sz="8" w:space="0" w:color="auto"/>
              <w:right w:val="nil"/>
            </w:tcBorders>
            <w:shd w:val="clear" w:color="auto" w:fill="auto"/>
            <w:noWrap/>
            <w:vAlign w:val="bottom"/>
            <w:hideMark/>
          </w:tcPr>
          <w:p w14:paraId="7D0348BC" w14:textId="77777777" w:rsidR="00BA4699" w:rsidRPr="00BA4699" w:rsidRDefault="00BA4699" w:rsidP="00BA4699">
            <w:pPr>
              <w:spacing w:after="0" w:line="240" w:lineRule="auto"/>
              <w:jc w:val="center"/>
              <w:rPr>
                <w:rFonts w:cs="Times New Roman"/>
                <w:b/>
                <w:bCs/>
                <w:color w:val="000000"/>
              </w:rPr>
            </w:pPr>
            <w:r w:rsidRPr="00BA4699">
              <w:rPr>
                <w:rFonts w:cs="Times New Roman"/>
                <w:b/>
                <w:bCs/>
                <w:color w:val="000000"/>
              </w:rPr>
              <w:t xml:space="preserve">BAJAJ AUTO </w:t>
            </w:r>
          </w:p>
        </w:tc>
        <w:tc>
          <w:tcPr>
            <w:tcW w:w="138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20A41B2" w14:textId="77777777" w:rsidR="00BA4699" w:rsidRPr="00BA4699" w:rsidRDefault="00BA4699" w:rsidP="00BA4699">
            <w:pPr>
              <w:spacing w:after="0" w:line="240" w:lineRule="auto"/>
              <w:jc w:val="center"/>
              <w:rPr>
                <w:rFonts w:cs="Times New Roman"/>
                <w:b/>
                <w:bCs/>
                <w:color w:val="000000"/>
              </w:rPr>
            </w:pPr>
            <w:r w:rsidRPr="00BA4699">
              <w:rPr>
                <w:rFonts w:cs="Times New Roman"/>
                <w:b/>
                <w:bCs/>
                <w:color w:val="000000"/>
              </w:rPr>
              <w:t xml:space="preserve">CIPLA </w:t>
            </w:r>
          </w:p>
        </w:tc>
        <w:tc>
          <w:tcPr>
            <w:tcW w:w="1387" w:type="dxa"/>
            <w:tcBorders>
              <w:top w:val="single" w:sz="8" w:space="0" w:color="auto"/>
              <w:left w:val="nil"/>
              <w:bottom w:val="single" w:sz="8" w:space="0" w:color="auto"/>
              <w:right w:val="nil"/>
            </w:tcBorders>
            <w:shd w:val="clear" w:color="auto" w:fill="auto"/>
            <w:noWrap/>
            <w:vAlign w:val="bottom"/>
            <w:hideMark/>
          </w:tcPr>
          <w:p w14:paraId="5E8704A2" w14:textId="77777777" w:rsidR="00BA4699" w:rsidRPr="00BA4699" w:rsidRDefault="00BA4699" w:rsidP="00BA4699">
            <w:pPr>
              <w:spacing w:after="0" w:line="240" w:lineRule="auto"/>
              <w:jc w:val="center"/>
              <w:rPr>
                <w:rFonts w:cs="Times New Roman"/>
                <w:b/>
                <w:bCs/>
                <w:color w:val="000000"/>
              </w:rPr>
            </w:pPr>
            <w:r w:rsidRPr="00BA4699">
              <w:rPr>
                <w:rFonts w:cs="Times New Roman"/>
                <w:b/>
                <w:bCs/>
                <w:color w:val="000000"/>
              </w:rPr>
              <w:t>ITC</w:t>
            </w:r>
          </w:p>
        </w:tc>
        <w:tc>
          <w:tcPr>
            <w:tcW w:w="194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CC992D1" w14:textId="77777777" w:rsidR="00BA4699" w:rsidRPr="00BA4699" w:rsidRDefault="00BA4699" w:rsidP="00BA4699">
            <w:pPr>
              <w:spacing w:after="0" w:line="240" w:lineRule="auto"/>
              <w:jc w:val="center"/>
              <w:rPr>
                <w:rFonts w:cs="Times New Roman"/>
                <w:b/>
                <w:bCs/>
                <w:color w:val="000000"/>
              </w:rPr>
            </w:pPr>
            <w:r w:rsidRPr="00BA4699">
              <w:rPr>
                <w:rFonts w:cs="Times New Roman"/>
                <w:b/>
                <w:bCs/>
                <w:color w:val="000000"/>
              </w:rPr>
              <w:t xml:space="preserve">GAIL </w:t>
            </w:r>
          </w:p>
        </w:tc>
      </w:tr>
      <w:tr w:rsidR="003F203A" w:rsidRPr="00BA4699" w14:paraId="42368B44" w14:textId="77777777" w:rsidTr="003F203A">
        <w:trPr>
          <w:trHeight w:val="363"/>
        </w:trPr>
        <w:tc>
          <w:tcPr>
            <w:tcW w:w="2183" w:type="dxa"/>
            <w:tcBorders>
              <w:top w:val="nil"/>
              <w:left w:val="single" w:sz="8" w:space="0" w:color="auto"/>
              <w:bottom w:val="nil"/>
              <w:right w:val="single" w:sz="8" w:space="0" w:color="auto"/>
            </w:tcBorders>
            <w:shd w:val="clear" w:color="auto" w:fill="auto"/>
            <w:noWrap/>
            <w:vAlign w:val="bottom"/>
            <w:hideMark/>
          </w:tcPr>
          <w:p w14:paraId="468219E0" w14:textId="77777777" w:rsidR="00BA4699" w:rsidRPr="00BA4699" w:rsidRDefault="00BA4699" w:rsidP="00BA4699">
            <w:pPr>
              <w:spacing w:after="0" w:line="240" w:lineRule="auto"/>
              <w:rPr>
                <w:rFonts w:cs="Times New Roman"/>
                <w:b/>
                <w:bCs/>
                <w:color w:val="000000"/>
              </w:rPr>
            </w:pPr>
            <w:r w:rsidRPr="00BA4699">
              <w:rPr>
                <w:rFonts w:cs="Times New Roman"/>
                <w:b/>
                <w:bCs/>
                <w:color w:val="000000"/>
              </w:rPr>
              <w:t>Price risk</w:t>
            </w:r>
          </w:p>
        </w:tc>
        <w:tc>
          <w:tcPr>
            <w:tcW w:w="2301" w:type="dxa"/>
            <w:tcBorders>
              <w:top w:val="nil"/>
              <w:left w:val="nil"/>
              <w:bottom w:val="nil"/>
              <w:right w:val="nil"/>
            </w:tcBorders>
            <w:shd w:val="clear" w:color="auto" w:fill="auto"/>
            <w:noWrap/>
            <w:vAlign w:val="bottom"/>
            <w:hideMark/>
          </w:tcPr>
          <w:p w14:paraId="0827926D" w14:textId="77777777" w:rsidR="00BA4699" w:rsidRPr="00BA4699" w:rsidRDefault="00BA4699" w:rsidP="00BA4699">
            <w:pPr>
              <w:spacing w:after="0" w:line="240" w:lineRule="auto"/>
              <w:jc w:val="center"/>
              <w:rPr>
                <w:rFonts w:cs="Times New Roman"/>
                <w:color w:val="000000"/>
              </w:rPr>
            </w:pPr>
            <w:r w:rsidRPr="00BA4699">
              <w:rPr>
                <w:rFonts w:cs="Times New Roman"/>
                <w:color w:val="000000"/>
              </w:rPr>
              <w:t> </w:t>
            </w:r>
          </w:p>
        </w:tc>
        <w:tc>
          <w:tcPr>
            <w:tcW w:w="1387" w:type="dxa"/>
            <w:tcBorders>
              <w:top w:val="nil"/>
              <w:left w:val="single" w:sz="8" w:space="0" w:color="auto"/>
              <w:bottom w:val="nil"/>
              <w:right w:val="single" w:sz="8" w:space="0" w:color="auto"/>
            </w:tcBorders>
            <w:shd w:val="clear" w:color="auto" w:fill="auto"/>
            <w:noWrap/>
            <w:vAlign w:val="bottom"/>
            <w:hideMark/>
          </w:tcPr>
          <w:p w14:paraId="71291039" w14:textId="77777777" w:rsidR="00BA4699" w:rsidRPr="00BA4699" w:rsidRDefault="00BA4699" w:rsidP="00BA4699">
            <w:pPr>
              <w:spacing w:after="0" w:line="240" w:lineRule="auto"/>
              <w:jc w:val="center"/>
              <w:rPr>
                <w:rFonts w:cs="Times New Roman"/>
                <w:color w:val="000000"/>
              </w:rPr>
            </w:pPr>
            <w:r w:rsidRPr="00BA4699">
              <w:rPr>
                <w:rFonts w:cs="Times New Roman"/>
                <w:color w:val="000000"/>
              </w:rPr>
              <w:t> </w:t>
            </w:r>
          </w:p>
        </w:tc>
        <w:tc>
          <w:tcPr>
            <w:tcW w:w="1387" w:type="dxa"/>
            <w:tcBorders>
              <w:top w:val="nil"/>
              <w:left w:val="nil"/>
              <w:bottom w:val="nil"/>
              <w:right w:val="nil"/>
            </w:tcBorders>
            <w:shd w:val="clear" w:color="auto" w:fill="auto"/>
            <w:noWrap/>
            <w:vAlign w:val="bottom"/>
            <w:hideMark/>
          </w:tcPr>
          <w:p w14:paraId="4F60567D" w14:textId="77777777" w:rsidR="00BA4699" w:rsidRPr="00BA4699" w:rsidRDefault="00BA4699" w:rsidP="00BA4699">
            <w:pPr>
              <w:spacing w:after="0" w:line="240" w:lineRule="auto"/>
              <w:jc w:val="center"/>
              <w:rPr>
                <w:rFonts w:cs="Times New Roman"/>
                <w:color w:val="000000"/>
              </w:rPr>
            </w:pPr>
          </w:p>
        </w:tc>
        <w:tc>
          <w:tcPr>
            <w:tcW w:w="1944" w:type="dxa"/>
            <w:tcBorders>
              <w:top w:val="nil"/>
              <w:left w:val="single" w:sz="8" w:space="0" w:color="auto"/>
              <w:bottom w:val="nil"/>
              <w:right w:val="single" w:sz="8" w:space="0" w:color="auto"/>
            </w:tcBorders>
            <w:shd w:val="clear" w:color="auto" w:fill="auto"/>
            <w:noWrap/>
            <w:vAlign w:val="bottom"/>
            <w:hideMark/>
          </w:tcPr>
          <w:p w14:paraId="3DE2D5F2" w14:textId="77777777" w:rsidR="00BA4699" w:rsidRPr="00BA4699" w:rsidRDefault="00BA4699" w:rsidP="00BA4699">
            <w:pPr>
              <w:spacing w:after="0" w:line="240" w:lineRule="auto"/>
              <w:jc w:val="center"/>
              <w:rPr>
                <w:rFonts w:cs="Times New Roman"/>
                <w:color w:val="000000"/>
              </w:rPr>
            </w:pPr>
            <w:r w:rsidRPr="00BA4699">
              <w:rPr>
                <w:rFonts w:cs="Times New Roman"/>
                <w:color w:val="000000"/>
              </w:rPr>
              <w:t> </w:t>
            </w:r>
          </w:p>
        </w:tc>
      </w:tr>
      <w:tr w:rsidR="003F203A" w:rsidRPr="00BA4699" w14:paraId="5AF092E3" w14:textId="77777777" w:rsidTr="003F203A">
        <w:trPr>
          <w:trHeight w:val="382"/>
        </w:trPr>
        <w:tc>
          <w:tcPr>
            <w:tcW w:w="2183" w:type="dxa"/>
            <w:tcBorders>
              <w:top w:val="nil"/>
              <w:left w:val="single" w:sz="8" w:space="0" w:color="auto"/>
              <w:bottom w:val="nil"/>
              <w:right w:val="single" w:sz="8" w:space="0" w:color="auto"/>
            </w:tcBorders>
            <w:shd w:val="clear" w:color="auto" w:fill="auto"/>
            <w:noWrap/>
            <w:vAlign w:val="bottom"/>
            <w:hideMark/>
          </w:tcPr>
          <w:p w14:paraId="41898E30" w14:textId="77777777" w:rsidR="00BA4699" w:rsidRPr="00BA4699" w:rsidRDefault="00BA4699" w:rsidP="00BA4699">
            <w:pPr>
              <w:spacing w:after="0" w:line="240" w:lineRule="auto"/>
              <w:rPr>
                <w:rFonts w:cs="Times New Roman"/>
                <w:color w:val="000000"/>
              </w:rPr>
            </w:pPr>
            <w:r w:rsidRPr="00BA4699">
              <w:rPr>
                <w:rFonts w:cs="Times New Roman"/>
                <w:color w:val="000000"/>
              </w:rPr>
              <w:t>Mean</w:t>
            </w:r>
          </w:p>
        </w:tc>
        <w:tc>
          <w:tcPr>
            <w:tcW w:w="2301" w:type="dxa"/>
            <w:tcBorders>
              <w:top w:val="nil"/>
              <w:left w:val="nil"/>
              <w:bottom w:val="nil"/>
              <w:right w:val="nil"/>
            </w:tcBorders>
            <w:shd w:val="clear" w:color="auto" w:fill="auto"/>
            <w:noWrap/>
            <w:vAlign w:val="bottom"/>
            <w:hideMark/>
          </w:tcPr>
          <w:p w14:paraId="5520A326" w14:textId="77777777" w:rsidR="00BA4699" w:rsidRPr="00BA4699" w:rsidRDefault="00BA4699" w:rsidP="00BA4699">
            <w:pPr>
              <w:spacing w:after="0" w:line="240" w:lineRule="auto"/>
              <w:jc w:val="center"/>
              <w:rPr>
                <w:rFonts w:cs="Times New Roman"/>
                <w:color w:val="000000"/>
              </w:rPr>
            </w:pPr>
            <w:r w:rsidRPr="00BA4699">
              <w:rPr>
                <w:rFonts w:cs="Times New Roman"/>
                <w:color w:val="000000"/>
              </w:rPr>
              <w:t>3.632656699</w:t>
            </w:r>
          </w:p>
        </w:tc>
        <w:tc>
          <w:tcPr>
            <w:tcW w:w="1387" w:type="dxa"/>
            <w:tcBorders>
              <w:top w:val="nil"/>
              <w:left w:val="single" w:sz="8" w:space="0" w:color="auto"/>
              <w:bottom w:val="nil"/>
              <w:right w:val="single" w:sz="8" w:space="0" w:color="auto"/>
            </w:tcBorders>
            <w:shd w:val="clear" w:color="auto" w:fill="auto"/>
            <w:noWrap/>
            <w:vAlign w:val="bottom"/>
            <w:hideMark/>
          </w:tcPr>
          <w:p w14:paraId="601FCF3B" w14:textId="77777777" w:rsidR="00BA4699" w:rsidRPr="00BA4699" w:rsidRDefault="00BA4699" w:rsidP="00BA4699">
            <w:pPr>
              <w:spacing w:after="0" w:line="240" w:lineRule="auto"/>
              <w:jc w:val="center"/>
              <w:rPr>
                <w:rFonts w:cs="Times New Roman"/>
                <w:color w:val="000000"/>
              </w:rPr>
            </w:pPr>
            <w:r w:rsidRPr="00BA4699">
              <w:rPr>
                <w:rFonts w:cs="Times New Roman"/>
                <w:color w:val="000000"/>
              </w:rPr>
              <w:t>3.37084671</w:t>
            </w:r>
          </w:p>
        </w:tc>
        <w:tc>
          <w:tcPr>
            <w:tcW w:w="1387" w:type="dxa"/>
            <w:tcBorders>
              <w:top w:val="nil"/>
              <w:left w:val="nil"/>
              <w:bottom w:val="nil"/>
              <w:right w:val="nil"/>
            </w:tcBorders>
            <w:shd w:val="clear" w:color="auto" w:fill="auto"/>
            <w:noWrap/>
            <w:vAlign w:val="bottom"/>
            <w:hideMark/>
          </w:tcPr>
          <w:p w14:paraId="3F5DEFE3" w14:textId="77777777" w:rsidR="00BA4699" w:rsidRPr="00BA4699" w:rsidRDefault="00BA4699" w:rsidP="00BA4699">
            <w:pPr>
              <w:spacing w:after="0" w:line="240" w:lineRule="auto"/>
              <w:jc w:val="center"/>
              <w:rPr>
                <w:rFonts w:cs="Times New Roman"/>
                <w:color w:val="000000"/>
              </w:rPr>
            </w:pPr>
            <w:r w:rsidRPr="00BA4699">
              <w:rPr>
                <w:rFonts w:cs="Times New Roman"/>
                <w:color w:val="000000"/>
              </w:rPr>
              <w:t>3.258682793</w:t>
            </w:r>
          </w:p>
        </w:tc>
        <w:tc>
          <w:tcPr>
            <w:tcW w:w="1944" w:type="dxa"/>
            <w:tcBorders>
              <w:top w:val="nil"/>
              <w:left w:val="single" w:sz="8" w:space="0" w:color="auto"/>
              <w:bottom w:val="nil"/>
              <w:right w:val="single" w:sz="8" w:space="0" w:color="auto"/>
            </w:tcBorders>
            <w:shd w:val="clear" w:color="auto" w:fill="auto"/>
            <w:noWrap/>
            <w:vAlign w:val="bottom"/>
            <w:hideMark/>
          </w:tcPr>
          <w:p w14:paraId="11C8AF0F" w14:textId="77777777" w:rsidR="00BA4699" w:rsidRPr="00BA4699" w:rsidRDefault="00BA4699" w:rsidP="00BA4699">
            <w:pPr>
              <w:spacing w:after="0" w:line="240" w:lineRule="auto"/>
              <w:jc w:val="center"/>
              <w:rPr>
                <w:rFonts w:cs="Times New Roman"/>
                <w:color w:val="000000"/>
              </w:rPr>
            </w:pPr>
            <w:r w:rsidRPr="00BA4699">
              <w:rPr>
                <w:rFonts w:cs="Times New Roman"/>
                <w:color w:val="000000"/>
              </w:rPr>
              <w:t>3.70610231</w:t>
            </w:r>
          </w:p>
        </w:tc>
      </w:tr>
      <w:tr w:rsidR="003F203A" w:rsidRPr="00BA4699" w14:paraId="1747871D" w14:textId="77777777" w:rsidTr="003F203A">
        <w:trPr>
          <w:trHeight w:val="363"/>
        </w:trPr>
        <w:tc>
          <w:tcPr>
            <w:tcW w:w="2183" w:type="dxa"/>
            <w:tcBorders>
              <w:top w:val="nil"/>
              <w:left w:val="single" w:sz="8" w:space="0" w:color="auto"/>
              <w:bottom w:val="nil"/>
              <w:right w:val="single" w:sz="8" w:space="0" w:color="auto"/>
            </w:tcBorders>
            <w:shd w:val="clear" w:color="auto" w:fill="auto"/>
            <w:noWrap/>
            <w:vAlign w:val="bottom"/>
            <w:hideMark/>
          </w:tcPr>
          <w:p w14:paraId="5A3FF065" w14:textId="77777777" w:rsidR="00BA4699" w:rsidRPr="00BA4699" w:rsidRDefault="00BA4699" w:rsidP="00BA4699">
            <w:pPr>
              <w:spacing w:after="0" w:line="240" w:lineRule="auto"/>
              <w:rPr>
                <w:rFonts w:cs="Times New Roman"/>
                <w:color w:val="000000"/>
              </w:rPr>
            </w:pPr>
            <w:r w:rsidRPr="00BA4699">
              <w:rPr>
                <w:rFonts w:cs="Times New Roman"/>
                <w:color w:val="000000"/>
              </w:rPr>
              <w:t>Median</w:t>
            </w:r>
          </w:p>
        </w:tc>
        <w:tc>
          <w:tcPr>
            <w:tcW w:w="2301" w:type="dxa"/>
            <w:tcBorders>
              <w:top w:val="nil"/>
              <w:left w:val="nil"/>
              <w:bottom w:val="nil"/>
              <w:right w:val="nil"/>
            </w:tcBorders>
            <w:shd w:val="clear" w:color="auto" w:fill="auto"/>
            <w:noWrap/>
            <w:vAlign w:val="bottom"/>
            <w:hideMark/>
          </w:tcPr>
          <w:p w14:paraId="61F63C0A" w14:textId="77777777" w:rsidR="00BA4699" w:rsidRPr="00BA4699" w:rsidRDefault="00BA4699" w:rsidP="00BA4699">
            <w:pPr>
              <w:spacing w:after="0" w:line="240" w:lineRule="auto"/>
              <w:jc w:val="center"/>
              <w:rPr>
                <w:rFonts w:cs="Times New Roman"/>
                <w:color w:val="000000"/>
              </w:rPr>
            </w:pPr>
            <w:r w:rsidRPr="00BA4699">
              <w:rPr>
                <w:rFonts w:cs="Times New Roman"/>
                <w:color w:val="000000"/>
              </w:rPr>
              <w:t>3.467297221</w:t>
            </w:r>
          </w:p>
        </w:tc>
        <w:tc>
          <w:tcPr>
            <w:tcW w:w="1387" w:type="dxa"/>
            <w:tcBorders>
              <w:top w:val="nil"/>
              <w:left w:val="single" w:sz="8" w:space="0" w:color="auto"/>
              <w:bottom w:val="nil"/>
              <w:right w:val="single" w:sz="8" w:space="0" w:color="auto"/>
            </w:tcBorders>
            <w:shd w:val="clear" w:color="auto" w:fill="auto"/>
            <w:noWrap/>
            <w:vAlign w:val="bottom"/>
            <w:hideMark/>
          </w:tcPr>
          <w:p w14:paraId="3E6A344F" w14:textId="77777777" w:rsidR="00BA4699" w:rsidRPr="00BA4699" w:rsidRDefault="00BA4699" w:rsidP="00BA4699">
            <w:pPr>
              <w:spacing w:after="0" w:line="240" w:lineRule="auto"/>
              <w:jc w:val="center"/>
              <w:rPr>
                <w:rFonts w:cs="Times New Roman"/>
                <w:color w:val="000000"/>
              </w:rPr>
            </w:pPr>
            <w:r w:rsidRPr="00BA4699">
              <w:rPr>
                <w:rFonts w:cs="Times New Roman"/>
                <w:color w:val="000000"/>
              </w:rPr>
              <w:t>3.186048101</w:t>
            </w:r>
          </w:p>
        </w:tc>
        <w:tc>
          <w:tcPr>
            <w:tcW w:w="1387" w:type="dxa"/>
            <w:tcBorders>
              <w:top w:val="nil"/>
              <w:left w:val="nil"/>
              <w:bottom w:val="nil"/>
              <w:right w:val="nil"/>
            </w:tcBorders>
            <w:shd w:val="clear" w:color="auto" w:fill="auto"/>
            <w:noWrap/>
            <w:vAlign w:val="bottom"/>
            <w:hideMark/>
          </w:tcPr>
          <w:p w14:paraId="0B658B07" w14:textId="77777777" w:rsidR="00BA4699" w:rsidRPr="00BA4699" w:rsidRDefault="00BA4699" w:rsidP="00BA4699">
            <w:pPr>
              <w:spacing w:after="0" w:line="240" w:lineRule="auto"/>
              <w:jc w:val="center"/>
              <w:rPr>
                <w:rFonts w:cs="Times New Roman"/>
                <w:color w:val="000000"/>
              </w:rPr>
            </w:pPr>
            <w:r w:rsidRPr="00BA4699">
              <w:rPr>
                <w:rFonts w:cs="Times New Roman"/>
                <w:color w:val="000000"/>
              </w:rPr>
              <w:t>3.106862453</w:t>
            </w:r>
          </w:p>
        </w:tc>
        <w:tc>
          <w:tcPr>
            <w:tcW w:w="1944" w:type="dxa"/>
            <w:tcBorders>
              <w:top w:val="nil"/>
              <w:left w:val="single" w:sz="8" w:space="0" w:color="auto"/>
              <w:bottom w:val="nil"/>
              <w:right w:val="single" w:sz="8" w:space="0" w:color="auto"/>
            </w:tcBorders>
            <w:shd w:val="clear" w:color="auto" w:fill="auto"/>
            <w:noWrap/>
            <w:vAlign w:val="bottom"/>
            <w:hideMark/>
          </w:tcPr>
          <w:p w14:paraId="5193343A" w14:textId="77777777" w:rsidR="00BA4699" w:rsidRPr="00BA4699" w:rsidRDefault="00BA4699" w:rsidP="00BA4699">
            <w:pPr>
              <w:spacing w:after="0" w:line="240" w:lineRule="auto"/>
              <w:jc w:val="center"/>
              <w:rPr>
                <w:rFonts w:cs="Times New Roman"/>
                <w:color w:val="000000"/>
              </w:rPr>
            </w:pPr>
            <w:r w:rsidRPr="00BA4699">
              <w:rPr>
                <w:rFonts w:cs="Times New Roman"/>
                <w:color w:val="000000"/>
              </w:rPr>
              <w:t>3.549050878</w:t>
            </w:r>
          </w:p>
        </w:tc>
      </w:tr>
      <w:tr w:rsidR="003F203A" w:rsidRPr="00BA4699" w14:paraId="12259EE4" w14:textId="77777777" w:rsidTr="003F203A">
        <w:trPr>
          <w:trHeight w:val="382"/>
        </w:trPr>
        <w:tc>
          <w:tcPr>
            <w:tcW w:w="2183" w:type="dxa"/>
            <w:tcBorders>
              <w:top w:val="nil"/>
              <w:left w:val="single" w:sz="8" w:space="0" w:color="auto"/>
              <w:bottom w:val="nil"/>
              <w:right w:val="single" w:sz="8" w:space="0" w:color="auto"/>
            </w:tcBorders>
            <w:shd w:val="clear" w:color="auto" w:fill="auto"/>
            <w:noWrap/>
            <w:vAlign w:val="bottom"/>
            <w:hideMark/>
          </w:tcPr>
          <w:p w14:paraId="2E17288C" w14:textId="77777777" w:rsidR="00BA4699" w:rsidRPr="00BA4699" w:rsidRDefault="00BA4699" w:rsidP="00BA4699">
            <w:pPr>
              <w:spacing w:after="0" w:line="240" w:lineRule="auto"/>
              <w:rPr>
                <w:rFonts w:cs="Times New Roman"/>
                <w:color w:val="000000"/>
              </w:rPr>
            </w:pPr>
            <w:r w:rsidRPr="00BA4699">
              <w:rPr>
                <w:rFonts w:cs="Times New Roman"/>
                <w:color w:val="000000"/>
              </w:rPr>
              <w:t>Standard dev.</w:t>
            </w:r>
          </w:p>
        </w:tc>
        <w:tc>
          <w:tcPr>
            <w:tcW w:w="2301" w:type="dxa"/>
            <w:tcBorders>
              <w:top w:val="nil"/>
              <w:left w:val="nil"/>
              <w:bottom w:val="nil"/>
              <w:right w:val="nil"/>
            </w:tcBorders>
            <w:shd w:val="clear" w:color="auto" w:fill="auto"/>
            <w:noWrap/>
            <w:vAlign w:val="bottom"/>
            <w:hideMark/>
          </w:tcPr>
          <w:p w14:paraId="497B4180" w14:textId="77777777" w:rsidR="00BA4699" w:rsidRPr="00BA4699" w:rsidRDefault="00BA4699" w:rsidP="00BA4699">
            <w:pPr>
              <w:spacing w:after="0" w:line="240" w:lineRule="auto"/>
              <w:jc w:val="center"/>
              <w:rPr>
                <w:rFonts w:cs="Times New Roman"/>
                <w:color w:val="000000"/>
              </w:rPr>
            </w:pPr>
            <w:r w:rsidRPr="00BA4699">
              <w:rPr>
                <w:rFonts w:cs="Times New Roman"/>
                <w:color w:val="000000"/>
              </w:rPr>
              <w:t>1.081814956</w:t>
            </w:r>
          </w:p>
        </w:tc>
        <w:tc>
          <w:tcPr>
            <w:tcW w:w="1387" w:type="dxa"/>
            <w:tcBorders>
              <w:top w:val="nil"/>
              <w:left w:val="single" w:sz="8" w:space="0" w:color="auto"/>
              <w:bottom w:val="nil"/>
              <w:right w:val="single" w:sz="8" w:space="0" w:color="auto"/>
            </w:tcBorders>
            <w:shd w:val="clear" w:color="auto" w:fill="auto"/>
            <w:noWrap/>
            <w:vAlign w:val="bottom"/>
            <w:hideMark/>
          </w:tcPr>
          <w:p w14:paraId="188C9FA6" w14:textId="77777777" w:rsidR="00BA4699" w:rsidRPr="00BA4699" w:rsidRDefault="00BA4699" w:rsidP="00BA4699">
            <w:pPr>
              <w:spacing w:after="0" w:line="240" w:lineRule="auto"/>
              <w:jc w:val="center"/>
              <w:rPr>
                <w:rFonts w:cs="Times New Roman"/>
                <w:color w:val="000000"/>
              </w:rPr>
            </w:pPr>
            <w:r w:rsidRPr="00BA4699">
              <w:rPr>
                <w:rFonts w:cs="Times New Roman"/>
                <w:color w:val="000000"/>
              </w:rPr>
              <w:t>1.04598625</w:t>
            </w:r>
          </w:p>
        </w:tc>
        <w:tc>
          <w:tcPr>
            <w:tcW w:w="1387" w:type="dxa"/>
            <w:tcBorders>
              <w:top w:val="nil"/>
              <w:left w:val="nil"/>
              <w:bottom w:val="nil"/>
              <w:right w:val="nil"/>
            </w:tcBorders>
            <w:shd w:val="clear" w:color="auto" w:fill="auto"/>
            <w:noWrap/>
            <w:vAlign w:val="bottom"/>
            <w:hideMark/>
          </w:tcPr>
          <w:p w14:paraId="65D5561B" w14:textId="77777777" w:rsidR="00BA4699" w:rsidRPr="00BA4699" w:rsidRDefault="00BA4699" w:rsidP="00BA4699">
            <w:pPr>
              <w:spacing w:after="0" w:line="240" w:lineRule="auto"/>
              <w:jc w:val="center"/>
              <w:rPr>
                <w:rFonts w:cs="Times New Roman"/>
                <w:color w:val="000000"/>
              </w:rPr>
            </w:pPr>
            <w:r w:rsidRPr="00BA4699">
              <w:rPr>
                <w:rFonts w:cs="Times New Roman"/>
                <w:color w:val="000000"/>
              </w:rPr>
              <w:t>1.032842813</w:t>
            </w:r>
          </w:p>
        </w:tc>
        <w:tc>
          <w:tcPr>
            <w:tcW w:w="1944" w:type="dxa"/>
            <w:tcBorders>
              <w:top w:val="nil"/>
              <w:left w:val="single" w:sz="8" w:space="0" w:color="auto"/>
              <w:bottom w:val="nil"/>
              <w:right w:val="single" w:sz="8" w:space="0" w:color="auto"/>
            </w:tcBorders>
            <w:shd w:val="clear" w:color="auto" w:fill="auto"/>
            <w:noWrap/>
            <w:vAlign w:val="bottom"/>
            <w:hideMark/>
          </w:tcPr>
          <w:p w14:paraId="4455297E" w14:textId="77777777" w:rsidR="00BA4699" w:rsidRPr="00BA4699" w:rsidRDefault="00BA4699" w:rsidP="00BA4699">
            <w:pPr>
              <w:spacing w:after="0" w:line="240" w:lineRule="auto"/>
              <w:jc w:val="center"/>
              <w:rPr>
                <w:rFonts w:cs="Times New Roman"/>
                <w:color w:val="000000"/>
              </w:rPr>
            </w:pPr>
            <w:r w:rsidRPr="00BA4699">
              <w:rPr>
                <w:rFonts w:cs="Times New Roman"/>
                <w:color w:val="000000"/>
              </w:rPr>
              <w:t>1.050924702</w:t>
            </w:r>
          </w:p>
        </w:tc>
      </w:tr>
      <w:tr w:rsidR="003F203A" w:rsidRPr="00BA4699" w14:paraId="02B30407" w14:textId="77777777" w:rsidTr="003F203A">
        <w:trPr>
          <w:trHeight w:val="382"/>
        </w:trPr>
        <w:tc>
          <w:tcPr>
            <w:tcW w:w="2183" w:type="dxa"/>
            <w:tcBorders>
              <w:top w:val="single" w:sz="8" w:space="0" w:color="auto"/>
              <w:left w:val="single" w:sz="8" w:space="0" w:color="auto"/>
              <w:bottom w:val="nil"/>
              <w:right w:val="single" w:sz="8" w:space="0" w:color="auto"/>
            </w:tcBorders>
            <w:shd w:val="clear" w:color="auto" w:fill="auto"/>
            <w:noWrap/>
            <w:vAlign w:val="bottom"/>
            <w:hideMark/>
          </w:tcPr>
          <w:p w14:paraId="484D5BAE" w14:textId="77777777" w:rsidR="00BA4699" w:rsidRPr="00BA4699" w:rsidRDefault="00BA4699" w:rsidP="00BA4699">
            <w:pPr>
              <w:spacing w:after="0" w:line="240" w:lineRule="auto"/>
              <w:rPr>
                <w:rFonts w:cs="Times New Roman"/>
                <w:b/>
                <w:bCs/>
                <w:color w:val="000000"/>
              </w:rPr>
            </w:pPr>
            <w:r w:rsidRPr="00BA4699">
              <w:rPr>
                <w:rFonts w:cs="Times New Roman"/>
                <w:b/>
                <w:bCs/>
                <w:color w:val="000000"/>
              </w:rPr>
              <w:t>LVaR (Bangia et al.)</w:t>
            </w:r>
          </w:p>
        </w:tc>
        <w:tc>
          <w:tcPr>
            <w:tcW w:w="2301" w:type="dxa"/>
            <w:tcBorders>
              <w:top w:val="single" w:sz="8" w:space="0" w:color="auto"/>
              <w:left w:val="nil"/>
              <w:bottom w:val="nil"/>
              <w:right w:val="nil"/>
            </w:tcBorders>
            <w:shd w:val="clear" w:color="auto" w:fill="auto"/>
            <w:noWrap/>
            <w:vAlign w:val="bottom"/>
            <w:hideMark/>
          </w:tcPr>
          <w:p w14:paraId="5AC30DA8" w14:textId="77777777" w:rsidR="00BA4699" w:rsidRPr="00BA4699" w:rsidRDefault="00BA4699" w:rsidP="00BA4699">
            <w:pPr>
              <w:spacing w:after="0" w:line="240" w:lineRule="auto"/>
              <w:jc w:val="center"/>
              <w:rPr>
                <w:rFonts w:cs="Times New Roman"/>
                <w:color w:val="000000"/>
              </w:rPr>
            </w:pPr>
            <w:r w:rsidRPr="00BA4699">
              <w:rPr>
                <w:rFonts w:cs="Times New Roman"/>
                <w:color w:val="000000"/>
              </w:rPr>
              <w:t> </w:t>
            </w:r>
          </w:p>
        </w:tc>
        <w:tc>
          <w:tcPr>
            <w:tcW w:w="1387" w:type="dxa"/>
            <w:tcBorders>
              <w:top w:val="single" w:sz="8" w:space="0" w:color="auto"/>
              <w:left w:val="single" w:sz="8" w:space="0" w:color="auto"/>
              <w:bottom w:val="nil"/>
              <w:right w:val="single" w:sz="8" w:space="0" w:color="auto"/>
            </w:tcBorders>
            <w:shd w:val="clear" w:color="auto" w:fill="auto"/>
            <w:noWrap/>
            <w:vAlign w:val="bottom"/>
            <w:hideMark/>
          </w:tcPr>
          <w:p w14:paraId="07EFD202" w14:textId="77777777" w:rsidR="00BA4699" w:rsidRPr="00BA4699" w:rsidRDefault="00BA4699" w:rsidP="00BA4699">
            <w:pPr>
              <w:spacing w:after="0" w:line="240" w:lineRule="auto"/>
              <w:jc w:val="center"/>
              <w:rPr>
                <w:rFonts w:cs="Times New Roman"/>
                <w:color w:val="000000"/>
              </w:rPr>
            </w:pPr>
            <w:r w:rsidRPr="00BA4699">
              <w:rPr>
                <w:rFonts w:cs="Times New Roman"/>
                <w:color w:val="000000"/>
              </w:rPr>
              <w:t> </w:t>
            </w:r>
          </w:p>
        </w:tc>
        <w:tc>
          <w:tcPr>
            <w:tcW w:w="1387" w:type="dxa"/>
            <w:tcBorders>
              <w:top w:val="single" w:sz="8" w:space="0" w:color="auto"/>
              <w:left w:val="nil"/>
              <w:bottom w:val="nil"/>
              <w:right w:val="nil"/>
            </w:tcBorders>
            <w:shd w:val="clear" w:color="auto" w:fill="auto"/>
            <w:noWrap/>
            <w:vAlign w:val="bottom"/>
            <w:hideMark/>
          </w:tcPr>
          <w:p w14:paraId="16584064" w14:textId="77777777" w:rsidR="00BA4699" w:rsidRPr="00BA4699" w:rsidRDefault="00BA4699" w:rsidP="00BA4699">
            <w:pPr>
              <w:spacing w:after="0" w:line="240" w:lineRule="auto"/>
              <w:jc w:val="center"/>
              <w:rPr>
                <w:rFonts w:cs="Times New Roman"/>
                <w:color w:val="000000"/>
              </w:rPr>
            </w:pPr>
            <w:r w:rsidRPr="00BA4699">
              <w:rPr>
                <w:rFonts w:cs="Times New Roman"/>
                <w:color w:val="000000"/>
              </w:rPr>
              <w:t> </w:t>
            </w:r>
          </w:p>
        </w:tc>
        <w:tc>
          <w:tcPr>
            <w:tcW w:w="1944" w:type="dxa"/>
            <w:tcBorders>
              <w:top w:val="single" w:sz="8" w:space="0" w:color="auto"/>
              <w:left w:val="single" w:sz="8" w:space="0" w:color="auto"/>
              <w:bottom w:val="nil"/>
              <w:right w:val="single" w:sz="8" w:space="0" w:color="auto"/>
            </w:tcBorders>
            <w:shd w:val="clear" w:color="auto" w:fill="auto"/>
            <w:noWrap/>
            <w:vAlign w:val="bottom"/>
            <w:hideMark/>
          </w:tcPr>
          <w:p w14:paraId="52AAEF81" w14:textId="77777777" w:rsidR="00BA4699" w:rsidRPr="00BA4699" w:rsidRDefault="00BA4699" w:rsidP="00BA4699">
            <w:pPr>
              <w:spacing w:after="0" w:line="240" w:lineRule="auto"/>
              <w:jc w:val="center"/>
              <w:rPr>
                <w:rFonts w:cs="Times New Roman"/>
                <w:color w:val="000000"/>
              </w:rPr>
            </w:pPr>
            <w:r w:rsidRPr="00BA4699">
              <w:rPr>
                <w:rFonts w:cs="Times New Roman"/>
                <w:color w:val="000000"/>
              </w:rPr>
              <w:t> </w:t>
            </w:r>
          </w:p>
        </w:tc>
      </w:tr>
      <w:tr w:rsidR="003F203A" w:rsidRPr="00BA4699" w14:paraId="0F3EC5BC" w14:textId="77777777" w:rsidTr="003F203A">
        <w:trPr>
          <w:trHeight w:val="363"/>
        </w:trPr>
        <w:tc>
          <w:tcPr>
            <w:tcW w:w="2183" w:type="dxa"/>
            <w:tcBorders>
              <w:top w:val="nil"/>
              <w:left w:val="single" w:sz="8" w:space="0" w:color="auto"/>
              <w:bottom w:val="nil"/>
              <w:right w:val="single" w:sz="8" w:space="0" w:color="auto"/>
            </w:tcBorders>
            <w:shd w:val="clear" w:color="auto" w:fill="auto"/>
            <w:noWrap/>
            <w:vAlign w:val="bottom"/>
            <w:hideMark/>
          </w:tcPr>
          <w:p w14:paraId="28AE440E" w14:textId="77777777" w:rsidR="00BA4699" w:rsidRPr="00BA4699" w:rsidRDefault="00BA4699" w:rsidP="00BA4699">
            <w:pPr>
              <w:spacing w:after="0" w:line="240" w:lineRule="auto"/>
              <w:rPr>
                <w:rFonts w:cs="Times New Roman"/>
                <w:color w:val="000000"/>
              </w:rPr>
            </w:pPr>
            <w:r w:rsidRPr="00BA4699">
              <w:rPr>
                <w:rFonts w:cs="Times New Roman"/>
                <w:color w:val="000000"/>
              </w:rPr>
              <w:t>Mean</w:t>
            </w:r>
          </w:p>
        </w:tc>
        <w:tc>
          <w:tcPr>
            <w:tcW w:w="2301" w:type="dxa"/>
            <w:tcBorders>
              <w:top w:val="nil"/>
              <w:left w:val="nil"/>
              <w:bottom w:val="nil"/>
              <w:right w:val="nil"/>
            </w:tcBorders>
            <w:shd w:val="clear" w:color="auto" w:fill="auto"/>
            <w:noWrap/>
            <w:vAlign w:val="bottom"/>
            <w:hideMark/>
          </w:tcPr>
          <w:p w14:paraId="407599D1" w14:textId="77777777" w:rsidR="00BA4699" w:rsidRPr="00BA4699" w:rsidRDefault="00BA4699" w:rsidP="00BA4699">
            <w:pPr>
              <w:spacing w:after="0" w:line="240" w:lineRule="auto"/>
              <w:jc w:val="center"/>
              <w:rPr>
                <w:rFonts w:cs="Times New Roman"/>
                <w:color w:val="000000"/>
              </w:rPr>
            </w:pPr>
            <w:r w:rsidRPr="00BA4699">
              <w:rPr>
                <w:rFonts w:cs="Times New Roman"/>
                <w:color w:val="000000"/>
              </w:rPr>
              <w:t>3.803240547</w:t>
            </w:r>
          </w:p>
        </w:tc>
        <w:tc>
          <w:tcPr>
            <w:tcW w:w="1387" w:type="dxa"/>
            <w:tcBorders>
              <w:top w:val="nil"/>
              <w:left w:val="single" w:sz="8" w:space="0" w:color="auto"/>
              <w:bottom w:val="nil"/>
              <w:right w:val="single" w:sz="8" w:space="0" w:color="auto"/>
            </w:tcBorders>
            <w:shd w:val="clear" w:color="auto" w:fill="auto"/>
            <w:noWrap/>
            <w:vAlign w:val="bottom"/>
            <w:hideMark/>
          </w:tcPr>
          <w:p w14:paraId="7A9AB167" w14:textId="77777777" w:rsidR="00BA4699" w:rsidRPr="00BA4699" w:rsidRDefault="00BA4699" w:rsidP="00BA4699">
            <w:pPr>
              <w:spacing w:after="0" w:line="240" w:lineRule="auto"/>
              <w:jc w:val="center"/>
              <w:rPr>
                <w:rFonts w:cs="Times New Roman"/>
                <w:color w:val="000000"/>
              </w:rPr>
            </w:pPr>
            <w:r w:rsidRPr="00BA4699">
              <w:rPr>
                <w:rFonts w:cs="Times New Roman"/>
                <w:color w:val="000000"/>
              </w:rPr>
              <w:t>3.504543781</w:t>
            </w:r>
          </w:p>
        </w:tc>
        <w:tc>
          <w:tcPr>
            <w:tcW w:w="1387" w:type="dxa"/>
            <w:tcBorders>
              <w:top w:val="nil"/>
              <w:left w:val="nil"/>
              <w:bottom w:val="nil"/>
              <w:right w:val="nil"/>
            </w:tcBorders>
            <w:shd w:val="clear" w:color="auto" w:fill="auto"/>
            <w:noWrap/>
            <w:vAlign w:val="bottom"/>
            <w:hideMark/>
          </w:tcPr>
          <w:p w14:paraId="1B94AB64" w14:textId="77777777" w:rsidR="00BA4699" w:rsidRPr="00BA4699" w:rsidRDefault="00BA4699" w:rsidP="00BA4699">
            <w:pPr>
              <w:spacing w:after="0" w:line="240" w:lineRule="auto"/>
              <w:jc w:val="center"/>
              <w:rPr>
                <w:rFonts w:cs="Times New Roman"/>
                <w:color w:val="000000"/>
              </w:rPr>
            </w:pPr>
            <w:r w:rsidRPr="00BA4699">
              <w:rPr>
                <w:rFonts w:cs="Times New Roman"/>
                <w:color w:val="000000"/>
              </w:rPr>
              <w:t>3.354800877</w:t>
            </w:r>
          </w:p>
        </w:tc>
        <w:tc>
          <w:tcPr>
            <w:tcW w:w="1944" w:type="dxa"/>
            <w:tcBorders>
              <w:top w:val="nil"/>
              <w:left w:val="single" w:sz="8" w:space="0" w:color="auto"/>
              <w:bottom w:val="nil"/>
              <w:right w:val="single" w:sz="8" w:space="0" w:color="auto"/>
            </w:tcBorders>
            <w:shd w:val="clear" w:color="auto" w:fill="auto"/>
            <w:noWrap/>
            <w:vAlign w:val="bottom"/>
            <w:hideMark/>
          </w:tcPr>
          <w:p w14:paraId="317FCF41" w14:textId="77777777" w:rsidR="00BA4699" w:rsidRPr="00BA4699" w:rsidRDefault="00BA4699" w:rsidP="00BA4699">
            <w:pPr>
              <w:spacing w:after="0" w:line="240" w:lineRule="auto"/>
              <w:jc w:val="center"/>
              <w:rPr>
                <w:rFonts w:cs="Times New Roman"/>
                <w:color w:val="000000"/>
              </w:rPr>
            </w:pPr>
            <w:r w:rsidRPr="00BA4699">
              <w:rPr>
                <w:rFonts w:cs="Times New Roman"/>
                <w:color w:val="000000"/>
              </w:rPr>
              <w:t>3.904938768</w:t>
            </w:r>
          </w:p>
        </w:tc>
      </w:tr>
      <w:tr w:rsidR="003F203A" w:rsidRPr="00BA4699" w14:paraId="08346441" w14:textId="77777777" w:rsidTr="003F203A">
        <w:trPr>
          <w:trHeight w:val="363"/>
        </w:trPr>
        <w:tc>
          <w:tcPr>
            <w:tcW w:w="2183" w:type="dxa"/>
            <w:tcBorders>
              <w:top w:val="nil"/>
              <w:left w:val="single" w:sz="8" w:space="0" w:color="auto"/>
              <w:bottom w:val="nil"/>
              <w:right w:val="single" w:sz="8" w:space="0" w:color="auto"/>
            </w:tcBorders>
            <w:shd w:val="clear" w:color="auto" w:fill="auto"/>
            <w:noWrap/>
            <w:vAlign w:val="bottom"/>
            <w:hideMark/>
          </w:tcPr>
          <w:p w14:paraId="76347DF5" w14:textId="77777777" w:rsidR="00BA4699" w:rsidRPr="00BA4699" w:rsidRDefault="00BA4699" w:rsidP="00BA4699">
            <w:pPr>
              <w:spacing w:after="0" w:line="240" w:lineRule="auto"/>
              <w:rPr>
                <w:rFonts w:cs="Times New Roman"/>
                <w:color w:val="000000"/>
              </w:rPr>
            </w:pPr>
            <w:r w:rsidRPr="00BA4699">
              <w:rPr>
                <w:rFonts w:cs="Times New Roman"/>
                <w:color w:val="000000"/>
              </w:rPr>
              <w:t>Median</w:t>
            </w:r>
          </w:p>
        </w:tc>
        <w:tc>
          <w:tcPr>
            <w:tcW w:w="2301" w:type="dxa"/>
            <w:tcBorders>
              <w:top w:val="nil"/>
              <w:left w:val="nil"/>
              <w:bottom w:val="nil"/>
              <w:right w:val="nil"/>
            </w:tcBorders>
            <w:shd w:val="clear" w:color="auto" w:fill="auto"/>
            <w:noWrap/>
            <w:vAlign w:val="bottom"/>
            <w:hideMark/>
          </w:tcPr>
          <w:p w14:paraId="56D116D7" w14:textId="77777777" w:rsidR="00BA4699" w:rsidRPr="00BA4699" w:rsidRDefault="00BA4699" w:rsidP="00BA4699">
            <w:pPr>
              <w:spacing w:after="0" w:line="240" w:lineRule="auto"/>
              <w:jc w:val="center"/>
              <w:rPr>
                <w:rFonts w:cs="Times New Roman"/>
                <w:color w:val="000000"/>
              </w:rPr>
            </w:pPr>
            <w:r w:rsidRPr="00BA4699">
              <w:rPr>
                <w:rFonts w:cs="Times New Roman"/>
                <w:color w:val="000000"/>
              </w:rPr>
              <w:t>3.633192289</w:t>
            </w:r>
          </w:p>
        </w:tc>
        <w:tc>
          <w:tcPr>
            <w:tcW w:w="1387" w:type="dxa"/>
            <w:tcBorders>
              <w:top w:val="nil"/>
              <w:left w:val="single" w:sz="8" w:space="0" w:color="auto"/>
              <w:bottom w:val="nil"/>
              <w:right w:val="single" w:sz="8" w:space="0" w:color="auto"/>
            </w:tcBorders>
            <w:shd w:val="clear" w:color="auto" w:fill="auto"/>
            <w:noWrap/>
            <w:vAlign w:val="bottom"/>
            <w:hideMark/>
          </w:tcPr>
          <w:p w14:paraId="2E66133E" w14:textId="77777777" w:rsidR="00BA4699" w:rsidRPr="00BA4699" w:rsidRDefault="00BA4699" w:rsidP="00BA4699">
            <w:pPr>
              <w:spacing w:after="0" w:line="240" w:lineRule="auto"/>
              <w:jc w:val="center"/>
              <w:rPr>
                <w:rFonts w:cs="Times New Roman"/>
                <w:color w:val="000000"/>
              </w:rPr>
            </w:pPr>
            <w:r w:rsidRPr="00BA4699">
              <w:rPr>
                <w:rFonts w:cs="Times New Roman"/>
                <w:color w:val="000000"/>
              </w:rPr>
              <w:t>3.327872271</w:t>
            </w:r>
          </w:p>
        </w:tc>
        <w:tc>
          <w:tcPr>
            <w:tcW w:w="1387" w:type="dxa"/>
            <w:tcBorders>
              <w:top w:val="nil"/>
              <w:left w:val="nil"/>
              <w:bottom w:val="nil"/>
              <w:right w:val="nil"/>
            </w:tcBorders>
            <w:shd w:val="clear" w:color="auto" w:fill="auto"/>
            <w:noWrap/>
            <w:vAlign w:val="bottom"/>
            <w:hideMark/>
          </w:tcPr>
          <w:p w14:paraId="1CFD02E6" w14:textId="77777777" w:rsidR="00BA4699" w:rsidRPr="00BA4699" w:rsidRDefault="00BA4699" w:rsidP="00BA4699">
            <w:pPr>
              <w:spacing w:after="0" w:line="240" w:lineRule="auto"/>
              <w:jc w:val="center"/>
              <w:rPr>
                <w:rFonts w:cs="Times New Roman"/>
                <w:color w:val="000000"/>
              </w:rPr>
            </w:pPr>
            <w:r w:rsidRPr="00BA4699">
              <w:rPr>
                <w:rFonts w:cs="Times New Roman"/>
                <w:color w:val="000000"/>
              </w:rPr>
              <w:t>3.192487517</w:t>
            </w:r>
          </w:p>
        </w:tc>
        <w:tc>
          <w:tcPr>
            <w:tcW w:w="1944" w:type="dxa"/>
            <w:tcBorders>
              <w:top w:val="nil"/>
              <w:left w:val="single" w:sz="8" w:space="0" w:color="auto"/>
              <w:bottom w:val="nil"/>
              <w:right w:val="single" w:sz="8" w:space="0" w:color="auto"/>
            </w:tcBorders>
            <w:shd w:val="clear" w:color="auto" w:fill="auto"/>
            <w:noWrap/>
            <w:vAlign w:val="bottom"/>
            <w:hideMark/>
          </w:tcPr>
          <w:p w14:paraId="3164EF12" w14:textId="77777777" w:rsidR="00BA4699" w:rsidRPr="00BA4699" w:rsidRDefault="00BA4699" w:rsidP="00BA4699">
            <w:pPr>
              <w:spacing w:after="0" w:line="240" w:lineRule="auto"/>
              <w:jc w:val="center"/>
              <w:rPr>
                <w:rFonts w:cs="Times New Roman"/>
                <w:color w:val="000000"/>
              </w:rPr>
            </w:pPr>
            <w:r w:rsidRPr="00BA4699">
              <w:rPr>
                <w:rFonts w:cs="Times New Roman"/>
                <w:color w:val="000000"/>
              </w:rPr>
              <w:t>3.756645786</w:t>
            </w:r>
          </w:p>
        </w:tc>
      </w:tr>
      <w:tr w:rsidR="003F203A" w:rsidRPr="00BA4699" w14:paraId="0E5F5CA7" w14:textId="77777777" w:rsidTr="003F203A">
        <w:trPr>
          <w:trHeight w:val="382"/>
        </w:trPr>
        <w:tc>
          <w:tcPr>
            <w:tcW w:w="2183" w:type="dxa"/>
            <w:tcBorders>
              <w:top w:val="nil"/>
              <w:left w:val="single" w:sz="8" w:space="0" w:color="auto"/>
              <w:bottom w:val="single" w:sz="8" w:space="0" w:color="auto"/>
              <w:right w:val="single" w:sz="8" w:space="0" w:color="auto"/>
            </w:tcBorders>
            <w:shd w:val="clear" w:color="auto" w:fill="auto"/>
            <w:noWrap/>
            <w:vAlign w:val="bottom"/>
            <w:hideMark/>
          </w:tcPr>
          <w:p w14:paraId="5CF6B581" w14:textId="77777777" w:rsidR="00BA4699" w:rsidRPr="00BA4699" w:rsidRDefault="00BA4699" w:rsidP="00BA4699">
            <w:pPr>
              <w:spacing w:after="0" w:line="240" w:lineRule="auto"/>
              <w:rPr>
                <w:rFonts w:cs="Times New Roman"/>
                <w:color w:val="000000"/>
              </w:rPr>
            </w:pPr>
            <w:r w:rsidRPr="00BA4699">
              <w:rPr>
                <w:rFonts w:cs="Times New Roman"/>
                <w:color w:val="000000"/>
              </w:rPr>
              <w:t>Standard dev.</w:t>
            </w:r>
          </w:p>
        </w:tc>
        <w:tc>
          <w:tcPr>
            <w:tcW w:w="2301" w:type="dxa"/>
            <w:tcBorders>
              <w:top w:val="nil"/>
              <w:left w:val="nil"/>
              <w:bottom w:val="single" w:sz="8" w:space="0" w:color="auto"/>
              <w:right w:val="nil"/>
            </w:tcBorders>
            <w:shd w:val="clear" w:color="auto" w:fill="auto"/>
            <w:noWrap/>
            <w:vAlign w:val="bottom"/>
            <w:hideMark/>
          </w:tcPr>
          <w:p w14:paraId="7F9DEFEC" w14:textId="77777777" w:rsidR="00BA4699" w:rsidRPr="00BA4699" w:rsidRDefault="00BA4699" w:rsidP="00BA4699">
            <w:pPr>
              <w:spacing w:after="0" w:line="240" w:lineRule="auto"/>
              <w:jc w:val="center"/>
              <w:rPr>
                <w:rFonts w:cs="Times New Roman"/>
                <w:color w:val="000000"/>
              </w:rPr>
            </w:pPr>
            <w:r w:rsidRPr="00BA4699">
              <w:rPr>
                <w:rFonts w:cs="Times New Roman"/>
                <w:color w:val="000000"/>
              </w:rPr>
              <w:t>1.087671406</w:t>
            </w:r>
          </w:p>
        </w:tc>
        <w:tc>
          <w:tcPr>
            <w:tcW w:w="1387" w:type="dxa"/>
            <w:tcBorders>
              <w:top w:val="nil"/>
              <w:left w:val="single" w:sz="8" w:space="0" w:color="auto"/>
              <w:bottom w:val="single" w:sz="8" w:space="0" w:color="auto"/>
              <w:right w:val="single" w:sz="8" w:space="0" w:color="auto"/>
            </w:tcBorders>
            <w:shd w:val="clear" w:color="auto" w:fill="auto"/>
            <w:noWrap/>
            <w:vAlign w:val="bottom"/>
            <w:hideMark/>
          </w:tcPr>
          <w:p w14:paraId="690A3DAC" w14:textId="77777777" w:rsidR="00BA4699" w:rsidRPr="00BA4699" w:rsidRDefault="00BA4699" w:rsidP="00BA4699">
            <w:pPr>
              <w:spacing w:after="0" w:line="240" w:lineRule="auto"/>
              <w:jc w:val="center"/>
              <w:rPr>
                <w:rFonts w:cs="Times New Roman"/>
                <w:color w:val="000000"/>
              </w:rPr>
            </w:pPr>
            <w:r w:rsidRPr="00BA4699">
              <w:rPr>
                <w:rFonts w:cs="Times New Roman"/>
                <w:color w:val="000000"/>
              </w:rPr>
              <w:t>1.05800485</w:t>
            </w:r>
          </w:p>
        </w:tc>
        <w:tc>
          <w:tcPr>
            <w:tcW w:w="1387" w:type="dxa"/>
            <w:tcBorders>
              <w:top w:val="nil"/>
              <w:left w:val="nil"/>
              <w:bottom w:val="single" w:sz="8" w:space="0" w:color="auto"/>
              <w:right w:val="nil"/>
            </w:tcBorders>
            <w:shd w:val="clear" w:color="auto" w:fill="auto"/>
            <w:noWrap/>
            <w:vAlign w:val="bottom"/>
            <w:hideMark/>
          </w:tcPr>
          <w:p w14:paraId="48ECE2F3" w14:textId="77777777" w:rsidR="00BA4699" w:rsidRPr="00BA4699" w:rsidRDefault="00BA4699" w:rsidP="00BA4699">
            <w:pPr>
              <w:spacing w:after="0" w:line="240" w:lineRule="auto"/>
              <w:jc w:val="center"/>
              <w:rPr>
                <w:rFonts w:cs="Times New Roman"/>
                <w:color w:val="000000"/>
              </w:rPr>
            </w:pPr>
            <w:r w:rsidRPr="00BA4699">
              <w:rPr>
                <w:rFonts w:cs="Times New Roman"/>
                <w:color w:val="000000"/>
              </w:rPr>
              <w:t>1.034768181</w:t>
            </w:r>
          </w:p>
        </w:tc>
        <w:tc>
          <w:tcPr>
            <w:tcW w:w="1944" w:type="dxa"/>
            <w:tcBorders>
              <w:top w:val="nil"/>
              <w:left w:val="single" w:sz="8" w:space="0" w:color="auto"/>
              <w:bottom w:val="single" w:sz="8" w:space="0" w:color="auto"/>
              <w:right w:val="single" w:sz="8" w:space="0" w:color="auto"/>
            </w:tcBorders>
            <w:shd w:val="clear" w:color="auto" w:fill="auto"/>
            <w:noWrap/>
            <w:vAlign w:val="bottom"/>
            <w:hideMark/>
          </w:tcPr>
          <w:p w14:paraId="42CB5A98" w14:textId="77777777" w:rsidR="00BA4699" w:rsidRPr="00BA4699" w:rsidRDefault="00BA4699" w:rsidP="00BA4699">
            <w:pPr>
              <w:spacing w:after="0" w:line="240" w:lineRule="auto"/>
              <w:jc w:val="center"/>
              <w:rPr>
                <w:rFonts w:cs="Times New Roman"/>
                <w:color w:val="000000"/>
              </w:rPr>
            </w:pPr>
            <w:r w:rsidRPr="00BA4699">
              <w:rPr>
                <w:rFonts w:cs="Times New Roman"/>
                <w:color w:val="000000"/>
              </w:rPr>
              <w:t>1.060040644</w:t>
            </w:r>
          </w:p>
        </w:tc>
      </w:tr>
      <w:tr w:rsidR="003F203A" w:rsidRPr="00BA4699" w14:paraId="2F15B8AF" w14:textId="77777777" w:rsidTr="003F203A">
        <w:trPr>
          <w:trHeight w:val="382"/>
        </w:trPr>
        <w:tc>
          <w:tcPr>
            <w:tcW w:w="2183" w:type="dxa"/>
            <w:tcBorders>
              <w:top w:val="nil"/>
              <w:left w:val="single" w:sz="8" w:space="0" w:color="auto"/>
              <w:bottom w:val="nil"/>
              <w:right w:val="single" w:sz="8" w:space="0" w:color="auto"/>
            </w:tcBorders>
            <w:shd w:val="clear" w:color="auto" w:fill="auto"/>
            <w:noWrap/>
            <w:vAlign w:val="bottom"/>
            <w:hideMark/>
          </w:tcPr>
          <w:p w14:paraId="7B722790" w14:textId="77777777" w:rsidR="00BA4699" w:rsidRPr="00BA4699" w:rsidRDefault="00BA4699" w:rsidP="00876C49">
            <w:pPr>
              <w:spacing w:after="0" w:line="240" w:lineRule="auto"/>
              <w:rPr>
                <w:rFonts w:cs="Times New Roman"/>
                <w:b/>
                <w:bCs/>
                <w:color w:val="000000"/>
              </w:rPr>
            </w:pPr>
            <w:r w:rsidRPr="00BA4699">
              <w:rPr>
                <w:rFonts w:cs="Times New Roman"/>
                <w:b/>
                <w:bCs/>
                <w:color w:val="000000"/>
              </w:rPr>
              <w:t>LVaR (</w:t>
            </w:r>
            <w:r w:rsidR="00876C49">
              <w:rPr>
                <w:rFonts w:cs="Times New Roman"/>
                <w:b/>
                <w:bCs/>
                <w:color w:val="000000"/>
              </w:rPr>
              <w:t>Ernst et al.</w:t>
            </w:r>
            <w:r w:rsidRPr="00BA4699">
              <w:rPr>
                <w:rFonts w:cs="Times New Roman"/>
                <w:b/>
                <w:bCs/>
                <w:color w:val="000000"/>
              </w:rPr>
              <w:t>)</w:t>
            </w:r>
          </w:p>
        </w:tc>
        <w:tc>
          <w:tcPr>
            <w:tcW w:w="2301" w:type="dxa"/>
            <w:tcBorders>
              <w:top w:val="nil"/>
              <w:left w:val="nil"/>
              <w:bottom w:val="nil"/>
              <w:right w:val="nil"/>
            </w:tcBorders>
            <w:shd w:val="clear" w:color="auto" w:fill="auto"/>
            <w:noWrap/>
            <w:vAlign w:val="bottom"/>
            <w:hideMark/>
          </w:tcPr>
          <w:p w14:paraId="6564C8A7" w14:textId="77777777" w:rsidR="00BA4699" w:rsidRPr="00BA4699" w:rsidRDefault="00BA4699" w:rsidP="00BA4699">
            <w:pPr>
              <w:spacing w:after="0" w:line="240" w:lineRule="auto"/>
              <w:jc w:val="center"/>
              <w:rPr>
                <w:rFonts w:cs="Times New Roman"/>
                <w:color w:val="000000"/>
              </w:rPr>
            </w:pPr>
            <w:r w:rsidRPr="00BA4699">
              <w:rPr>
                <w:rFonts w:cs="Times New Roman"/>
                <w:color w:val="000000"/>
              </w:rPr>
              <w:t> </w:t>
            </w:r>
          </w:p>
        </w:tc>
        <w:tc>
          <w:tcPr>
            <w:tcW w:w="1387" w:type="dxa"/>
            <w:tcBorders>
              <w:top w:val="nil"/>
              <w:left w:val="single" w:sz="8" w:space="0" w:color="auto"/>
              <w:bottom w:val="nil"/>
              <w:right w:val="single" w:sz="8" w:space="0" w:color="auto"/>
            </w:tcBorders>
            <w:shd w:val="clear" w:color="auto" w:fill="auto"/>
            <w:noWrap/>
            <w:vAlign w:val="bottom"/>
            <w:hideMark/>
          </w:tcPr>
          <w:p w14:paraId="6672ACEC" w14:textId="77777777" w:rsidR="00BA4699" w:rsidRPr="00BA4699" w:rsidRDefault="00BA4699" w:rsidP="00BA4699">
            <w:pPr>
              <w:spacing w:after="0" w:line="240" w:lineRule="auto"/>
              <w:jc w:val="center"/>
              <w:rPr>
                <w:rFonts w:cs="Times New Roman"/>
                <w:color w:val="000000"/>
              </w:rPr>
            </w:pPr>
            <w:r w:rsidRPr="00BA4699">
              <w:rPr>
                <w:rFonts w:cs="Times New Roman"/>
                <w:color w:val="000000"/>
              </w:rPr>
              <w:t> </w:t>
            </w:r>
          </w:p>
        </w:tc>
        <w:tc>
          <w:tcPr>
            <w:tcW w:w="1387" w:type="dxa"/>
            <w:tcBorders>
              <w:top w:val="nil"/>
              <w:left w:val="nil"/>
              <w:bottom w:val="nil"/>
              <w:right w:val="nil"/>
            </w:tcBorders>
            <w:shd w:val="clear" w:color="auto" w:fill="auto"/>
            <w:noWrap/>
            <w:vAlign w:val="bottom"/>
            <w:hideMark/>
          </w:tcPr>
          <w:p w14:paraId="5860B60B" w14:textId="77777777" w:rsidR="00BA4699" w:rsidRPr="00BA4699" w:rsidRDefault="00BA4699" w:rsidP="00BA4699">
            <w:pPr>
              <w:spacing w:after="0" w:line="240" w:lineRule="auto"/>
              <w:jc w:val="center"/>
              <w:rPr>
                <w:rFonts w:cs="Times New Roman"/>
                <w:color w:val="000000"/>
              </w:rPr>
            </w:pPr>
          </w:p>
        </w:tc>
        <w:tc>
          <w:tcPr>
            <w:tcW w:w="1944" w:type="dxa"/>
            <w:tcBorders>
              <w:top w:val="nil"/>
              <w:left w:val="single" w:sz="8" w:space="0" w:color="auto"/>
              <w:bottom w:val="nil"/>
              <w:right w:val="single" w:sz="8" w:space="0" w:color="auto"/>
            </w:tcBorders>
            <w:shd w:val="clear" w:color="auto" w:fill="auto"/>
            <w:noWrap/>
            <w:vAlign w:val="bottom"/>
            <w:hideMark/>
          </w:tcPr>
          <w:p w14:paraId="1134BBCF" w14:textId="77777777" w:rsidR="00BA4699" w:rsidRPr="00BA4699" w:rsidRDefault="00BA4699" w:rsidP="00BA4699">
            <w:pPr>
              <w:spacing w:after="0" w:line="240" w:lineRule="auto"/>
              <w:jc w:val="center"/>
              <w:rPr>
                <w:rFonts w:cs="Times New Roman"/>
                <w:color w:val="000000"/>
              </w:rPr>
            </w:pPr>
            <w:r w:rsidRPr="00BA4699">
              <w:rPr>
                <w:rFonts w:cs="Times New Roman"/>
                <w:color w:val="000000"/>
              </w:rPr>
              <w:t> </w:t>
            </w:r>
          </w:p>
        </w:tc>
      </w:tr>
      <w:tr w:rsidR="003F203A" w:rsidRPr="00BA4699" w14:paraId="79745B33" w14:textId="77777777" w:rsidTr="003F203A">
        <w:trPr>
          <w:trHeight w:val="382"/>
        </w:trPr>
        <w:tc>
          <w:tcPr>
            <w:tcW w:w="2183" w:type="dxa"/>
            <w:tcBorders>
              <w:top w:val="nil"/>
              <w:left w:val="single" w:sz="8" w:space="0" w:color="auto"/>
              <w:bottom w:val="nil"/>
              <w:right w:val="single" w:sz="8" w:space="0" w:color="auto"/>
            </w:tcBorders>
            <w:shd w:val="clear" w:color="auto" w:fill="auto"/>
            <w:noWrap/>
            <w:vAlign w:val="bottom"/>
            <w:hideMark/>
          </w:tcPr>
          <w:p w14:paraId="6F5AEC29" w14:textId="77777777" w:rsidR="00BA4699" w:rsidRPr="00BA4699" w:rsidRDefault="00BA4699" w:rsidP="00BA4699">
            <w:pPr>
              <w:spacing w:after="0" w:line="240" w:lineRule="auto"/>
              <w:rPr>
                <w:rFonts w:cs="Times New Roman"/>
                <w:color w:val="000000"/>
              </w:rPr>
            </w:pPr>
            <w:r w:rsidRPr="00BA4699">
              <w:rPr>
                <w:rFonts w:cs="Times New Roman"/>
                <w:color w:val="000000"/>
              </w:rPr>
              <w:t>Mean</w:t>
            </w:r>
          </w:p>
        </w:tc>
        <w:tc>
          <w:tcPr>
            <w:tcW w:w="2301" w:type="dxa"/>
            <w:tcBorders>
              <w:top w:val="nil"/>
              <w:left w:val="nil"/>
              <w:bottom w:val="nil"/>
              <w:right w:val="nil"/>
            </w:tcBorders>
            <w:shd w:val="clear" w:color="auto" w:fill="auto"/>
            <w:noWrap/>
            <w:vAlign w:val="bottom"/>
            <w:hideMark/>
          </w:tcPr>
          <w:p w14:paraId="0E22D1E4" w14:textId="77777777" w:rsidR="00BA4699" w:rsidRPr="00BA4699" w:rsidRDefault="00BA4699" w:rsidP="00BA4699">
            <w:pPr>
              <w:spacing w:after="0" w:line="240" w:lineRule="auto"/>
              <w:jc w:val="center"/>
              <w:rPr>
                <w:rFonts w:cs="Times New Roman"/>
                <w:color w:val="000000"/>
              </w:rPr>
            </w:pPr>
            <w:r w:rsidRPr="00BA4699">
              <w:rPr>
                <w:rFonts w:cs="Times New Roman"/>
                <w:color w:val="000000"/>
              </w:rPr>
              <w:t>4.221186275</w:t>
            </w:r>
          </w:p>
        </w:tc>
        <w:tc>
          <w:tcPr>
            <w:tcW w:w="1387" w:type="dxa"/>
            <w:tcBorders>
              <w:top w:val="nil"/>
              <w:left w:val="single" w:sz="8" w:space="0" w:color="auto"/>
              <w:bottom w:val="nil"/>
              <w:right w:val="single" w:sz="8" w:space="0" w:color="auto"/>
            </w:tcBorders>
            <w:shd w:val="clear" w:color="auto" w:fill="auto"/>
            <w:noWrap/>
            <w:vAlign w:val="bottom"/>
            <w:hideMark/>
          </w:tcPr>
          <w:p w14:paraId="68DAC801" w14:textId="77777777" w:rsidR="00BA4699" w:rsidRPr="00BA4699" w:rsidRDefault="00BA4699" w:rsidP="00BA4699">
            <w:pPr>
              <w:spacing w:after="0" w:line="240" w:lineRule="auto"/>
              <w:jc w:val="center"/>
              <w:rPr>
                <w:rFonts w:cs="Times New Roman"/>
                <w:color w:val="000000"/>
              </w:rPr>
            </w:pPr>
            <w:r w:rsidRPr="00BA4699">
              <w:rPr>
                <w:rFonts w:cs="Times New Roman"/>
                <w:color w:val="000000"/>
              </w:rPr>
              <w:t>4.139432607</w:t>
            </w:r>
          </w:p>
        </w:tc>
        <w:tc>
          <w:tcPr>
            <w:tcW w:w="1387" w:type="dxa"/>
            <w:tcBorders>
              <w:top w:val="nil"/>
              <w:left w:val="nil"/>
              <w:bottom w:val="nil"/>
              <w:right w:val="nil"/>
            </w:tcBorders>
            <w:shd w:val="clear" w:color="auto" w:fill="auto"/>
            <w:noWrap/>
            <w:vAlign w:val="bottom"/>
            <w:hideMark/>
          </w:tcPr>
          <w:p w14:paraId="2C37C6B3" w14:textId="77777777" w:rsidR="00BA4699" w:rsidRPr="00BA4699" w:rsidRDefault="00BA4699" w:rsidP="00BA4699">
            <w:pPr>
              <w:spacing w:after="0" w:line="240" w:lineRule="auto"/>
              <w:jc w:val="center"/>
              <w:rPr>
                <w:rFonts w:cs="Times New Roman"/>
                <w:color w:val="000000"/>
              </w:rPr>
            </w:pPr>
            <w:r w:rsidRPr="00BA4699">
              <w:rPr>
                <w:rFonts w:cs="Times New Roman"/>
                <w:color w:val="000000"/>
              </w:rPr>
              <w:t>3.80161315</w:t>
            </w:r>
          </w:p>
        </w:tc>
        <w:tc>
          <w:tcPr>
            <w:tcW w:w="1944" w:type="dxa"/>
            <w:tcBorders>
              <w:top w:val="nil"/>
              <w:left w:val="single" w:sz="8" w:space="0" w:color="auto"/>
              <w:bottom w:val="nil"/>
              <w:right w:val="single" w:sz="8" w:space="0" w:color="auto"/>
            </w:tcBorders>
            <w:shd w:val="clear" w:color="auto" w:fill="auto"/>
            <w:noWrap/>
            <w:vAlign w:val="bottom"/>
            <w:hideMark/>
          </w:tcPr>
          <w:p w14:paraId="72CE8FED" w14:textId="77777777" w:rsidR="00BA4699" w:rsidRPr="00BA4699" w:rsidRDefault="00BA4699" w:rsidP="00BA4699">
            <w:pPr>
              <w:spacing w:after="0" w:line="240" w:lineRule="auto"/>
              <w:jc w:val="center"/>
              <w:rPr>
                <w:rFonts w:cs="Times New Roman"/>
                <w:color w:val="000000"/>
              </w:rPr>
            </w:pPr>
            <w:r w:rsidRPr="00BA4699">
              <w:rPr>
                <w:rFonts w:cs="Times New Roman"/>
                <w:color w:val="000000"/>
              </w:rPr>
              <w:t>4.254589843</w:t>
            </w:r>
          </w:p>
        </w:tc>
      </w:tr>
      <w:tr w:rsidR="003F203A" w:rsidRPr="00BA4699" w14:paraId="3EA9EC6A" w14:textId="77777777" w:rsidTr="003F203A">
        <w:trPr>
          <w:trHeight w:val="382"/>
        </w:trPr>
        <w:tc>
          <w:tcPr>
            <w:tcW w:w="2183" w:type="dxa"/>
            <w:tcBorders>
              <w:top w:val="nil"/>
              <w:left w:val="single" w:sz="8" w:space="0" w:color="auto"/>
              <w:bottom w:val="nil"/>
              <w:right w:val="single" w:sz="8" w:space="0" w:color="auto"/>
            </w:tcBorders>
            <w:shd w:val="clear" w:color="auto" w:fill="auto"/>
            <w:noWrap/>
            <w:vAlign w:val="bottom"/>
            <w:hideMark/>
          </w:tcPr>
          <w:p w14:paraId="7FDBA723" w14:textId="77777777" w:rsidR="00BA4699" w:rsidRPr="00BA4699" w:rsidRDefault="00BA4699" w:rsidP="00BA4699">
            <w:pPr>
              <w:spacing w:after="0" w:line="240" w:lineRule="auto"/>
              <w:rPr>
                <w:rFonts w:cs="Times New Roman"/>
                <w:color w:val="000000"/>
              </w:rPr>
            </w:pPr>
            <w:r w:rsidRPr="00BA4699">
              <w:rPr>
                <w:rFonts w:cs="Times New Roman"/>
                <w:color w:val="000000"/>
              </w:rPr>
              <w:t>Median</w:t>
            </w:r>
          </w:p>
        </w:tc>
        <w:tc>
          <w:tcPr>
            <w:tcW w:w="2301" w:type="dxa"/>
            <w:tcBorders>
              <w:top w:val="nil"/>
              <w:left w:val="nil"/>
              <w:bottom w:val="nil"/>
              <w:right w:val="nil"/>
            </w:tcBorders>
            <w:shd w:val="clear" w:color="auto" w:fill="auto"/>
            <w:noWrap/>
            <w:vAlign w:val="bottom"/>
            <w:hideMark/>
          </w:tcPr>
          <w:p w14:paraId="28A7F469" w14:textId="77777777" w:rsidR="00BA4699" w:rsidRPr="00BA4699" w:rsidRDefault="00BA4699" w:rsidP="00BA4699">
            <w:pPr>
              <w:spacing w:after="0" w:line="240" w:lineRule="auto"/>
              <w:jc w:val="center"/>
              <w:rPr>
                <w:rFonts w:cs="Times New Roman"/>
                <w:color w:val="000000"/>
              </w:rPr>
            </w:pPr>
            <w:r w:rsidRPr="00BA4699">
              <w:rPr>
                <w:rFonts w:cs="Times New Roman"/>
                <w:color w:val="000000"/>
              </w:rPr>
              <w:t>4.03003585</w:t>
            </w:r>
          </w:p>
        </w:tc>
        <w:tc>
          <w:tcPr>
            <w:tcW w:w="1387" w:type="dxa"/>
            <w:tcBorders>
              <w:top w:val="nil"/>
              <w:left w:val="single" w:sz="8" w:space="0" w:color="auto"/>
              <w:bottom w:val="nil"/>
              <w:right w:val="single" w:sz="8" w:space="0" w:color="auto"/>
            </w:tcBorders>
            <w:shd w:val="clear" w:color="auto" w:fill="auto"/>
            <w:noWrap/>
            <w:vAlign w:val="bottom"/>
            <w:hideMark/>
          </w:tcPr>
          <w:p w14:paraId="4E581C03" w14:textId="77777777" w:rsidR="00BA4699" w:rsidRPr="00BA4699" w:rsidRDefault="00BA4699" w:rsidP="00BA4699">
            <w:pPr>
              <w:spacing w:after="0" w:line="240" w:lineRule="auto"/>
              <w:jc w:val="center"/>
              <w:rPr>
                <w:rFonts w:cs="Times New Roman"/>
                <w:color w:val="000000"/>
              </w:rPr>
            </w:pPr>
            <w:r w:rsidRPr="00BA4699">
              <w:rPr>
                <w:rFonts w:cs="Times New Roman"/>
                <w:color w:val="000000"/>
              </w:rPr>
              <w:t>3.943251974</w:t>
            </w:r>
          </w:p>
        </w:tc>
        <w:tc>
          <w:tcPr>
            <w:tcW w:w="1387" w:type="dxa"/>
            <w:tcBorders>
              <w:top w:val="nil"/>
              <w:left w:val="nil"/>
              <w:bottom w:val="nil"/>
              <w:right w:val="nil"/>
            </w:tcBorders>
            <w:shd w:val="clear" w:color="auto" w:fill="auto"/>
            <w:noWrap/>
            <w:vAlign w:val="bottom"/>
            <w:hideMark/>
          </w:tcPr>
          <w:p w14:paraId="25377DF3" w14:textId="77777777" w:rsidR="00BA4699" w:rsidRPr="00BA4699" w:rsidRDefault="00BA4699" w:rsidP="00BA4699">
            <w:pPr>
              <w:spacing w:after="0" w:line="240" w:lineRule="auto"/>
              <w:jc w:val="center"/>
              <w:rPr>
                <w:rFonts w:cs="Times New Roman"/>
                <w:color w:val="000000"/>
              </w:rPr>
            </w:pPr>
            <w:r w:rsidRPr="00BA4699">
              <w:rPr>
                <w:rFonts w:cs="Times New Roman"/>
                <w:color w:val="000000"/>
              </w:rPr>
              <w:t>3.612603736</w:t>
            </w:r>
          </w:p>
        </w:tc>
        <w:tc>
          <w:tcPr>
            <w:tcW w:w="1944" w:type="dxa"/>
            <w:tcBorders>
              <w:top w:val="nil"/>
              <w:left w:val="single" w:sz="8" w:space="0" w:color="auto"/>
              <w:bottom w:val="nil"/>
              <w:right w:val="single" w:sz="8" w:space="0" w:color="auto"/>
            </w:tcBorders>
            <w:shd w:val="clear" w:color="auto" w:fill="auto"/>
            <w:noWrap/>
            <w:vAlign w:val="bottom"/>
            <w:hideMark/>
          </w:tcPr>
          <w:p w14:paraId="5CE7AB77" w14:textId="77777777" w:rsidR="00BA4699" w:rsidRPr="00BA4699" w:rsidRDefault="00BA4699" w:rsidP="00BA4699">
            <w:pPr>
              <w:spacing w:after="0" w:line="240" w:lineRule="auto"/>
              <w:jc w:val="center"/>
              <w:rPr>
                <w:rFonts w:cs="Times New Roman"/>
                <w:color w:val="000000"/>
              </w:rPr>
            </w:pPr>
            <w:r w:rsidRPr="00BA4699">
              <w:rPr>
                <w:rFonts w:cs="Times New Roman"/>
                <w:color w:val="000000"/>
              </w:rPr>
              <w:t>4.107947502</w:t>
            </w:r>
          </w:p>
        </w:tc>
      </w:tr>
      <w:tr w:rsidR="003F203A" w:rsidRPr="00BA4699" w14:paraId="4F4B3073" w14:textId="77777777" w:rsidTr="003F203A">
        <w:trPr>
          <w:trHeight w:val="382"/>
        </w:trPr>
        <w:tc>
          <w:tcPr>
            <w:tcW w:w="2183" w:type="dxa"/>
            <w:tcBorders>
              <w:top w:val="nil"/>
              <w:left w:val="single" w:sz="8" w:space="0" w:color="auto"/>
              <w:bottom w:val="single" w:sz="8" w:space="0" w:color="auto"/>
              <w:right w:val="single" w:sz="8" w:space="0" w:color="auto"/>
            </w:tcBorders>
            <w:shd w:val="clear" w:color="auto" w:fill="auto"/>
            <w:noWrap/>
            <w:vAlign w:val="bottom"/>
            <w:hideMark/>
          </w:tcPr>
          <w:p w14:paraId="17DF85D6" w14:textId="77777777" w:rsidR="00BA4699" w:rsidRPr="00BA4699" w:rsidRDefault="00BA4699" w:rsidP="00BA4699">
            <w:pPr>
              <w:spacing w:after="0" w:line="240" w:lineRule="auto"/>
              <w:rPr>
                <w:rFonts w:cs="Times New Roman"/>
                <w:color w:val="000000"/>
              </w:rPr>
            </w:pPr>
            <w:r w:rsidRPr="00BA4699">
              <w:rPr>
                <w:rFonts w:cs="Times New Roman"/>
                <w:color w:val="000000"/>
              </w:rPr>
              <w:t>Standard dev.</w:t>
            </w:r>
          </w:p>
        </w:tc>
        <w:tc>
          <w:tcPr>
            <w:tcW w:w="2301" w:type="dxa"/>
            <w:tcBorders>
              <w:top w:val="nil"/>
              <w:left w:val="nil"/>
              <w:bottom w:val="single" w:sz="8" w:space="0" w:color="auto"/>
              <w:right w:val="nil"/>
            </w:tcBorders>
            <w:shd w:val="clear" w:color="auto" w:fill="auto"/>
            <w:noWrap/>
            <w:vAlign w:val="bottom"/>
            <w:hideMark/>
          </w:tcPr>
          <w:p w14:paraId="751E28B9" w14:textId="77777777" w:rsidR="00BA4699" w:rsidRPr="00BA4699" w:rsidRDefault="00BA4699" w:rsidP="00BA4699">
            <w:pPr>
              <w:spacing w:after="0" w:line="240" w:lineRule="auto"/>
              <w:jc w:val="center"/>
              <w:rPr>
                <w:rFonts w:cs="Times New Roman"/>
                <w:color w:val="000000"/>
              </w:rPr>
            </w:pPr>
            <w:r w:rsidRPr="00BA4699">
              <w:rPr>
                <w:rFonts w:cs="Times New Roman"/>
                <w:color w:val="000000"/>
              </w:rPr>
              <w:t>1.255921982</w:t>
            </w:r>
          </w:p>
        </w:tc>
        <w:tc>
          <w:tcPr>
            <w:tcW w:w="1387" w:type="dxa"/>
            <w:tcBorders>
              <w:top w:val="nil"/>
              <w:left w:val="single" w:sz="8" w:space="0" w:color="auto"/>
              <w:bottom w:val="single" w:sz="8" w:space="0" w:color="auto"/>
              <w:right w:val="single" w:sz="8" w:space="0" w:color="auto"/>
            </w:tcBorders>
            <w:shd w:val="clear" w:color="auto" w:fill="auto"/>
            <w:noWrap/>
            <w:vAlign w:val="bottom"/>
            <w:hideMark/>
          </w:tcPr>
          <w:p w14:paraId="210D3413" w14:textId="77777777" w:rsidR="00BA4699" w:rsidRPr="00BA4699" w:rsidRDefault="00BA4699" w:rsidP="00BA4699">
            <w:pPr>
              <w:spacing w:after="0" w:line="240" w:lineRule="auto"/>
              <w:jc w:val="center"/>
              <w:rPr>
                <w:rFonts w:cs="Times New Roman"/>
                <w:color w:val="000000"/>
              </w:rPr>
            </w:pPr>
            <w:r w:rsidRPr="00BA4699">
              <w:rPr>
                <w:rFonts w:cs="Times New Roman"/>
                <w:color w:val="000000"/>
              </w:rPr>
              <w:t>1.300857475</w:t>
            </w:r>
          </w:p>
        </w:tc>
        <w:tc>
          <w:tcPr>
            <w:tcW w:w="1387" w:type="dxa"/>
            <w:tcBorders>
              <w:top w:val="nil"/>
              <w:left w:val="nil"/>
              <w:bottom w:val="single" w:sz="8" w:space="0" w:color="auto"/>
              <w:right w:val="nil"/>
            </w:tcBorders>
            <w:shd w:val="clear" w:color="auto" w:fill="auto"/>
            <w:noWrap/>
            <w:vAlign w:val="bottom"/>
            <w:hideMark/>
          </w:tcPr>
          <w:p w14:paraId="129381EA" w14:textId="77777777" w:rsidR="00BA4699" w:rsidRPr="00BA4699" w:rsidRDefault="00BA4699" w:rsidP="00BA4699">
            <w:pPr>
              <w:spacing w:after="0" w:line="240" w:lineRule="auto"/>
              <w:jc w:val="center"/>
              <w:rPr>
                <w:rFonts w:cs="Times New Roman"/>
                <w:color w:val="000000"/>
              </w:rPr>
            </w:pPr>
            <w:r w:rsidRPr="00BA4699">
              <w:rPr>
                <w:rFonts w:cs="Times New Roman"/>
                <w:color w:val="000000"/>
              </w:rPr>
              <w:t>1.305408989</w:t>
            </w:r>
          </w:p>
        </w:tc>
        <w:tc>
          <w:tcPr>
            <w:tcW w:w="1944" w:type="dxa"/>
            <w:tcBorders>
              <w:top w:val="nil"/>
              <w:left w:val="single" w:sz="8" w:space="0" w:color="auto"/>
              <w:bottom w:val="single" w:sz="8" w:space="0" w:color="auto"/>
              <w:right w:val="single" w:sz="8" w:space="0" w:color="auto"/>
            </w:tcBorders>
            <w:shd w:val="clear" w:color="auto" w:fill="auto"/>
            <w:noWrap/>
            <w:vAlign w:val="bottom"/>
            <w:hideMark/>
          </w:tcPr>
          <w:p w14:paraId="3FEBACA6" w14:textId="77777777" w:rsidR="00BA4699" w:rsidRPr="00BA4699" w:rsidRDefault="00BA4699" w:rsidP="00BA4699">
            <w:pPr>
              <w:spacing w:after="0" w:line="240" w:lineRule="auto"/>
              <w:jc w:val="center"/>
              <w:rPr>
                <w:rFonts w:cs="Times New Roman"/>
                <w:color w:val="000000"/>
              </w:rPr>
            </w:pPr>
            <w:r w:rsidRPr="00BA4699">
              <w:rPr>
                <w:rFonts w:cs="Times New Roman"/>
                <w:color w:val="000000"/>
              </w:rPr>
              <w:t>1.21632208</w:t>
            </w:r>
          </w:p>
        </w:tc>
      </w:tr>
    </w:tbl>
    <w:p w14:paraId="128E84F2" w14:textId="77777777" w:rsidR="00955D39" w:rsidRDefault="00955D39" w:rsidP="00C10490">
      <w:pPr>
        <w:pStyle w:val="Caption"/>
        <w:keepNext/>
      </w:pPr>
    </w:p>
    <w:p w14:paraId="008EF13D" w14:textId="77777777" w:rsidR="007727A4" w:rsidRDefault="007727A4" w:rsidP="007727A4">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In order to compute the portfolio-level risk estimates, an equally-weighted portfolio is constructed using the stocks Bajaj Auto, Cipla, ITC and Gail. The portfolio level bid-ask series is computed by taking the equally weighted sum of the bids and asks of the instruments (refer section 3 Research Methodology). The bid-ask data thus obtained is used for calculating the portfolio risk estimates following the same approach described earlier. Table 7 shows portfolio risk estimates. </w:t>
      </w:r>
    </w:p>
    <w:p w14:paraId="06C962EB" w14:textId="77777777" w:rsidR="00C10490" w:rsidRDefault="00BC6489" w:rsidP="00C10490">
      <w:pPr>
        <w:pStyle w:val="Caption"/>
        <w:keepNext/>
      </w:pPr>
      <w:r>
        <w:lastRenderedPageBreak/>
        <w:t xml:space="preserve">Table </w:t>
      </w:r>
      <w:r w:rsidR="00EC34E3">
        <w:fldChar w:fldCharType="begin"/>
      </w:r>
      <w:r w:rsidR="00EC34E3">
        <w:instrText xml:space="preserve"> SEQ Table \* ARABIC </w:instrText>
      </w:r>
      <w:r w:rsidR="00EC34E3">
        <w:fldChar w:fldCharType="separate"/>
      </w:r>
      <w:r w:rsidR="00B0578D">
        <w:rPr>
          <w:noProof/>
        </w:rPr>
        <w:t>7</w:t>
      </w:r>
      <w:r w:rsidR="00EC34E3">
        <w:rPr>
          <w:noProof/>
        </w:rPr>
        <w:fldChar w:fldCharType="end"/>
      </w:r>
      <w:r>
        <w:t xml:space="preserve"> Portfolio Risk Estimates</w:t>
      </w:r>
      <w:r w:rsidR="00C10490">
        <w:t xml:space="preserve"> (weights: Bajaj Auto = .25, Cipla = .25, ITC = .25 &amp; GAIL = .25)</w:t>
      </w:r>
    </w:p>
    <w:tbl>
      <w:tblPr>
        <w:tblW w:w="9229" w:type="dxa"/>
        <w:tblInd w:w="93" w:type="dxa"/>
        <w:tblLook w:val="04A0" w:firstRow="1" w:lastRow="0" w:firstColumn="1" w:lastColumn="0" w:noHBand="0" w:noVBand="1"/>
      </w:tblPr>
      <w:tblGrid>
        <w:gridCol w:w="1005"/>
        <w:gridCol w:w="1530"/>
        <w:gridCol w:w="1281"/>
        <w:gridCol w:w="1281"/>
        <w:gridCol w:w="1340"/>
        <w:gridCol w:w="1491"/>
        <w:gridCol w:w="1416"/>
      </w:tblGrid>
      <w:tr w:rsidR="00BC6489" w:rsidRPr="00A9188D" w14:paraId="1A134AC0" w14:textId="77777777" w:rsidTr="00213FA3">
        <w:trPr>
          <w:trHeight w:val="602"/>
        </w:trPr>
        <w:tc>
          <w:tcPr>
            <w:tcW w:w="100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6E475DC" w14:textId="77777777" w:rsidR="00A9188D" w:rsidRPr="00BC6489" w:rsidRDefault="00A9188D" w:rsidP="00A9188D">
            <w:pPr>
              <w:spacing w:after="0" w:line="240" w:lineRule="auto"/>
              <w:rPr>
                <w:rFonts w:cs="Times New Roman"/>
                <w:b/>
                <w:bCs/>
                <w:sz w:val="20"/>
                <w:szCs w:val="20"/>
              </w:rPr>
            </w:pPr>
            <w:r w:rsidRPr="00BC6489">
              <w:rPr>
                <w:rFonts w:cs="Times New Roman"/>
                <w:b/>
                <w:bCs/>
                <w:sz w:val="20"/>
                <w:szCs w:val="20"/>
              </w:rPr>
              <w:t> </w:t>
            </w:r>
          </w:p>
        </w:tc>
        <w:tc>
          <w:tcPr>
            <w:tcW w:w="1530" w:type="dxa"/>
            <w:tcBorders>
              <w:top w:val="single" w:sz="8" w:space="0" w:color="auto"/>
              <w:left w:val="nil"/>
              <w:bottom w:val="single" w:sz="8" w:space="0" w:color="auto"/>
              <w:right w:val="single" w:sz="8" w:space="0" w:color="auto"/>
            </w:tcBorders>
            <w:shd w:val="clear" w:color="auto" w:fill="auto"/>
            <w:noWrap/>
            <w:vAlign w:val="bottom"/>
            <w:hideMark/>
          </w:tcPr>
          <w:p w14:paraId="358A6FDF" w14:textId="77777777" w:rsidR="00A9188D" w:rsidRPr="00BC6489" w:rsidRDefault="00A9188D" w:rsidP="00A9188D">
            <w:pPr>
              <w:spacing w:after="0" w:line="240" w:lineRule="auto"/>
              <w:jc w:val="center"/>
              <w:rPr>
                <w:rFonts w:cs="Times New Roman"/>
                <w:b/>
                <w:bCs/>
                <w:sz w:val="20"/>
                <w:szCs w:val="20"/>
              </w:rPr>
            </w:pPr>
            <w:r w:rsidRPr="00BC6489">
              <w:rPr>
                <w:rFonts w:cs="Times New Roman"/>
                <w:b/>
                <w:bCs/>
                <w:sz w:val="20"/>
                <w:szCs w:val="20"/>
              </w:rPr>
              <w:t>Relative Spread</w:t>
            </w:r>
          </w:p>
        </w:tc>
        <w:tc>
          <w:tcPr>
            <w:tcW w:w="1166" w:type="dxa"/>
            <w:tcBorders>
              <w:top w:val="single" w:sz="8" w:space="0" w:color="auto"/>
              <w:left w:val="nil"/>
              <w:bottom w:val="single" w:sz="8" w:space="0" w:color="auto"/>
              <w:right w:val="nil"/>
            </w:tcBorders>
            <w:shd w:val="clear" w:color="auto" w:fill="auto"/>
            <w:noWrap/>
            <w:vAlign w:val="bottom"/>
            <w:hideMark/>
          </w:tcPr>
          <w:p w14:paraId="1AF2924F" w14:textId="77777777" w:rsidR="00A9188D" w:rsidRPr="00BC6489" w:rsidRDefault="00A9188D" w:rsidP="00A9188D">
            <w:pPr>
              <w:spacing w:after="0" w:line="240" w:lineRule="auto"/>
              <w:jc w:val="center"/>
              <w:rPr>
                <w:rFonts w:cs="Times New Roman"/>
                <w:b/>
                <w:bCs/>
                <w:sz w:val="20"/>
                <w:szCs w:val="20"/>
              </w:rPr>
            </w:pPr>
            <w:r w:rsidRPr="00BC6489">
              <w:rPr>
                <w:rFonts w:cs="Times New Roman"/>
                <w:b/>
                <w:bCs/>
                <w:sz w:val="20"/>
                <w:szCs w:val="20"/>
              </w:rPr>
              <w:t>Return</w:t>
            </w:r>
          </w:p>
        </w:tc>
        <w:tc>
          <w:tcPr>
            <w:tcW w:w="128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6E3A16F" w14:textId="77777777" w:rsidR="00A9188D" w:rsidRPr="00BC6489" w:rsidRDefault="00A9188D" w:rsidP="00A9188D">
            <w:pPr>
              <w:spacing w:after="0" w:line="240" w:lineRule="auto"/>
              <w:jc w:val="center"/>
              <w:rPr>
                <w:rFonts w:cs="Times New Roman"/>
                <w:b/>
                <w:bCs/>
                <w:sz w:val="20"/>
                <w:szCs w:val="20"/>
              </w:rPr>
            </w:pPr>
            <w:r w:rsidRPr="00BC6489">
              <w:rPr>
                <w:rFonts w:cs="Times New Roman"/>
                <w:b/>
                <w:bCs/>
                <w:sz w:val="20"/>
                <w:szCs w:val="20"/>
              </w:rPr>
              <w:t>Skewness(S)</w:t>
            </w:r>
          </w:p>
        </w:tc>
        <w:tc>
          <w:tcPr>
            <w:tcW w:w="1340" w:type="dxa"/>
            <w:tcBorders>
              <w:top w:val="single" w:sz="8" w:space="0" w:color="auto"/>
              <w:left w:val="nil"/>
              <w:bottom w:val="single" w:sz="8" w:space="0" w:color="auto"/>
              <w:right w:val="nil"/>
            </w:tcBorders>
            <w:shd w:val="clear" w:color="auto" w:fill="auto"/>
            <w:noWrap/>
            <w:vAlign w:val="bottom"/>
            <w:hideMark/>
          </w:tcPr>
          <w:p w14:paraId="45B51D21" w14:textId="77777777" w:rsidR="00A9188D" w:rsidRPr="00BC6489" w:rsidRDefault="00A9188D" w:rsidP="00A9188D">
            <w:pPr>
              <w:spacing w:after="0" w:line="240" w:lineRule="auto"/>
              <w:jc w:val="center"/>
              <w:rPr>
                <w:rFonts w:cs="Times New Roman"/>
                <w:b/>
                <w:bCs/>
                <w:sz w:val="20"/>
                <w:szCs w:val="20"/>
              </w:rPr>
            </w:pPr>
            <w:r w:rsidRPr="00BC6489">
              <w:rPr>
                <w:rFonts w:cs="Times New Roman"/>
                <w:b/>
                <w:bCs/>
                <w:sz w:val="20"/>
                <w:szCs w:val="20"/>
              </w:rPr>
              <w:t>Kurtosis(S)</w:t>
            </w:r>
          </w:p>
        </w:tc>
        <w:tc>
          <w:tcPr>
            <w:tcW w:w="149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02B53DA" w14:textId="77777777" w:rsidR="00A9188D" w:rsidRPr="00BC6489" w:rsidRDefault="00A9188D" w:rsidP="00A9188D">
            <w:pPr>
              <w:spacing w:after="0" w:line="240" w:lineRule="auto"/>
              <w:jc w:val="center"/>
              <w:rPr>
                <w:rFonts w:cs="Times New Roman"/>
                <w:b/>
                <w:bCs/>
                <w:sz w:val="20"/>
                <w:szCs w:val="20"/>
              </w:rPr>
            </w:pPr>
            <w:r w:rsidRPr="00BC6489">
              <w:rPr>
                <w:rFonts w:cs="Times New Roman"/>
                <w:b/>
                <w:bCs/>
                <w:sz w:val="20"/>
                <w:szCs w:val="20"/>
              </w:rPr>
              <w:t>Skewness (R)</w:t>
            </w:r>
          </w:p>
        </w:tc>
        <w:tc>
          <w:tcPr>
            <w:tcW w:w="1416" w:type="dxa"/>
            <w:tcBorders>
              <w:top w:val="single" w:sz="8" w:space="0" w:color="auto"/>
              <w:left w:val="nil"/>
              <w:bottom w:val="single" w:sz="8" w:space="0" w:color="auto"/>
              <w:right w:val="single" w:sz="8" w:space="0" w:color="auto"/>
            </w:tcBorders>
            <w:shd w:val="clear" w:color="auto" w:fill="auto"/>
            <w:noWrap/>
            <w:vAlign w:val="bottom"/>
            <w:hideMark/>
          </w:tcPr>
          <w:p w14:paraId="293CBC5F" w14:textId="77777777" w:rsidR="00A9188D" w:rsidRPr="00BC6489" w:rsidRDefault="00A9188D" w:rsidP="00A9188D">
            <w:pPr>
              <w:spacing w:after="0" w:line="240" w:lineRule="auto"/>
              <w:jc w:val="center"/>
              <w:rPr>
                <w:rFonts w:cs="Times New Roman"/>
                <w:b/>
                <w:bCs/>
                <w:sz w:val="20"/>
                <w:szCs w:val="20"/>
              </w:rPr>
            </w:pPr>
            <w:r w:rsidRPr="00BC6489">
              <w:rPr>
                <w:rFonts w:cs="Times New Roman"/>
                <w:b/>
                <w:bCs/>
                <w:sz w:val="20"/>
                <w:szCs w:val="20"/>
              </w:rPr>
              <w:t>Kurtosis (R)</w:t>
            </w:r>
          </w:p>
        </w:tc>
      </w:tr>
      <w:tr w:rsidR="00BC6489" w:rsidRPr="00A9188D" w14:paraId="4B45BC6A" w14:textId="77777777" w:rsidTr="00213FA3">
        <w:trPr>
          <w:trHeight w:val="573"/>
        </w:trPr>
        <w:tc>
          <w:tcPr>
            <w:tcW w:w="1005" w:type="dxa"/>
            <w:tcBorders>
              <w:top w:val="nil"/>
              <w:left w:val="single" w:sz="8" w:space="0" w:color="auto"/>
              <w:bottom w:val="nil"/>
              <w:right w:val="single" w:sz="8" w:space="0" w:color="auto"/>
            </w:tcBorders>
            <w:shd w:val="clear" w:color="auto" w:fill="auto"/>
            <w:noWrap/>
            <w:vAlign w:val="bottom"/>
            <w:hideMark/>
          </w:tcPr>
          <w:p w14:paraId="7127711A" w14:textId="77777777" w:rsidR="00A9188D" w:rsidRPr="00BC6489" w:rsidRDefault="00A9188D" w:rsidP="00A9188D">
            <w:pPr>
              <w:spacing w:after="0" w:line="240" w:lineRule="auto"/>
              <w:rPr>
                <w:rFonts w:cs="Times New Roman"/>
                <w:b/>
                <w:color w:val="000000"/>
                <w:sz w:val="20"/>
                <w:szCs w:val="20"/>
              </w:rPr>
            </w:pPr>
            <w:r w:rsidRPr="00BC6489">
              <w:rPr>
                <w:rFonts w:cs="Times New Roman"/>
                <w:b/>
                <w:color w:val="000000"/>
                <w:sz w:val="20"/>
                <w:szCs w:val="20"/>
              </w:rPr>
              <w:t>Mean</w:t>
            </w:r>
          </w:p>
        </w:tc>
        <w:tc>
          <w:tcPr>
            <w:tcW w:w="1530" w:type="dxa"/>
            <w:tcBorders>
              <w:top w:val="nil"/>
              <w:left w:val="nil"/>
              <w:bottom w:val="nil"/>
              <w:right w:val="single" w:sz="8" w:space="0" w:color="auto"/>
            </w:tcBorders>
            <w:shd w:val="clear" w:color="auto" w:fill="auto"/>
            <w:noWrap/>
            <w:vAlign w:val="bottom"/>
            <w:hideMark/>
          </w:tcPr>
          <w:p w14:paraId="112AEBFB" w14:textId="77777777" w:rsidR="00A9188D" w:rsidRPr="00BC6489" w:rsidRDefault="00A9188D" w:rsidP="00A9188D">
            <w:pPr>
              <w:spacing w:after="0" w:line="240" w:lineRule="auto"/>
              <w:jc w:val="center"/>
              <w:rPr>
                <w:rFonts w:cs="Times New Roman"/>
                <w:color w:val="000000"/>
                <w:sz w:val="20"/>
                <w:szCs w:val="20"/>
              </w:rPr>
            </w:pPr>
            <w:r w:rsidRPr="00BC6489">
              <w:rPr>
                <w:rFonts w:cs="Times New Roman"/>
                <w:color w:val="000000"/>
                <w:sz w:val="20"/>
                <w:szCs w:val="20"/>
              </w:rPr>
              <w:t>0.107504734</w:t>
            </w:r>
          </w:p>
        </w:tc>
        <w:tc>
          <w:tcPr>
            <w:tcW w:w="1166" w:type="dxa"/>
            <w:tcBorders>
              <w:top w:val="nil"/>
              <w:left w:val="nil"/>
              <w:bottom w:val="nil"/>
              <w:right w:val="nil"/>
            </w:tcBorders>
            <w:shd w:val="clear" w:color="auto" w:fill="auto"/>
            <w:noWrap/>
            <w:vAlign w:val="bottom"/>
            <w:hideMark/>
          </w:tcPr>
          <w:p w14:paraId="36ABC7A3" w14:textId="77777777" w:rsidR="00A9188D" w:rsidRPr="00BC6489" w:rsidRDefault="00A9188D" w:rsidP="00A9188D">
            <w:pPr>
              <w:spacing w:after="0" w:line="240" w:lineRule="auto"/>
              <w:jc w:val="center"/>
              <w:rPr>
                <w:rFonts w:cs="Times New Roman"/>
                <w:color w:val="000000"/>
                <w:sz w:val="20"/>
                <w:szCs w:val="20"/>
              </w:rPr>
            </w:pPr>
            <w:r w:rsidRPr="00BC6489">
              <w:rPr>
                <w:rFonts w:cs="Times New Roman"/>
                <w:color w:val="000000"/>
                <w:sz w:val="20"/>
                <w:szCs w:val="20"/>
              </w:rPr>
              <w:t>0.000659609</w:t>
            </w:r>
          </w:p>
        </w:tc>
        <w:tc>
          <w:tcPr>
            <w:tcW w:w="1281" w:type="dxa"/>
            <w:tcBorders>
              <w:top w:val="nil"/>
              <w:left w:val="single" w:sz="8" w:space="0" w:color="auto"/>
              <w:bottom w:val="nil"/>
              <w:right w:val="single" w:sz="8" w:space="0" w:color="auto"/>
            </w:tcBorders>
            <w:shd w:val="clear" w:color="auto" w:fill="auto"/>
            <w:noWrap/>
            <w:vAlign w:val="bottom"/>
            <w:hideMark/>
          </w:tcPr>
          <w:p w14:paraId="77168EAE" w14:textId="77777777" w:rsidR="00A9188D" w:rsidRPr="00BC6489" w:rsidRDefault="00A9188D" w:rsidP="00A9188D">
            <w:pPr>
              <w:spacing w:after="0" w:line="240" w:lineRule="auto"/>
              <w:jc w:val="center"/>
              <w:rPr>
                <w:rFonts w:cs="Times New Roman"/>
                <w:color w:val="000000"/>
                <w:sz w:val="20"/>
                <w:szCs w:val="20"/>
              </w:rPr>
            </w:pPr>
            <w:r w:rsidRPr="00BC6489">
              <w:rPr>
                <w:rFonts w:cs="Times New Roman"/>
                <w:color w:val="000000"/>
                <w:sz w:val="20"/>
                <w:szCs w:val="20"/>
              </w:rPr>
              <w:t>1.467476417</w:t>
            </w:r>
          </w:p>
        </w:tc>
        <w:tc>
          <w:tcPr>
            <w:tcW w:w="1340" w:type="dxa"/>
            <w:tcBorders>
              <w:top w:val="nil"/>
              <w:left w:val="nil"/>
              <w:bottom w:val="nil"/>
              <w:right w:val="nil"/>
            </w:tcBorders>
            <w:shd w:val="clear" w:color="auto" w:fill="auto"/>
            <w:noWrap/>
            <w:vAlign w:val="bottom"/>
            <w:hideMark/>
          </w:tcPr>
          <w:p w14:paraId="376C9A94" w14:textId="77777777" w:rsidR="00A9188D" w:rsidRPr="00BC6489" w:rsidRDefault="00A9188D" w:rsidP="00A9188D">
            <w:pPr>
              <w:spacing w:after="0" w:line="240" w:lineRule="auto"/>
              <w:jc w:val="center"/>
              <w:rPr>
                <w:rFonts w:cs="Times New Roman"/>
                <w:color w:val="000000"/>
                <w:sz w:val="20"/>
                <w:szCs w:val="20"/>
              </w:rPr>
            </w:pPr>
            <w:r w:rsidRPr="00BC6489">
              <w:rPr>
                <w:rFonts w:cs="Times New Roman"/>
                <w:color w:val="000000"/>
                <w:sz w:val="20"/>
                <w:szCs w:val="20"/>
              </w:rPr>
              <w:t>2.71448549</w:t>
            </w:r>
          </w:p>
        </w:tc>
        <w:tc>
          <w:tcPr>
            <w:tcW w:w="1491" w:type="dxa"/>
            <w:tcBorders>
              <w:top w:val="nil"/>
              <w:left w:val="single" w:sz="8" w:space="0" w:color="auto"/>
              <w:bottom w:val="nil"/>
              <w:right w:val="single" w:sz="8" w:space="0" w:color="auto"/>
            </w:tcBorders>
            <w:shd w:val="clear" w:color="auto" w:fill="auto"/>
            <w:noWrap/>
            <w:vAlign w:val="bottom"/>
            <w:hideMark/>
          </w:tcPr>
          <w:p w14:paraId="5C72F2DC" w14:textId="77777777" w:rsidR="00A9188D" w:rsidRPr="00BC6489" w:rsidRDefault="00A9188D" w:rsidP="00A9188D">
            <w:pPr>
              <w:spacing w:after="0" w:line="240" w:lineRule="auto"/>
              <w:jc w:val="center"/>
              <w:rPr>
                <w:rFonts w:cs="Times New Roman"/>
                <w:color w:val="000000"/>
                <w:sz w:val="20"/>
                <w:szCs w:val="20"/>
              </w:rPr>
            </w:pPr>
            <w:r w:rsidRPr="00BC6489">
              <w:rPr>
                <w:rFonts w:cs="Times New Roman"/>
                <w:color w:val="000000"/>
                <w:sz w:val="20"/>
                <w:szCs w:val="20"/>
              </w:rPr>
              <w:t>0.054965396</w:t>
            </w:r>
          </w:p>
        </w:tc>
        <w:tc>
          <w:tcPr>
            <w:tcW w:w="1416" w:type="dxa"/>
            <w:tcBorders>
              <w:top w:val="nil"/>
              <w:left w:val="nil"/>
              <w:bottom w:val="nil"/>
              <w:right w:val="single" w:sz="8" w:space="0" w:color="auto"/>
            </w:tcBorders>
            <w:shd w:val="clear" w:color="auto" w:fill="auto"/>
            <w:noWrap/>
            <w:vAlign w:val="bottom"/>
            <w:hideMark/>
          </w:tcPr>
          <w:p w14:paraId="40DBCC9F" w14:textId="77777777" w:rsidR="00A9188D" w:rsidRPr="00BC6489" w:rsidRDefault="00A9188D" w:rsidP="00A9188D">
            <w:pPr>
              <w:spacing w:after="0" w:line="240" w:lineRule="auto"/>
              <w:jc w:val="center"/>
              <w:rPr>
                <w:rFonts w:cs="Times New Roman"/>
                <w:color w:val="000000"/>
                <w:sz w:val="20"/>
                <w:szCs w:val="20"/>
              </w:rPr>
            </w:pPr>
            <w:r w:rsidRPr="00BC6489">
              <w:rPr>
                <w:rFonts w:cs="Times New Roman"/>
                <w:color w:val="000000"/>
                <w:sz w:val="20"/>
                <w:szCs w:val="20"/>
              </w:rPr>
              <w:t>0.569078752</w:t>
            </w:r>
          </w:p>
        </w:tc>
      </w:tr>
      <w:tr w:rsidR="00BC6489" w:rsidRPr="00A9188D" w14:paraId="2700D210" w14:textId="77777777" w:rsidTr="00213FA3">
        <w:trPr>
          <w:trHeight w:val="573"/>
        </w:trPr>
        <w:tc>
          <w:tcPr>
            <w:tcW w:w="1005" w:type="dxa"/>
            <w:tcBorders>
              <w:top w:val="nil"/>
              <w:left w:val="single" w:sz="8" w:space="0" w:color="auto"/>
              <w:bottom w:val="nil"/>
              <w:right w:val="single" w:sz="8" w:space="0" w:color="auto"/>
            </w:tcBorders>
            <w:shd w:val="clear" w:color="auto" w:fill="auto"/>
            <w:noWrap/>
            <w:vAlign w:val="bottom"/>
            <w:hideMark/>
          </w:tcPr>
          <w:p w14:paraId="4D5A0161" w14:textId="77777777" w:rsidR="00A9188D" w:rsidRPr="00BC6489" w:rsidRDefault="00A9188D" w:rsidP="00A9188D">
            <w:pPr>
              <w:spacing w:after="0" w:line="240" w:lineRule="auto"/>
              <w:rPr>
                <w:rFonts w:cs="Times New Roman"/>
                <w:b/>
                <w:color w:val="000000"/>
                <w:sz w:val="20"/>
                <w:szCs w:val="20"/>
              </w:rPr>
            </w:pPr>
            <w:r w:rsidRPr="00BC6489">
              <w:rPr>
                <w:rFonts w:cs="Times New Roman"/>
                <w:b/>
                <w:color w:val="000000"/>
                <w:sz w:val="20"/>
                <w:szCs w:val="20"/>
              </w:rPr>
              <w:t>Median</w:t>
            </w:r>
          </w:p>
        </w:tc>
        <w:tc>
          <w:tcPr>
            <w:tcW w:w="1530" w:type="dxa"/>
            <w:tcBorders>
              <w:top w:val="nil"/>
              <w:left w:val="nil"/>
              <w:bottom w:val="nil"/>
              <w:right w:val="single" w:sz="8" w:space="0" w:color="auto"/>
            </w:tcBorders>
            <w:shd w:val="clear" w:color="auto" w:fill="auto"/>
            <w:noWrap/>
            <w:vAlign w:val="bottom"/>
            <w:hideMark/>
          </w:tcPr>
          <w:p w14:paraId="10F3BC09" w14:textId="77777777" w:rsidR="00A9188D" w:rsidRPr="00BC6489" w:rsidRDefault="00A9188D" w:rsidP="00A9188D">
            <w:pPr>
              <w:spacing w:after="0" w:line="240" w:lineRule="auto"/>
              <w:jc w:val="center"/>
              <w:rPr>
                <w:rFonts w:cs="Times New Roman"/>
                <w:color w:val="000000"/>
                <w:sz w:val="20"/>
                <w:szCs w:val="20"/>
              </w:rPr>
            </w:pPr>
            <w:r w:rsidRPr="00BC6489">
              <w:rPr>
                <w:rFonts w:cs="Times New Roman"/>
                <w:color w:val="000000"/>
                <w:sz w:val="20"/>
                <w:szCs w:val="20"/>
              </w:rPr>
              <w:t>0.092079206</w:t>
            </w:r>
          </w:p>
        </w:tc>
        <w:tc>
          <w:tcPr>
            <w:tcW w:w="1166" w:type="dxa"/>
            <w:tcBorders>
              <w:top w:val="nil"/>
              <w:left w:val="nil"/>
              <w:bottom w:val="nil"/>
              <w:right w:val="nil"/>
            </w:tcBorders>
            <w:shd w:val="clear" w:color="auto" w:fill="auto"/>
            <w:noWrap/>
            <w:vAlign w:val="bottom"/>
            <w:hideMark/>
          </w:tcPr>
          <w:p w14:paraId="718157EB" w14:textId="77777777" w:rsidR="00A9188D" w:rsidRPr="00BC6489" w:rsidRDefault="00A9188D" w:rsidP="00A9188D">
            <w:pPr>
              <w:spacing w:after="0" w:line="240" w:lineRule="auto"/>
              <w:jc w:val="center"/>
              <w:rPr>
                <w:rFonts w:cs="Times New Roman"/>
                <w:color w:val="000000"/>
                <w:sz w:val="20"/>
                <w:szCs w:val="20"/>
              </w:rPr>
            </w:pPr>
            <w:r w:rsidRPr="00BC6489">
              <w:rPr>
                <w:rFonts w:cs="Times New Roman"/>
                <w:color w:val="000000"/>
                <w:sz w:val="20"/>
                <w:szCs w:val="20"/>
              </w:rPr>
              <w:t>0.000591684</w:t>
            </w:r>
          </w:p>
        </w:tc>
        <w:tc>
          <w:tcPr>
            <w:tcW w:w="1281" w:type="dxa"/>
            <w:tcBorders>
              <w:top w:val="nil"/>
              <w:left w:val="single" w:sz="8" w:space="0" w:color="auto"/>
              <w:bottom w:val="nil"/>
              <w:right w:val="single" w:sz="8" w:space="0" w:color="auto"/>
            </w:tcBorders>
            <w:shd w:val="clear" w:color="auto" w:fill="auto"/>
            <w:noWrap/>
            <w:vAlign w:val="bottom"/>
            <w:hideMark/>
          </w:tcPr>
          <w:p w14:paraId="0A16CA7C" w14:textId="77777777" w:rsidR="00A9188D" w:rsidRPr="00BC6489" w:rsidRDefault="00A9188D" w:rsidP="00A9188D">
            <w:pPr>
              <w:spacing w:after="0" w:line="240" w:lineRule="auto"/>
              <w:jc w:val="center"/>
              <w:rPr>
                <w:rFonts w:cs="Times New Roman"/>
                <w:color w:val="000000"/>
                <w:sz w:val="20"/>
                <w:szCs w:val="20"/>
              </w:rPr>
            </w:pPr>
            <w:r w:rsidRPr="00BC6489">
              <w:rPr>
                <w:rFonts w:cs="Times New Roman"/>
                <w:color w:val="000000"/>
                <w:sz w:val="20"/>
                <w:szCs w:val="20"/>
              </w:rPr>
              <w:t>1.486144595</w:t>
            </w:r>
          </w:p>
        </w:tc>
        <w:tc>
          <w:tcPr>
            <w:tcW w:w="1340" w:type="dxa"/>
            <w:tcBorders>
              <w:top w:val="nil"/>
              <w:left w:val="nil"/>
              <w:bottom w:val="nil"/>
              <w:right w:val="nil"/>
            </w:tcBorders>
            <w:shd w:val="clear" w:color="auto" w:fill="auto"/>
            <w:noWrap/>
            <w:vAlign w:val="bottom"/>
            <w:hideMark/>
          </w:tcPr>
          <w:p w14:paraId="2762B11E" w14:textId="77777777" w:rsidR="00A9188D" w:rsidRPr="00BC6489" w:rsidRDefault="00A9188D" w:rsidP="00A9188D">
            <w:pPr>
              <w:spacing w:after="0" w:line="240" w:lineRule="auto"/>
              <w:jc w:val="center"/>
              <w:rPr>
                <w:rFonts w:cs="Times New Roman"/>
                <w:color w:val="000000"/>
                <w:sz w:val="20"/>
                <w:szCs w:val="20"/>
              </w:rPr>
            </w:pPr>
            <w:r w:rsidRPr="00BC6489">
              <w:rPr>
                <w:rFonts w:cs="Times New Roman"/>
                <w:color w:val="000000"/>
                <w:sz w:val="20"/>
                <w:szCs w:val="20"/>
              </w:rPr>
              <w:t>2.688464986</w:t>
            </w:r>
          </w:p>
        </w:tc>
        <w:tc>
          <w:tcPr>
            <w:tcW w:w="1491" w:type="dxa"/>
            <w:tcBorders>
              <w:top w:val="nil"/>
              <w:left w:val="single" w:sz="8" w:space="0" w:color="auto"/>
              <w:bottom w:val="nil"/>
              <w:right w:val="single" w:sz="8" w:space="0" w:color="auto"/>
            </w:tcBorders>
            <w:shd w:val="clear" w:color="auto" w:fill="auto"/>
            <w:noWrap/>
            <w:vAlign w:val="bottom"/>
            <w:hideMark/>
          </w:tcPr>
          <w:p w14:paraId="10319CF9" w14:textId="77777777" w:rsidR="00A9188D" w:rsidRPr="00BC6489" w:rsidRDefault="00A9188D" w:rsidP="00A9188D">
            <w:pPr>
              <w:spacing w:after="0" w:line="240" w:lineRule="auto"/>
              <w:jc w:val="center"/>
              <w:rPr>
                <w:rFonts w:cs="Times New Roman"/>
                <w:color w:val="000000"/>
                <w:sz w:val="20"/>
                <w:szCs w:val="20"/>
              </w:rPr>
            </w:pPr>
            <w:r w:rsidRPr="00BC6489">
              <w:rPr>
                <w:rFonts w:cs="Times New Roman"/>
                <w:color w:val="000000"/>
                <w:sz w:val="20"/>
                <w:szCs w:val="20"/>
              </w:rPr>
              <w:t>0.002645487</w:t>
            </w:r>
          </w:p>
        </w:tc>
        <w:tc>
          <w:tcPr>
            <w:tcW w:w="1416" w:type="dxa"/>
            <w:tcBorders>
              <w:top w:val="nil"/>
              <w:left w:val="nil"/>
              <w:bottom w:val="nil"/>
              <w:right w:val="single" w:sz="8" w:space="0" w:color="auto"/>
            </w:tcBorders>
            <w:shd w:val="clear" w:color="auto" w:fill="auto"/>
            <w:noWrap/>
            <w:vAlign w:val="bottom"/>
            <w:hideMark/>
          </w:tcPr>
          <w:p w14:paraId="5A5FC476" w14:textId="77777777" w:rsidR="00A9188D" w:rsidRPr="00BC6489" w:rsidRDefault="00A9188D" w:rsidP="00A9188D">
            <w:pPr>
              <w:spacing w:after="0" w:line="240" w:lineRule="auto"/>
              <w:jc w:val="center"/>
              <w:rPr>
                <w:rFonts w:cs="Times New Roman"/>
                <w:color w:val="000000"/>
                <w:sz w:val="20"/>
                <w:szCs w:val="20"/>
              </w:rPr>
            </w:pPr>
            <w:r w:rsidRPr="00BC6489">
              <w:rPr>
                <w:rFonts w:cs="Times New Roman"/>
                <w:color w:val="000000"/>
                <w:sz w:val="20"/>
                <w:szCs w:val="20"/>
              </w:rPr>
              <w:t>0.556628963</w:t>
            </w:r>
          </w:p>
        </w:tc>
      </w:tr>
      <w:tr w:rsidR="00BC6489" w:rsidRPr="00A9188D" w14:paraId="3A12FEA3" w14:textId="77777777" w:rsidTr="00213FA3">
        <w:trPr>
          <w:trHeight w:val="573"/>
        </w:trPr>
        <w:tc>
          <w:tcPr>
            <w:tcW w:w="1005" w:type="dxa"/>
            <w:tcBorders>
              <w:top w:val="nil"/>
              <w:left w:val="single" w:sz="8" w:space="0" w:color="auto"/>
              <w:bottom w:val="nil"/>
              <w:right w:val="single" w:sz="8" w:space="0" w:color="auto"/>
            </w:tcBorders>
            <w:shd w:val="clear" w:color="auto" w:fill="auto"/>
            <w:noWrap/>
            <w:vAlign w:val="bottom"/>
            <w:hideMark/>
          </w:tcPr>
          <w:p w14:paraId="65877891" w14:textId="77777777" w:rsidR="00A9188D" w:rsidRPr="00BC6489" w:rsidRDefault="00A9188D" w:rsidP="00A9188D">
            <w:pPr>
              <w:spacing w:after="0" w:line="240" w:lineRule="auto"/>
              <w:rPr>
                <w:rFonts w:cs="Times New Roman"/>
                <w:b/>
                <w:color w:val="000000"/>
                <w:sz w:val="20"/>
                <w:szCs w:val="20"/>
              </w:rPr>
            </w:pPr>
            <w:r w:rsidRPr="00BC6489">
              <w:rPr>
                <w:rFonts w:cs="Times New Roman"/>
                <w:b/>
                <w:color w:val="000000"/>
                <w:sz w:val="20"/>
                <w:szCs w:val="20"/>
              </w:rPr>
              <w:t>Std Dev.</w:t>
            </w:r>
          </w:p>
        </w:tc>
        <w:tc>
          <w:tcPr>
            <w:tcW w:w="1530" w:type="dxa"/>
            <w:tcBorders>
              <w:top w:val="nil"/>
              <w:left w:val="nil"/>
              <w:bottom w:val="nil"/>
              <w:right w:val="single" w:sz="8" w:space="0" w:color="auto"/>
            </w:tcBorders>
            <w:shd w:val="clear" w:color="auto" w:fill="auto"/>
            <w:noWrap/>
            <w:vAlign w:val="bottom"/>
            <w:hideMark/>
          </w:tcPr>
          <w:p w14:paraId="19293AD4" w14:textId="77777777" w:rsidR="00A9188D" w:rsidRPr="00BC6489" w:rsidRDefault="00A9188D" w:rsidP="00A9188D">
            <w:pPr>
              <w:spacing w:after="0" w:line="240" w:lineRule="auto"/>
              <w:jc w:val="center"/>
              <w:rPr>
                <w:rFonts w:cs="Times New Roman"/>
                <w:color w:val="000000"/>
                <w:sz w:val="20"/>
                <w:szCs w:val="20"/>
              </w:rPr>
            </w:pPr>
            <w:r w:rsidRPr="00BC6489">
              <w:rPr>
                <w:rFonts w:cs="Times New Roman"/>
                <w:color w:val="000000"/>
                <w:sz w:val="20"/>
                <w:szCs w:val="20"/>
              </w:rPr>
              <w:t>0.066141839</w:t>
            </w:r>
          </w:p>
        </w:tc>
        <w:tc>
          <w:tcPr>
            <w:tcW w:w="1166" w:type="dxa"/>
            <w:tcBorders>
              <w:top w:val="nil"/>
              <w:left w:val="nil"/>
              <w:bottom w:val="nil"/>
              <w:right w:val="nil"/>
            </w:tcBorders>
            <w:shd w:val="clear" w:color="auto" w:fill="auto"/>
            <w:noWrap/>
            <w:vAlign w:val="bottom"/>
            <w:hideMark/>
          </w:tcPr>
          <w:p w14:paraId="5DC29CEC" w14:textId="77777777" w:rsidR="00A9188D" w:rsidRPr="00BC6489" w:rsidRDefault="00A9188D" w:rsidP="00A9188D">
            <w:pPr>
              <w:spacing w:after="0" w:line="240" w:lineRule="auto"/>
              <w:jc w:val="center"/>
              <w:rPr>
                <w:rFonts w:cs="Times New Roman"/>
                <w:color w:val="000000"/>
                <w:sz w:val="20"/>
                <w:szCs w:val="20"/>
              </w:rPr>
            </w:pPr>
            <w:r w:rsidRPr="00BC6489">
              <w:rPr>
                <w:rFonts w:cs="Times New Roman"/>
                <w:color w:val="000000"/>
                <w:sz w:val="20"/>
                <w:szCs w:val="20"/>
              </w:rPr>
              <w:t>0.012148188</w:t>
            </w:r>
          </w:p>
        </w:tc>
        <w:tc>
          <w:tcPr>
            <w:tcW w:w="1281" w:type="dxa"/>
            <w:tcBorders>
              <w:top w:val="nil"/>
              <w:left w:val="single" w:sz="8" w:space="0" w:color="auto"/>
              <w:bottom w:val="nil"/>
              <w:right w:val="single" w:sz="8" w:space="0" w:color="auto"/>
            </w:tcBorders>
            <w:shd w:val="clear" w:color="auto" w:fill="auto"/>
            <w:noWrap/>
            <w:vAlign w:val="bottom"/>
            <w:hideMark/>
          </w:tcPr>
          <w:p w14:paraId="0E0AF5A2" w14:textId="77777777" w:rsidR="00A9188D" w:rsidRPr="00BC6489" w:rsidRDefault="00A9188D" w:rsidP="00A9188D">
            <w:pPr>
              <w:spacing w:after="0" w:line="240" w:lineRule="auto"/>
              <w:jc w:val="center"/>
              <w:rPr>
                <w:rFonts w:cs="Times New Roman"/>
                <w:color w:val="000000"/>
                <w:sz w:val="20"/>
                <w:szCs w:val="20"/>
              </w:rPr>
            </w:pPr>
            <w:r w:rsidRPr="00BC6489">
              <w:rPr>
                <w:rFonts w:cs="Times New Roman"/>
                <w:color w:val="000000"/>
                <w:sz w:val="20"/>
                <w:szCs w:val="20"/>
              </w:rPr>
              <w:t>0.291730956</w:t>
            </w:r>
          </w:p>
        </w:tc>
        <w:tc>
          <w:tcPr>
            <w:tcW w:w="1340" w:type="dxa"/>
            <w:tcBorders>
              <w:top w:val="nil"/>
              <w:left w:val="nil"/>
              <w:bottom w:val="nil"/>
              <w:right w:val="nil"/>
            </w:tcBorders>
            <w:shd w:val="clear" w:color="auto" w:fill="auto"/>
            <w:noWrap/>
            <w:vAlign w:val="bottom"/>
            <w:hideMark/>
          </w:tcPr>
          <w:p w14:paraId="557E10E8" w14:textId="77777777" w:rsidR="00A9188D" w:rsidRPr="00BC6489" w:rsidRDefault="00A9188D" w:rsidP="00A9188D">
            <w:pPr>
              <w:spacing w:after="0" w:line="240" w:lineRule="auto"/>
              <w:jc w:val="center"/>
              <w:rPr>
                <w:rFonts w:cs="Times New Roman"/>
                <w:color w:val="000000"/>
                <w:sz w:val="20"/>
                <w:szCs w:val="20"/>
              </w:rPr>
            </w:pPr>
            <w:r w:rsidRPr="00BC6489">
              <w:rPr>
                <w:rFonts w:cs="Times New Roman"/>
                <w:color w:val="000000"/>
                <w:sz w:val="20"/>
                <w:szCs w:val="20"/>
              </w:rPr>
              <w:t>1.082309236</w:t>
            </w:r>
          </w:p>
        </w:tc>
        <w:tc>
          <w:tcPr>
            <w:tcW w:w="1491" w:type="dxa"/>
            <w:tcBorders>
              <w:top w:val="nil"/>
              <w:left w:val="single" w:sz="8" w:space="0" w:color="auto"/>
              <w:bottom w:val="nil"/>
              <w:right w:val="single" w:sz="8" w:space="0" w:color="auto"/>
            </w:tcBorders>
            <w:shd w:val="clear" w:color="auto" w:fill="auto"/>
            <w:noWrap/>
            <w:vAlign w:val="bottom"/>
            <w:hideMark/>
          </w:tcPr>
          <w:p w14:paraId="605B71F1" w14:textId="77777777" w:rsidR="00A9188D" w:rsidRPr="00BC6489" w:rsidRDefault="00A9188D" w:rsidP="00A9188D">
            <w:pPr>
              <w:spacing w:after="0" w:line="240" w:lineRule="auto"/>
              <w:jc w:val="center"/>
              <w:rPr>
                <w:rFonts w:cs="Times New Roman"/>
                <w:color w:val="000000"/>
                <w:sz w:val="20"/>
                <w:szCs w:val="20"/>
              </w:rPr>
            </w:pPr>
            <w:r w:rsidRPr="00BC6489">
              <w:rPr>
                <w:rFonts w:cs="Times New Roman"/>
                <w:color w:val="000000"/>
                <w:sz w:val="20"/>
                <w:szCs w:val="20"/>
              </w:rPr>
              <w:t>0.192383672</w:t>
            </w:r>
          </w:p>
        </w:tc>
        <w:tc>
          <w:tcPr>
            <w:tcW w:w="1416" w:type="dxa"/>
            <w:tcBorders>
              <w:top w:val="nil"/>
              <w:left w:val="nil"/>
              <w:bottom w:val="nil"/>
              <w:right w:val="single" w:sz="8" w:space="0" w:color="auto"/>
            </w:tcBorders>
            <w:shd w:val="clear" w:color="auto" w:fill="auto"/>
            <w:noWrap/>
            <w:vAlign w:val="bottom"/>
            <w:hideMark/>
          </w:tcPr>
          <w:p w14:paraId="2F2F0657" w14:textId="77777777" w:rsidR="00A9188D" w:rsidRPr="00BC6489" w:rsidRDefault="00A9188D" w:rsidP="00A9188D">
            <w:pPr>
              <w:spacing w:after="0" w:line="240" w:lineRule="auto"/>
              <w:jc w:val="center"/>
              <w:rPr>
                <w:rFonts w:cs="Times New Roman"/>
                <w:color w:val="000000"/>
                <w:sz w:val="20"/>
                <w:szCs w:val="20"/>
              </w:rPr>
            </w:pPr>
            <w:r w:rsidRPr="00BC6489">
              <w:rPr>
                <w:rFonts w:cs="Times New Roman"/>
                <w:color w:val="000000"/>
                <w:sz w:val="20"/>
                <w:szCs w:val="20"/>
              </w:rPr>
              <w:t>0.244441789</w:t>
            </w:r>
          </w:p>
        </w:tc>
      </w:tr>
      <w:tr w:rsidR="00BC6489" w:rsidRPr="00A9188D" w14:paraId="06535D9C" w14:textId="77777777" w:rsidTr="00213FA3">
        <w:trPr>
          <w:trHeight w:val="602"/>
        </w:trPr>
        <w:tc>
          <w:tcPr>
            <w:tcW w:w="1005" w:type="dxa"/>
            <w:tcBorders>
              <w:top w:val="nil"/>
              <w:left w:val="single" w:sz="8" w:space="0" w:color="auto"/>
              <w:bottom w:val="nil"/>
              <w:right w:val="single" w:sz="8" w:space="0" w:color="auto"/>
            </w:tcBorders>
            <w:shd w:val="clear" w:color="auto" w:fill="auto"/>
            <w:noWrap/>
            <w:vAlign w:val="bottom"/>
            <w:hideMark/>
          </w:tcPr>
          <w:p w14:paraId="05BF948D" w14:textId="77777777" w:rsidR="00A9188D" w:rsidRPr="00BC6489" w:rsidRDefault="00A9188D" w:rsidP="00A9188D">
            <w:pPr>
              <w:spacing w:after="0" w:line="240" w:lineRule="auto"/>
              <w:rPr>
                <w:rFonts w:cs="Times New Roman"/>
                <w:b/>
                <w:color w:val="000000"/>
                <w:sz w:val="20"/>
                <w:szCs w:val="20"/>
              </w:rPr>
            </w:pPr>
            <w:r w:rsidRPr="00BC6489">
              <w:rPr>
                <w:rFonts w:cs="Times New Roman"/>
                <w:b/>
                <w:color w:val="000000"/>
                <w:sz w:val="20"/>
                <w:szCs w:val="20"/>
              </w:rPr>
              <w:t> </w:t>
            </w:r>
          </w:p>
        </w:tc>
        <w:tc>
          <w:tcPr>
            <w:tcW w:w="1530" w:type="dxa"/>
            <w:tcBorders>
              <w:top w:val="nil"/>
              <w:left w:val="nil"/>
              <w:bottom w:val="nil"/>
              <w:right w:val="single" w:sz="8" w:space="0" w:color="auto"/>
            </w:tcBorders>
            <w:shd w:val="clear" w:color="auto" w:fill="auto"/>
            <w:noWrap/>
            <w:vAlign w:val="bottom"/>
            <w:hideMark/>
          </w:tcPr>
          <w:p w14:paraId="21B296D4" w14:textId="77777777" w:rsidR="00A9188D" w:rsidRPr="00BC6489" w:rsidRDefault="00A9188D" w:rsidP="00A9188D">
            <w:pPr>
              <w:spacing w:after="0" w:line="240" w:lineRule="auto"/>
              <w:jc w:val="center"/>
              <w:rPr>
                <w:rFonts w:cs="Times New Roman"/>
                <w:color w:val="000000"/>
                <w:sz w:val="20"/>
                <w:szCs w:val="20"/>
              </w:rPr>
            </w:pPr>
          </w:p>
        </w:tc>
        <w:tc>
          <w:tcPr>
            <w:tcW w:w="1166" w:type="dxa"/>
            <w:tcBorders>
              <w:top w:val="nil"/>
              <w:left w:val="nil"/>
              <w:bottom w:val="nil"/>
              <w:right w:val="nil"/>
            </w:tcBorders>
            <w:shd w:val="clear" w:color="auto" w:fill="auto"/>
            <w:noWrap/>
            <w:vAlign w:val="bottom"/>
            <w:hideMark/>
          </w:tcPr>
          <w:p w14:paraId="5B50FFEE" w14:textId="77777777" w:rsidR="00A9188D" w:rsidRPr="00BC6489" w:rsidRDefault="00A9188D" w:rsidP="00A9188D">
            <w:pPr>
              <w:spacing w:after="0" w:line="240" w:lineRule="auto"/>
              <w:jc w:val="center"/>
              <w:rPr>
                <w:rFonts w:cs="Times New Roman"/>
                <w:color w:val="000000"/>
                <w:sz w:val="20"/>
                <w:szCs w:val="20"/>
              </w:rPr>
            </w:pPr>
          </w:p>
        </w:tc>
        <w:tc>
          <w:tcPr>
            <w:tcW w:w="1281" w:type="dxa"/>
            <w:tcBorders>
              <w:top w:val="nil"/>
              <w:left w:val="single" w:sz="8" w:space="0" w:color="auto"/>
              <w:bottom w:val="nil"/>
              <w:right w:val="single" w:sz="8" w:space="0" w:color="auto"/>
            </w:tcBorders>
            <w:shd w:val="clear" w:color="auto" w:fill="auto"/>
            <w:noWrap/>
            <w:vAlign w:val="bottom"/>
            <w:hideMark/>
          </w:tcPr>
          <w:p w14:paraId="4D774126" w14:textId="77777777" w:rsidR="00A9188D" w:rsidRPr="00BC6489" w:rsidRDefault="00A9188D" w:rsidP="00A9188D">
            <w:pPr>
              <w:spacing w:after="0" w:line="240" w:lineRule="auto"/>
              <w:jc w:val="center"/>
              <w:rPr>
                <w:rFonts w:cs="Times New Roman"/>
                <w:color w:val="000000"/>
                <w:sz w:val="20"/>
                <w:szCs w:val="20"/>
              </w:rPr>
            </w:pPr>
          </w:p>
        </w:tc>
        <w:tc>
          <w:tcPr>
            <w:tcW w:w="1340" w:type="dxa"/>
            <w:tcBorders>
              <w:top w:val="nil"/>
              <w:left w:val="nil"/>
              <w:bottom w:val="nil"/>
              <w:right w:val="nil"/>
            </w:tcBorders>
            <w:shd w:val="clear" w:color="auto" w:fill="auto"/>
            <w:noWrap/>
            <w:vAlign w:val="bottom"/>
            <w:hideMark/>
          </w:tcPr>
          <w:p w14:paraId="730B3A06" w14:textId="77777777" w:rsidR="00A9188D" w:rsidRPr="00BC6489" w:rsidRDefault="00A9188D" w:rsidP="00A9188D">
            <w:pPr>
              <w:spacing w:after="0" w:line="240" w:lineRule="auto"/>
              <w:jc w:val="center"/>
              <w:rPr>
                <w:rFonts w:cs="Times New Roman"/>
                <w:color w:val="000000"/>
                <w:sz w:val="20"/>
                <w:szCs w:val="20"/>
              </w:rPr>
            </w:pPr>
          </w:p>
        </w:tc>
        <w:tc>
          <w:tcPr>
            <w:tcW w:w="1491" w:type="dxa"/>
            <w:tcBorders>
              <w:top w:val="nil"/>
              <w:left w:val="single" w:sz="8" w:space="0" w:color="auto"/>
              <w:bottom w:val="nil"/>
              <w:right w:val="single" w:sz="8" w:space="0" w:color="auto"/>
            </w:tcBorders>
            <w:shd w:val="clear" w:color="auto" w:fill="auto"/>
            <w:noWrap/>
            <w:vAlign w:val="bottom"/>
            <w:hideMark/>
          </w:tcPr>
          <w:p w14:paraId="10BDF59D" w14:textId="77777777" w:rsidR="00A9188D" w:rsidRPr="00BC6489" w:rsidRDefault="00A9188D" w:rsidP="00A9188D">
            <w:pPr>
              <w:spacing w:after="0" w:line="240" w:lineRule="auto"/>
              <w:jc w:val="center"/>
              <w:rPr>
                <w:rFonts w:cs="Times New Roman"/>
                <w:color w:val="000000"/>
                <w:sz w:val="20"/>
                <w:szCs w:val="20"/>
              </w:rPr>
            </w:pPr>
          </w:p>
        </w:tc>
        <w:tc>
          <w:tcPr>
            <w:tcW w:w="1416" w:type="dxa"/>
            <w:tcBorders>
              <w:top w:val="nil"/>
              <w:left w:val="nil"/>
              <w:bottom w:val="nil"/>
              <w:right w:val="single" w:sz="8" w:space="0" w:color="auto"/>
            </w:tcBorders>
            <w:shd w:val="clear" w:color="auto" w:fill="auto"/>
            <w:noWrap/>
            <w:vAlign w:val="bottom"/>
            <w:hideMark/>
          </w:tcPr>
          <w:p w14:paraId="62843E35" w14:textId="77777777" w:rsidR="00A9188D" w:rsidRPr="00BC6489" w:rsidRDefault="00A9188D" w:rsidP="00A9188D">
            <w:pPr>
              <w:spacing w:after="0" w:line="240" w:lineRule="auto"/>
              <w:jc w:val="center"/>
              <w:rPr>
                <w:rFonts w:cs="Times New Roman"/>
                <w:color w:val="000000"/>
                <w:sz w:val="20"/>
                <w:szCs w:val="20"/>
              </w:rPr>
            </w:pPr>
          </w:p>
        </w:tc>
      </w:tr>
      <w:tr w:rsidR="00BC6489" w:rsidRPr="00A9188D" w14:paraId="32CEECC2" w14:textId="77777777" w:rsidTr="00213FA3">
        <w:trPr>
          <w:trHeight w:val="602"/>
        </w:trPr>
        <w:tc>
          <w:tcPr>
            <w:tcW w:w="100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73AE1CB" w14:textId="77777777" w:rsidR="00A9188D" w:rsidRPr="00BC6489" w:rsidRDefault="00A9188D" w:rsidP="00A9188D">
            <w:pPr>
              <w:spacing w:after="0" w:line="240" w:lineRule="auto"/>
              <w:rPr>
                <w:rFonts w:cs="Times New Roman"/>
                <w:b/>
                <w:color w:val="000000"/>
                <w:sz w:val="20"/>
                <w:szCs w:val="20"/>
              </w:rPr>
            </w:pPr>
            <w:r w:rsidRPr="00BC6489">
              <w:rPr>
                <w:rFonts w:cs="Times New Roman"/>
                <w:b/>
                <w:color w:val="000000"/>
                <w:sz w:val="20"/>
                <w:szCs w:val="20"/>
              </w:rPr>
              <w:t> </w:t>
            </w:r>
          </w:p>
        </w:tc>
        <w:tc>
          <w:tcPr>
            <w:tcW w:w="1530" w:type="dxa"/>
            <w:tcBorders>
              <w:top w:val="single" w:sz="8" w:space="0" w:color="auto"/>
              <w:left w:val="nil"/>
              <w:bottom w:val="single" w:sz="8" w:space="0" w:color="auto"/>
              <w:right w:val="single" w:sz="8" w:space="0" w:color="auto"/>
            </w:tcBorders>
            <w:shd w:val="clear" w:color="auto" w:fill="auto"/>
            <w:noWrap/>
            <w:vAlign w:val="bottom"/>
            <w:hideMark/>
          </w:tcPr>
          <w:p w14:paraId="38F50476" w14:textId="77777777" w:rsidR="00A9188D" w:rsidRPr="00BC6489" w:rsidRDefault="00A9188D" w:rsidP="00A9188D">
            <w:pPr>
              <w:spacing w:after="0" w:line="240" w:lineRule="auto"/>
              <w:jc w:val="center"/>
              <w:rPr>
                <w:rFonts w:cs="Times New Roman"/>
                <w:b/>
                <w:bCs/>
                <w:sz w:val="20"/>
                <w:szCs w:val="20"/>
              </w:rPr>
            </w:pPr>
            <w:r w:rsidRPr="00BC6489">
              <w:rPr>
                <w:rFonts w:cs="Times New Roman"/>
                <w:b/>
                <w:bCs/>
                <w:sz w:val="20"/>
                <w:szCs w:val="20"/>
              </w:rPr>
              <w:t>z-alpha(Bangia)</w:t>
            </w:r>
          </w:p>
        </w:tc>
        <w:tc>
          <w:tcPr>
            <w:tcW w:w="1166" w:type="dxa"/>
            <w:tcBorders>
              <w:top w:val="single" w:sz="8" w:space="0" w:color="auto"/>
              <w:left w:val="nil"/>
              <w:bottom w:val="single" w:sz="8" w:space="0" w:color="auto"/>
              <w:right w:val="nil"/>
            </w:tcBorders>
            <w:shd w:val="clear" w:color="auto" w:fill="auto"/>
            <w:noWrap/>
            <w:vAlign w:val="bottom"/>
            <w:hideMark/>
          </w:tcPr>
          <w:p w14:paraId="2AB8E2EF" w14:textId="77777777" w:rsidR="00A9188D" w:rsidRPr="00BC6489" w:rsidRDefault="00A9188D" w:rsidP="00A9188D">
            <w:pPr>
              <w:spacing w:after="0" w:line="240" w:lineRule="auto"/>
              <w:jc w:val="center"/>
              <w:rPr>
                <w:rFonts w:cs="Times New Roman"/>
                <w:b/>
                <w:bCs/>
                <w:sz w:val="20"/>
                <w:szCs w:val="20"/>
              </w:rPr>
            </w:pPr>
            <w:r w:rsidRPr="00BC6489">
              <w:rPr>
                <w:rFonts w:cs="Times New Roman"/>
                <w:b/>
                <w:bCs/>
                <w:sz w:val="20"/>
                <w:szCs w:val="20"/>
              </w:rPr>
              <w:t>z-cornish(S)</w:t>
            </w:r>
          </w:p>
        </w:tc>
        <w:tc>
          <w:tcPr>
            <w:tcW w:w="128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1E6A9EB" w14:textId="77777777" w:rsidR="00A9188D" w:rsidRPr="00BC6489" w:rsidRDefault="00A9188D" w:rsidP="00A9188D">
            <w:pPr>
              <w:spacing w:after="0" w:line="240" w:lineRule="auto"/>
              <w:jc w:val="center"/>
              <w:rPr>
                <w:rFonts w:cs="Times New Roman"/>
                <w:b/>
                <w:bCs/>
                <w:sz w:val="20"/>
                <w:szCs w:val="20"/>
              </w:rPr>
            </w:pPr>
            <w:r w:rsidRPr="00BC6489">
              <w:rPr>
                <w:rFonts w:cs="Times New Roman"/>
                <w:b/>
                <w:bCs/>
                <w:sz w:val="20"/>
                <w:szCs w:val="20"/>
              </w:rPr>
              <w:t>z-cornish (R)</w:t>
            </w:r>
          </w:p>
        </w:tc>
        <w:tc>
          <w:tcPr>
            <w:tcW w:w="1340" w:type="dxa"/>
            <w:tcBorders>
              <w:top w:val="single" w:sz="8" w:space="0" w:color="auto"/>
              <w:left w:val="nil"/>
              <w:bottom w:val="single" w:sz="8" w:space="0" w:color="auto"/>
              <w:right w:val="nil"/>
            </w:tcBorders>
            <w:shd w:val="clear" w:color="auto" w:fill="auto"/>
            <w:noWrap/>
            <w:vAlign w:val="bottom"/>
            <w:hideMark/>
          </w:tcPr>
          <w:p w14:paraId="59114D99" w14:textId="77777777" w:rsidR="00A9188D" w:rsidRPr="00BC6489" w:rsidRDefault="00A9188D" w:rsidP="00A9188D">
            <w:pPr>
              <w:spacing w:after="0" w:line="240" w:lineRule="auto"/>
              <w:jc w:val="center"/>
              <w:rPr>
                <w:rFonts w:cs="Times New Roman"/>
                <w:b/>
                <w:bCs/>
                <w:color w:val="000000"/>
                <w:sz w:val="20"/>
                <w:szCs w:val="20"/>
              </w:rPr>
            </w:pPr>
            <w:r w:rsidRPr="00BC6489">
              <w:rPr>
                <w:rFonts w:cs="Times New Roman"/>
                <w:b/>
                <w:bCs/>
                <w:color w:val="000000"/>
                <w:sz w:val="20"/>
                <w:szCs w:val="20"/>
              </w:rPr>
              <w:t>Price Risk (%)</w:t>
            </w:r>
          </w:p>
        </w:tc>
        <w:tc>
          <w:tcPr>
            <w:tcW w:w="149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7DACD63" w14:textId="77777777" w:rsidR="00A9188D" w:rsidRPr="00BC6489" w:rsidRDefault="00A9188D" w:rsidP="00A9188D">
            <w:pPr>
              <w:spacing w:after="0" w:line="240" w:lineRule="auto"/>
              <w:jc w:val="center"/>
              <w:rPr>
                <w:rFonts w:cs="Times New Roman"/>
                <w:b/>
                <w:bCs/>
                <w:sz w:val="20"/>
                <w:szCs w:val="20"/>
              </w:rPr>
            </w:pPr>
            <w:r w:rsidRPr="00BC6489">
              <w:rPr>
                <w:rFonts w:cs="Times New Roman"/>
                <w:b/>
                <w:bCs/>
                <w:sz w:val="20"/>
                <w:szCs w:val="20"/>
              </w:rPr>
              <w:t>LVaR (Bangia) %</w:t>
            </w:r>
          </w:p>
        </w:tc>
        <w:tc>
          <w:tcPr>
            <w:tcW w:w="1416" w:type="dxa"/>
            <w:tcBorders>
              <w:top w:val="single" w:sz="8" w:space="0" w:color="auto"/>
              <w:left w:val="nil"/>
              <w:bottom w:val="single" w:sz="8" w:space="0" w:color="auto"/>
              <w:right w:val="single" w:sz="8" w:space="0" w:color="auto"/>
            </w:tcBorders>
            <w:shd w:val="clear" w:color="auto" w:fill="auto"/>
            <w:noWrap/>
            <w:vAlign w:val="bottom"/>
            <w:hideMark/>
          </w:tcPr>
          <w:p w14:paraId="70060A88" w14:textId="77777777" w:rsidR="00A9188D" w:rsidRPr="00BC6489" w:rsidRDefault="00A9188D" w:rsidP="00955D39">
            <w:pPr>
              <w:spacing w:after="0" w:line="240" w:lineRule="auto"/>
              <w:jc w:val="center"/>
              <w:rPr>
                <w:rFonts w:cs="Times New Roman"/>
                <w:b/>
                <w:bCs/>
                <w:sz w:val="20"/>
                <w:szCs w:val="20"/>
              </w:rPr>
            </w:pPr>
            <w:r w:rsidRPr="00BC6489">
              <w:rPr>
                <w:rFonts w:cs="Times New Roman"/>
                <w:b/>
                <w:bCs/>
                <w:sz w:val="20"/>
                <w:szCs w:val="20"/>
              </w:rPr>
              <w:t>LVaR (</w:t>
            </w:r>
            <w:r w:rsidR="00955D39">
              <w:rPr>
                <w:rFonts w:cs="Times New Roman"/>
                <w:b/>
                <w:bCs/>
                <w:sz w:val="20"/>
                <w:szCs w:val="20"/>
              </w:rPr>
              <w:t>Modified</w:t>
            </w:r>
            <w:r w:rsidRPr="00BC6489">
              <w:rPr>
                <w:rFonts w:cs="Times New Roman"/>
                <w:b/>
                <w:bCs/>
                <w:sz w:val="20"/>
                <w:szCs w:val="20"/>
              </w:rPr>
              <w:t>) %</w:t>
            </w:r>
          </w:p>
        </w:tc>
      </w:tr>
      <w:tr w:rsidR="00BC6489" w:rsidRPr="00A9188D" w14:paraId="48961269" w14:textId="77777777" w:rsidTr="00213FA3">
        <w:trPr>
          <w:trHeight w:val="573"/>
        </w:trPr>
        <w:tc>
          <w:tcPr>
            <w:tcW w:w="1005" w:type="dxa"/>
            <w:tcBorders>
              <w:top w:val="nil"/>
              <w:left w:val="single" w:sz="8" w:space="0" w:color="auto"/>
              <w:bottom w:val="nil"/>
              <w:right w:val="single" w:sz="8" w:space="0" w:color="auto"/>
            </w:tcBorders>
            <w:shd w:val="clear" w:color="auto" w:fill="auto"/>
            <w:noWrap/>
            <w:vAlign w:val="bottom"/>
            <w:hideMark/>
          </w:tcPr>
          <w:p w14:paraId="475D90F0" w14:textId="77777777" w:rsidR="00A9188D" w:rsidRPr="00BC6489" w:rsidRDefault="00A9188D" w:rsidP="00A9188D">
            <w:pPr>
              <w:spacing w:after="0" w:line="240" w:lineRule="auto"/>
              <w:rPr>
                <w:rFonts w:cs="Times New Roman"/>
                <w:b/>
                <w:color w:val="000000"/>
                <w:sz w:val="20"/>
                <w:szCs w:val="20"/>
              </w:rPr>
            </w:pPr>
            <w:r w:rsidRPr="00BC6489">
              <w:rPr>
                <w:rFonts w:cs="Times New Roman"/>
                <w:b/>
                <w:color w:val="000000"/>
                <w:sz w:val="20"/>
                <w:szCs w:val="20"/>
              </w:rPr>
              <w:t>Mean</w:t>
            </w:r>
          </w:p>
        </w:tc>
        <w:tc>
          <w:tcPr>
            <w:tcW w:w="1530" w:type="dxa"/>
            <w:tcBorders>
              <w:top w:val="nil"/>
              <w:left w:val="nil"/>
              <w:bottom w:val="nil"/>
              <w:right w:val="single" w:sz="8" w:space="0" w:color="auto"/>
            </w:tcBorders>
            <w:shd w:val="clear" w:color="auto" w:fill="auto"/>
            <w:noWrap/>
            <w:vAlign w:val="bottom"/>
            <w:hideMark/>
          </w:tcPr>
          <w:p w14:paraId="6B8E2572" w14:textId="77777777" w:rsidR="00A9188D" w:rsidRPr="00BC6489" w:rsidRDefault="00A9188D" w:rsidP="00A9188D">
            <w:pPr>
              <w:spacing w:after="0" w:line="240" w:lineRule="auto"/>
              <w:jc w:val="center"/>
              <w:rPr>
                <w:rFonts w:cs="Times New Roman"/>
                <w:color w:val="000000"/>
                <w:sz w:val="20"/>
                <w:szCs w:val="20"/>
              </w:rPr>
            </w:pPr>
            <w:r w:rsidRPr="00BC6489">
              <w:rPr>
                <w:rFonts w:cs="Times New Roman"/>
                <w:color w:val="000000"/>
                <w:sz w:val="20"/>
                <w:szCs w:val="20"/>
              </w:rPr>
              <w:t>1.222216147</w:t>
            </w:r>
          </w:p>
        </w:tc>
        <w:tc>
          <w:tcPr>
            <w:tcW w:w="1166" w:type="dxa"/>
            <w:tcBorders>
              <w:top w:val="nil"/>
              <w:left w:val="nil"/>
              <w:bottom w:val="nil"/>
              <w:right w:val="nil"/>
            </w:tcBorders>
            <w:shd w:val="clear" w:color="auto" w:fill="auto"/>
            <w:noWrap/>
            <w:vAlign w:val="bottom"/>
            <w:hideMark/>
          </w:tcPr>
          <w:p w14:paraId="473F7396" w14:textId="77777777" w:rsidR="00A9188D" w:rsidRPr="00BC6489" w:rsidRDefault="00A9188D" w:rsidP="00A9188D">
            <w:pPr>
              <w:spacing w:after="0" w:line="240" w:lineRule="auto"/>
              <w:jc w:val="center"/>
              <w:rPr>
                <w:rFonts w:cs="Times New Roman"/>
                <w:color w:val="000000"/>
                <w:sz w:val="20"/>
                <w:szCs w:val="20"/>
              </w:rPr>
            </w:pPr>
            <w:r w:rsidRPr="00BC6489">
              <w:rPr>
                <w:rFonts w:cs="Times New Roman"/>
                <w:color w:val="000000"/>
                <w:sz w:val="20"/>
                <w:szCs w:val="20"/>
              </w:rPr>
              <w:t>3.196860544</w:t>
            </w:r>
          </w:p>
        </w:tc>
        <w:tc>
          <w:tcPr>
            <w:tcW w:w="1281" w:type="dxa"/>
            <w:tcBorders>
              <w:top w:val="nil"/>
              <w:left w:val="single" w:sz="8" w:space="0" w:color="auto"/>
              <w:bottom w:val="nil"/>
              <w:right w:val="single" w:sz="8" w:space="0" w:color="auto"/>
            </w:tcBorders>
            <w:shd w:val="clear" w:color="auto" w:fill="auto"/>
            <w:noWrap/>
            <w:vAlign w:val="bottom"/>
            <w:hideMark/>
          </w:tcPr>
          <w:p w14:paraId="68420DFE" w14:textId="77777777" w:rsidR="00A9188D" w:rsidRPr="00BC6489" w:rsidRDefault="00A9188D" w:rsidP="00A9188D">
            <w:pPr>
              <w:spacing w:after="0" w:line="240" w:lineRule="auto"/>
              <w:jc w:val="center"/>
              <w:rPr>
                <w:rFonts w:cs="Times New Roman"/>
                <w:color w:val="000000"/>
                <w:sz w:val="20"/>
                <w:szCs w:val="20"/>
              </w:rPr>
            </w:pPr>
            <w:r w:rsidRPr="00BC6489">
              <w:rPr>
                <w:rFonts w:cs="Times New Roman"/>
                <w:color w:val="000000"/>
                <w:sz w:val="20"/>
                <w:szCs w:val="20"/>
              </w:rPr>
              <w:t>2.48462352</w:t>
            </w:r>
          </w:p>
        </w:tc>
        <w:tc>
          <w:tcPr>
            <w:tcW w:w="1340" w:type="dxa"/>
            <w:tcBorders>
              <w:top w:val="nil"/>
              <w:left w:val="nil"/>
              <w:bottom w:val="nil"/>
              <w:right w:val="nil"/>
            </w:tcBorders>
            <w:shd w:val="clear" w:color="auto" w:fill="auto"/>
            <w:noWrap/>
            <w:vAlign w:val="bottom"/>
            <w:hideMark/>
          </w:tcPr>
          <w:p w14:paraId="491FB492" w14:textId="77777777" w:rsidR="00A9188D" w:rsidRPr="00BC6489" w:rsidRDefault="00A9188D" w:rsidP="00A9188D">
            <w:pPr>
              <w:spacing w:after="0" w:line="240" w:lineRule="auto"/>
              <w:jc w:val="center"/>
              <w:rPr>
                <w:rFonts w:cs="Times New Roman"/>
                <w:color w:val="000000"/>
                <w:sz w:val="20"/>
                <w:szCs w:val="20"/>
              </w:rPr>
            </w:pPr>
            <w:r w:rsidRPr="00BC6489">
              <w:rPr>
                <w:rFonts w:cs="Times New Roman"/>
                <w:color w:val="000000"/>
                <w:sz w:val="20"/>
                <w:szCs w:val="20"/>
              </w:rPr>
              <w:t>2.681242886</w:t>
            </w:r>
          </w:p>
        </w:tc>
        <w:tc>
          <w:tcPr>
            <w:tcW w:w="1491" w:type="dxa"/>
            <w:tcBorders>
              <w:top w:val="nil"/>
              <w:left w:val="single" w:sz="8" w:space="0" w:color="auto"/>
              <w:bottom w:val="nil"/>
              <w:right w:val="single" w:sz="8" w:space="0" w:color="auto"/>
            </w:tcBorders>
            <w:shd w:val="clear" w:color="auto" w:fill="auto"/>
            <w:noWrap/>
            <w:vAlign w:val="bottom"/>
            <w:hideMark/>
          </w:tcPr>
          <w:p w14:paraId="605F2313" w14:textId="77777777" w:rsidR="00A9188D" w:rsidRPr="00BC6489" w:rsidRDefault="00A9188D" w:rsidP="00A9188D">
            <w:pPr>
              <w:spacing w:after="0" w:line="240" w:lineRule="auto"/>
              <w:jc w:val="center"/>
              <w:rPr>
                <w:rFonts w:cs="Times New Roman"/>
                <w:color w:val="000000"/>
                <w:sz w:val="20"/>
                <w:szCs w:val="20"/>
              </w:rPr>
            </w:pPr>
            <w:r w:rsidRPr="00BC6489">
              <w:rPr>
                <w:rFonts w:cs="Times New Roman"/>
                <w:color w:val="000000"/>
                <w:sz w:val="20"/>
                <w:szCs w:val="20"/>
              </w:rPr>
              <w:t>2.809134596</w:t>
            </w:r>
          </w:p>
        </w:tc>
        <w:tc>
          <w:tcPr>
            <w:tcW w:w="1416" w:type="dxa"/>
            <w:tcBorders>
              <w:top w:val="nil"/>
              <w:left w:val="nil"/>
              <w:bottom w:val="nil"/>
              <w:right w:val="single" w:sz="8" w:space="0" w:color="auto"/>
            </w:tcBorders>
            <w:shd w:val="clear" w:color="auto" w:fill="auto"/>
            <w:noWrap/>
            <w:vAlign w:val="bottom"/>
            <w:hideMark/>
          </w:tcPr>
          <w:p w14:paraId="3CD1682B" w14:textId="77777777" w:rsidR="00A9188D" w:rsidRPr="00BC6489" w:rsidRDefault="00A9188D" w:rsidP="00A9188D">
            <w:pPr>
              <w:spacing w:after="0" w:line="240" w:lineRule="auto"/>
              <w:jc w:val="center"/>
              <w:rPr>
                <w:rFonts w:cs="Times New Roman"/>
                <w:color w:val="000000"/>
                <w:sz w:val="20"/>
                <w:szCs w:val="20"/>
              </w:rPr>
            </w:pPr>
            <w:r w:rsidRPr="00BC6489">
              <w:rPr>
                <w:rFonts w:cs="Times New Roman"/>
                <w:color w:val="000000"/>
                <w:sz w:val="20"/>
                <w:szCs w:val="20"/>
              </w:rPr>
              <w:t>3.026726895</w:t>
            </w:r>
          </w:p>
        </w:tc>
      </w:tr>
      <w:tr w:rsidR="00BC6489" w:rsidRPr="00A9188D" w14:paraId="7B0BBABD" w14:textId="77777777" w:rsidTr="00213FA3">
        <w:trPr>
          <w:trHeight w:val="573"/>
        </w:trPr>
        <w:tc>
          <w:tcPr>
            <w:tcW w:w="1005" w:type="dxa"/>
            <w:tcBorders>
              <w:top w:val="nil"/>
              <w:left w:val="single" w:sz="8" w:space="0" w:color="auto"/>
              <w:bottom w:val="nil"/>
              <w:right w:val="single" w:sz="8" w:space="0" w:color="auto"/>
            </w:tcBorders>
            <w:shd w:val="clear" w:color="auto" w:fill="auto"/>
            <w:noWrap/>
            <w:vAlign w:val="bottom"/>
            <w:hideMark/>
          </w:tcPr>
          <w:p w14:paraId="404D295A" w14:textId="77777777" w:rsidR="00A9188D" w:rsidRPr="00BC6489" w:rsidRDefault="00A9188D" w:rsidP="00A9188D">
            <w:pPr>
              <w:spacing w:after="0" w:line="240" w:lineRule="auto"/>
              <w:rPr>
                <w:rFonts w:cs="Times New Roman"/>
                <w:b/>
                <w:color w:val="000000"/>
                <w:sz w:val="20"/>
                <w:szCs w:val="20"/>
              </w:rPr>
            </w:pPr>
            <w:r w:rsidRPr="00BC6489">
              <w:rPr>
                <w:rFonts w:cs="Times New Roman"/>
                <w:b/>
                <w:color w:val="000000"/>
                <w:sz w:val="20"/>
                <w:szCs w:val="20"/>
              </w:rPr>
              <w:t>Median</w:t>
            </w:r>
          </w:p>
        </w:tc>
        <w:tc>
          <w:tcPr>
            <w:tcW w:w="1530" w:type="dxa"/>
            <w:tcBorders>
              <w:top w:val="nil"/>
              <w:left w:val="nil"/>
              <w:bottom w:val="nil"/>
              <w:right w:val="single" w:sz="8" w:space="0" w:color="auto"/>
            </w:tcBorders>
            <w:shd w:val="clear" w:color="auto" w:fill="auto"/>
            <w:noWrap/>
            <w:vAlign w:val="bottom"/>
            <w:hideMark/>
          </w:tcPr>
          <w:p w14:paraId="6B38280D" w14:textId="77777777" w:rsidR="00A9188D" w:rsidRPr="00BC6489" w:rsidRDefault="00A9188D" w:rsidP="00A9188D">
            <w:pPr>
              <w:spacing w:after="0" w:line="240" w:lineRule="auto"/>
              <w:jc w:val="center"/>
              <w:rPr>
                <w:rFonts w:cs="Times New Roman"/>
                <w:color w:val="000000"/>
                <w:sz w:val="20"/>
                <w:szCs w:val="20"/>
              </w:rPr>
            </w:pPr>
            <w:r w:rsidRPr="00BC6489">
              <w:rPr>
                <w:rFonts w:cs="Times New Roman"/>
                <w:color w:val="000000"/>
                <w:sz w:val="20"/>
                <w:szCs w:val="20"/>
              </w:rPr>
              <w:t>1.195095316</w:t>
            </w:r>
          </w:p>
        </w:tc>
        <w:tc>
          <w:tcPr>
            <w:tcW w:w="1166" w:type="dxa"/>
            <w:tcBorders>
              <w:top w:val="nil"/>
              <w:left w:val="nil"/>
              <w:bottom w:val="nil"/>
              <w:right w:val="nil"/>
            </w:tcBorders>
            <w:shd w:val="clear" w:color="auto" w:fill="auto"/>
            <w:noWrap/>
            <w:vAlign w:val="bottom"/>
            <w:hideMark/>
          </w:tcPr>
          <w:p w14:paraId="64656A10" w14:textId="77777777" w:rsidR="00A9188D" w:rsidRPr="00BC6489" w:rsidRDefault="00A9188D" w:rsidP="00A9188D">
            <w:pPr>
              <w:spacing w:after="0" w:line="240" w:lineRule="auto"/>
              <w:jc w:val="center"/>
              <w:rPr>
                <w:rFonts w:cs="Times New Roman"/>
                <w:color w:val="000000"/>
                <w:sz w:val="20"/>
                <w:szCs w:val="20"/>
              </w:rPr>
            </w:pPr>
            <w:r w:rsidRPr="00BC6489">
              <w:rPr>
                <w:rFonts w:cs="Times New Roman"/>
                <w:color w:val="000000"/>
                <w:sz w:val="20"/>
                <w:szCs w:val="20"/>
              </w:rPr>
              <w:t>3.216251046</w:t>
            </w:r>
          </w:p>
        </w:tc>
        <w:tc>
          <w:tcPr>
            <w:tcW w:w="1281" w:type="dxa"/>
            <w:tcBorders>
              <w:top w:val="nil"/>
              <w:left w:val="single" w:sz="8" w:space="0" w:color="auto"/>
              <w:bottom w:val="nil"/>
              <w:right w:val="single" w:sz="8" w:space="0" w:color="auto"/>
            </w:tcBorders>
            <w:shd w:val="clear" w:color="auto" w:fill="auto"/>
            <w:noWrap/>
            <w:vAlign w:val="bottom"/>
            <w:hideMark/>
          </w:tcPr>
          <w:p w14:paraId="21A2E505" w14:textId="77777777" w:rsidR="00A9188D" w:rsidRPr="00BC6489" w:rsidRDefault="00A9188D" w:rsidP="00A9188D">
            <w:pPr>
              <w:spacing w:after="0" w:line="240" w:lineRule="auto"/>
              <w:jc w:val="center"/>
              <w:rPr>
                <w:rFonts w:cs="Times New Roman"/>
                <w:color w:val="000000"/>
                <w:sz w:val="20"/>
                <w:szCs w:val="20"/>
              </w:rPr>
            </w:pPr>
            <w:r w:rsidRPr="00BC6489">
              <w:rPr>
                <w:rFonts w:cs="Times New Roman"/>
                <w:color w:val="000000"/>
                <w:sz w:val="20"/>
                <w:szCs w:val="20"/>
              </w:rPr>
              <w:t>2.455297707</w:t>
            </w:r>
          </w:p>
        </w:tc>
        <w:tc>
          <w:tcPr>
            <w:tcW w:w="1340" w:type="dxa"/>
            <w:tcBorders>
              <w:top w:val="nil"/>
              <w:left w:val="nil"/>
              <w:bottom w:val="nil"/>
              <w:right w:val="nil"/>
            </w:tcBorders>
            <w:shd w:val="clear" w:color="auto" w:fill="auto"/>
            <w:noWrap/>
            <w:vAlign w:val="bottom"/>
            <w:hideMark/>
          </w:tcPr>
          <w:p w14:paraId="0138B84D" w14:textId="77777777" w:rsidR="00A9188D" w:rsidRPr="00BC6489" w:rsidRDefault="00A9188D" w:rsidP="00A9188D">
            <w:pPr>
              <w:spacing w:after="0" w:line="240" w:lineRule="auto"/>
              <w:jc w:val="center"/>
              <w:rPr>
                <w:rFonts w:cs="Times New Roman"/>
                <w:color w:val="000000"/>
                <w:sz w:val="20"/>
                <w:szCs w:val="20"/>
              </w:rPr>
            </w:pPr>
            <w:r w:rsidRPr="00BC6489">
              <w:rPr>
                <w:rFonts w:cs="Times New Roman"/>
                <w:color w:val="000000"/>
                <w:sz w:val="20"/>
                <w:szCs w:val="20"/>
              </w:rPr>
              <w:t>2.564681479</w:t>
            </w:r>
          </w:p>
        </w:tc>
        <w:tc>
          <w:tcPr>
            <w:tcW w:w="1491" w:type="dxa"/>
            <w:tcBorders>
              <w:top w:val="nil"/>
              <w:left w:val="single" w:sz="8" w:space="0" w:color="auto"/>
              <w:bottom w:val="nil"/>
              <w:right w:val="single" w:sz="8" w:space="0" w:color="auto"/>
            </w:tcBorders>
            <w:shd w:val="clear" w:color="auto" w:fill="auto"/>
            <w:noWrap/>
            <w:vAlign w:val="bottom"/>
            <w:hideMark/>
          </w:tcPr>
          <w:p w14:paraId="78032063" w14:textId="77777777" w:rsidR="00A9188D" w:rsidRPr="00BC6489" w:rsidRDefault="00A9188D" w:rsidP="00A9188D">
            <w:pPr>
              <w:spacing w:after="0" w:line="240" w:lineRule="auto"/>
              <w:jc w:val="center"/>
              <w:rPr>
                <w:rFonts w:cs="Times New Roman"/>
                <w:color w:val="000000"/>
                <w:sz w:val="20"/>
                <w:szCs w:val="20"/>
              </w:rPr>
            </w:pPr>
            <w:r w:rsidRPr="00BC6489">
              <w:rPr>
                <w:rFonts w:cs="Times New Roman"/>
                <w:color w:val="000000"/>
                <w:sz w:val="20"/>
                <w:szCs w:val="20"/>
              </w:rPr>
              <w:t>2.69314726</w:t>
            </w:r>
          </w:p>
        </w:tc>
        <w:tc>
          <w:tcPr>
            <w:tcW w:w="1416" w:type="dxa"/>
            <w:tcBorders>
              <w:top w:val="nil"/>
              <w:left w:val="nil"/>
              <w:bottom w:val="nil"/>
              <w:right w:val="single" w:sz="8" w:space="0" w:color="auto"/>
            </w:tcBorders>
            <w:shd w:val="clear" w:color="auto" w:fill="auto"/>
            <w:noWrap/>
            <w:vAlign w:val="bottom"/>
            <w:hideMark/>
          </w:tcPr>
          <w:p w14:paraId="2AFE5B92" w14:textId="77777777" w:rsidR="00A9188D" w:rsidRPr="00BC6489" w:rsidRDefault="00A9188D" w:rsidP="00A9188D">
            <w:pPr>
              <w:spacing w:after="0" w:line="240" w:lineRule="auto"/>
              <w:jc w:val="center"/>
              <w:rPr>
                <w:rFonts w:cs="Times New Roman"/>
                <w:color w:val="000000"/>
                <w:sz w:val="20"/>
                <w:szCs w:val="20"/>
              </w:rPr>
            </w:pPr>
            <w:r w:rsidRPr="00BC6489">
              <w:rPr>
                <w:rFonts w:cs="Times New Roman"/>
                <w:color w:val="000000"/>
                <w:sz w:val="20"/>
                <w:szCs w:val="20"/>
              </w:rPr>
              <w:t>2.907314097</w:t>
            </w:r>
          </w:p>
        </w:tc>
      </w:tr>
      <w:tr w:rsidR="00BC6489" w:rsidRPr="00A9188D" w14:paraId="77B63FC4" w14:textId="77777777" w:rsidTr="00213FA3">
        <w:trPr>
          <w:trHeight w:val="602"/>
        </w:trPr>
        <w:tc>
          <w:tcPr>
            <w:tcW w:w="1005" w:type="dxa"/>
            <w:tcBorders>
              <w:top w:val="nil"/>
              <w:left w:val="single" w:sz="8" w:space="0" w:color="auto"/>
              <w:bottom w:val="single" w:sz="8" w:space="0" w:color="auto"/>
              <w:right w:val="single" w:sz="8" w:space="0" w:color="auto"/>
            </w:tcBorders>
            <w:shd w:val="clear" w:color="auto" w:fill="auto"/>
            <w:noWrap/>
            <w:vAlign w:val="bottom"/>
            <w:hideMark/>
          </w:tcPr>
          <w:p w14:paraId="0C07E88A" w14:textId="77777777" w:rsidR="00A9188D" w:rsidRPr="00BC6489" w:rsidRDefault="00A9188D" w:rsidP="00A9188D">
            <w:pPr>
              <w:spacing w:after="0" w:line="240" w:lineRule="auto"/>
              <w:rPr>
                <w:rFonts w:cs="Times New Roman"/>
                <w:b/>
                <w:color w:val="000000"/>
                <w:sz w:val="20"/>
                <w:szCs w:val="20"/>
              </w:rPr>
            </w:pPr>
            <w:r w:rsidRPr="00BC6489">
              <w:rPr>
                <w:rFonts w:cs="Times New Roman"/>
                <w:b/>
                <w:color w:val="000000"/>
                <w:sz w:val="20"/>
                <w:szCs w:val="20"/>
              </w:rPr>
              <w:t>Std Dev.</w:t>
            </w:r>
          </w:p>
        </w:tc>
        <w:tc>
          <w:tcPr>
            <w:tcW w:w="1530" w:type="dxa"/>
            <w:tcBorders>
              <w:top w:val="nil"/>
              <w:left w:val="nil"/>
              <w:bottom w:val="single" w:sz="8" w:space="0" w:color="auto"/>
              <w:right w:val="single" w:sz="8" w:space="0" w:color="auto"/>
            </w:tcBorders>
            <w:shd w:val="clear" w:color="auto" w:fill="auto"/>
            <w:noWrap/>
            <w:vAlign w:val="bottom"/>
            <w:hideMark/>
          </w:tcPr>
          <w:p w14:paraId="26709D9F" w14:textId="77777777" w:rsidR="00A9188D" w:rsidRPr="00BC6489" w:rsidRDefault="00A9188D" w:rsidP="00A9188D">
            <w:pPr>
              <w:spacing w:after="0" w:line="240" w:lineRule="auto"/>
              <w:jc w:val="center"/>
              <w:rPr>
                <w:rFonts w:cs="Times New Roman"/>
                <w:color w:val="000000"/>
                <w:sz w:val="20"/>
                <w:szCs w:val="20"/>
              </w:rPr>
            </w:pPr>
            <w:r w:rsidRPr="00BC6489">
              <w:rPr>
                <w:rFonts w:cs="Times New Roman"/>
                <w:color w:val="000000"/>
                <w:sz w:val="20"/>
                <w:szCs w:val="20"/>
              </w:rPr>
              <w:t>0.351456225</w:t>
            </w:r>
          </w:p>
        </w:tc>
        <w:tc>
          <w:tcPr>
            <w:tcW w:w="1166" w:type="dxa"/>
            <w:tcBorders>
              <w:top w:val="nil"/>
              <w:left w:val="nil"/>
              <w:bottom w:val="single" w:sz="8" w:space="0" w:color="auto"/>
              <w:right w:val="nil"/>
            </w:tcBorders>
            <w:shd w:val="clear" w:color="auto" w:fill="auto"/>
            <w:noWrap/>
            <w:vAlign w:val="bottom"/>
            <w:hideMark/>
          </w:tcPr>
          <w:p w14:paraId="495BAC09" w14:textId="77777777" w:rsidR="00A9188D" w:rsidRPr="00BC6489" w:rsidRDefault="00A9188D" w:rsidP="00A9188D">
            <w:pPr>
              <w:spacing w:after="0" w:line="240" w:lineRule="auto"/>
              <w:jc w:val="center"/>
              <w:rPr>
                <w:rFonts w:cs="Times New Roman"/>
                <w:color w:val="000000"/>
                <w:sz w:val="20"/>
                <w:szCs w:val="20"/>
              </w:rPr>
            </w:pPr>
            <w:r w:rsidRPr="00BC6489">
              <w:rPr>
                <w:rFonts w:cs="Times New Roman"/>
                <w:color w:val="000000"/>
                <w:sz w:val="20"/>
                <w:szCs w:val="20"/>
              </w:rPr>
              <w:t>0.201711476</w:t>
            </w:r>
          </w:p>
        </w:tc>
        <w:tc>
          <w:tcPr>
            <w:tcW w:w="1281" w:type="dxa"/>
            <w:tcBorders>
              <w:top w:val="nil"/>
              <w:left w:val="single" w:sz="8" w:space="0" w:color="auto"/>
              <w:bottom w:val="single" w:sz="8" w:space="0" w:color="auto"/>
              <w:right w:val="single" w:sz="8" w:space="0" w:color="auto"/>
            </w:tcBorders>
            <w:shd w:val="clear" w:color="auto" w:fill="auto"/>
            <w:noWrap/>
            <w:vAlign w:val="bottom"/>
            <w:hideMark/>
          </w:tcPr>
          <w:p w14:paraId="5CE3B5DA" w14:textId="77777777" w:rsidR="00A9188D" w:rsidRPr="00BC6489" w:rsidRDefault="00A9188D" w:rsidP="00A9188D">
            <w:pPr>
              <w:spacing w:after="0" w:line="240" w:lineRule="auto"/>
              <w:jc w:val="center"/>
              <w:rPr>
                <w:rFonts w:cs="Times New Roman"/>
                <w:color w:val="000000"/>
                <w:sz w:val="20"/>
                <w:szCs w:val="20"/>
              </w:rPr>
            </w:pPr>
            <w:r w:rsidRPr="00BC6489">
              <w:rPr>
                <w:rFonts w:cs="Times New Roman"/>
                <w:color w:val="000000"/>
                <w:sz w:val="20"/>
                <w:szCs w:val="20"/>
              </w:rPr>
              <w:t>0.16309667</w:t>
            </w:r>
          </w:p>
        </w:tc>
        <w:tc>
          <w:tcPr>
            <w:tcW w:w="1340" w:type="dxa"/>
            <w:tcBorders>
              <w:top w:val="nil"/>
              <w:left w:val="nil"/>
              <w:bottom w:val="single" w:sz="8" w:space="0" w:color="auto"/>
              <w:right w:val="nil"/>
            </w:tcBorders>
            <w:shd w:val="clear" w:color="auto" w:fill="auto"/>
            <w:noWrap/>
            <w:vAlign w:val="bottom"/>
            <w:hideMark/>
          </w:tcPr>
          <w:p w14:paraId="26C44B35" w14:textId="77777777" w:rsidR="00A9188D" w:rsidRPr="00BC6489" w:rsidRDefault="00A9188D" w:rsidP="00A9188D">
            <w:pPr>
              <w:spacing w:after="0" w:line="240" w:lineRule="auto"/>
              <w:jc w:val="center"/>
              <w:rPr>
                <w:rFonts w:cs="Times New Roman"/>
                <w:color w:val="000000"/>
                <w:sz w:val="20"/>
                <w:szCs w:val="20"/>
              </w:rPr>
            </w:pPr>
            <w:r w:rsidRPr="00BC6489">
              <w:rPr>
                <w:rFonts w:cs="Times New Roman"/>
                <w:color w:val="000000"/>
                <w:sz w:val="20"/>
                <w:szCs w:val="20"/>
              </w:rPr>
              <w:t>0.765116261</w:t>
            </w:r>
          </w:p>
        </w:tc>
        <w:tc>
          <w:tcPr>
            <w:tcW w:w="1491" w:type="dxa"/>
            <w:tcBorders>
              <w:top w:val="nil"/>
              <w:left w:val="single" w:sz="8" w:space="0" w:color="auto"/>
              <w:bottom w:val="single" w:sz="8" w:space="0" w:color="auto"/>
              <w:right w:val="single" w:sz="8" w:space="0" w:color="auto"/>
            </w:tcBorders>
            <w:shd w:val="clear" w:color="auto" w:fill="auto"/>
            <w:noWrap/>
            <w:vAlign w:val="bottom"/>
            <w:hideMark/>
          </w:tcPr>
          <w:p w14:paraId="5385F004" w14:textId="77777777" w:rsidR="00A9188D" w:rsidRPr="00BC6489" w:rsidRDefault="00A9188D" w:rsidP="00A9188D">
            <w:pPr>
              <w:spacing w:after="0" w:line="240" w:lineRule="auto"/>
              <w:jc w:val="center"/>
              <w:rPr>
                <w:rFonts w:cs="Times New Roman"/>
                <w:color w:val="000000"/>
                <w:sz w:val="20"/>
                <w:szCs w:val="20"/>
              </w:rPr>
            </w:pPr>
            <w:r w:rsidRPr="00BC6489">
              <w:rPr>
                <w:rFonts w:cs="Times New Roman"/>
                <w:color w:val="000000"/>
                <w:sz w:val="20"/>
                <w:szCs w:val="20"/>
              </w:rPr>
              <w:t>0.772016994</w:t>
            </w:r>
          </w:p>
        </w:tc>
        <w:tc>
          <w:tcPr>
            <w:tcW w:w="1416" w:type="dxa"/>
            <w:tcBorders>
              <w:top w:val="nil"/>
              <w:left w:val="nil"/>
              <w:bottom w:val="single" w:sz="8" w:space="0" w:color="auto"/>
              <w:right w:val="single" w:sz="8" w:space="0" w:color="auto"/>
            </w:tcBorders>
            <w:shd w:val="clear" w:color="auto" w:fill="auto"/>
            <w:noWrap/>
            <w:vAlign w:val="bottom"/>
            <w:hideMark/>
          </w:tcPr>
          <w:p w14:paraId="5455B965" w14:textId="77777777" w:rsidR="00A9188D" w:rsidRPr="00BC6489" w:rsidRDefault="00A9188D" w:rsidP="00A9188D">
            <w:pPr>
              <w:spacing w:after="0" w:line="240" w:lineRule="auto"/>
              <w:jc w:val="center"/>
              <w:rPr>
                <w:rFonts w:cs="Times New Roman"/>
                <w:color w:val="000000"/>
                <w:sz w:val="20"/>
                <w:szCs w:val="20"/>
              </w:rPr>
            </w:pPr>
            <w:r w:rsidRPr="00BC6489">
              <w:rPr>
                <w:rFonts w:cs="Times New Roman"/>
                <w:color w:val="000000"/>
                <w:sz w:val="20"/>
                <w:szCs w:val="20"/>
              </w:rPr>
              <w:t>0.860140693</w:t>
            </w:r>
          </w:p>
        </w:tc>
      </w:tr>
    </w:tbl>
    <w:p w14:paraId="25B92782" w14:textId="77777777" w:rsidR="00A9188D" w:rsidRDefault="00A9188D" w:rsidP="00A9188D">
      <w:pPr>
        <w:autoSpaceDE w:val="0"/>
        <w:autoSpaceDN w:val="0"/>
        <w:adjustRightInd w:val="0"/>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4B2D6FE1" w14:textId="77777777" w:rsidR="007727A4" w:rsidRDefault="007727A4" w:rsidP="007727A4">
      <w:pPr>
        <w:spacing w:line="480" w:lineRule="auto"/>
        <w:jc w:val="both"/>
        <w:rPr>
          <w:rFonts w:ascii="Times New Roman" w:hAnsi="Times New Roman" w:cs="Times New Roman"/>
          <w:sz w:val="24"/>
          <w:szCs w:val="24"/>
        </w:rPr>
      </w:pPr>
      <w:r>
        <w:rPr>
          <w:rFonts w:ascii="Times New Roman" w:hAnsi="Times New Roman" w:cs="Times New Roman"/>
          <w:sz w:val="24"/>
          <w:szCs w:val="24"/>
        </w:rPr>
        <w:t>The LVaR (Modified) measure provides the highest risk estimates, showing that neglecting liquidity risk leads to a severe underestimation of the total risk. The portfolio-level analysis is repeated using distinct portfolios described in Table 16 and the results are presented in Tables 10, 11</w:t>
      </w:r>
      <w:r w:rsidR="00170901">
        <w:rPr>
          <w:rFonts w:ascii="Times New Roman" w:hAnsi="Times New Roman" w:cs="Times New Roman"/>
          <w:sz w:val="24"/>
          <w:szCs w:val="24"/>
        </w:rPr>
        <w:t>, 12</w:t>
      </w:r>
      <w:r>
        <w:rPr>
          <w:rFonts w:ascii="Times New Roman" w:hAnsi="Times New Roman" w:cs="Times New Roman"/>
          <w:sz w:val="24"/>
          <w:szCs w:val="24"/>
        </w:rPr>
        <w:t xml:space="preserve"> &amp; 1</w:t>
      </w:r>
      <w:r w:rsidR="00170901">
        <w:rPr>
          <w:rFonts w:ascii="Times New Roman" w:hAnsi="Times New Roman" w:cs="Times New Roman"/>
          <w:sz w:val="24"/>
          <w:szCs w:val="24"/>
        </w:rPr>
        <w:t>3</w:t>
      </w:r>
      <w:r>
        <w:rPr>
          <w:rFonts w:ascii="Times New Roman" w:hAnsi="Times New Roman" w:cs="Times New Roman"/>
          <w:sz w:val="24"/>
          <w:szCs w:val="24"/>
        </w:rPr>
        <w:t xml:space="preserve"> (refer Appendix). The results remain the same and the LVaR (Modified) measure provides the highest risk estimates in all cases.</w:t>
      </w:r>
    </w:p>
    <w:p w14:paraId="2929F9C9" w14:textId="77777777" w:rsidR="00BB1891" w:rsidRDefault="00BB1891" w:rsidP="00A9188D">
      <w:pPr>
        <w:autoSpaceDE w:val="0"/>
        <w:autoSpaceDN w:val="0"/>
        <w:adjustRightInd w:val="0"/>
        <w:spacing w:line="480" w:lineRule="auto"/>
        <w:jc w:val="both"/>
        <w:rPr>
          <w:rFonts w:ascii="Times New Roman" w:hAnsi="Times New Roman" w:cs="Times New Roman"/>
          <w:sz w:val="24"/>
          <w:szCs w:val="24"/>
        </w:rPr>
      </w:pPr>
    </w:p>
    <w:p w14:paraId="4A604ED7" w14:textId="77777777" w:rsidR="00CF4AAF" w:rsidRDefault="00657A1C" w:rsidP="00115D01">
      <w:pPr>
        <w:pStyle w:val="Heading1"/>
        <w:numPr>
          <w:ilvl w:val="0"/>
          <w:numId w:val="6"/>
        </w:numPr>
        <w:spacing w:line="480" w:lineRule="auto"/>
        <w:jc w:val="both"/>
        <w:rPr>
          <w:rFonts w:ascii="Times New Roman" w:hAnsi="Times New Roman" w:cs="Times New Roman"/>
          <w:sz w:val="24"/>
          <w:szCs w:val="24"/>
        </w:rPr>
      </w:pPr>
      <w:bookmarkStart w:id="79" w:name="_Toc431418255"/>
      <w:r>
        <w:rPr>
          <w:rFonts w:ascii="Times New Roman" w:hAnsi="Times New Roman" w:cs="Times New Roman"/>
          <w:sz w:val="24"/>
          <w:szCs w:val="24"/>
        </w:rPr>
        <w:t>Backtesting Results</w:t>
      </w:r>
      <w:bookmarkEnd w:id="79"/>
    </w:p>
    <w:p w14:paraId="6BBD5822" w14:textId="77777777" w:rsidR="00FE1FDD" w:rsidRDefault="003052DA" w:rsidP="005B57A9">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Using the </w:t>
      </w:r>
      <w:r w:rsidR="00FE1FDD">
        <w:rPr>
          <w:rFonts w:ascii="Times New Roman" w:hAnsi="Times New Roman" w:cs="Times New Roman"/>
          <w:sz w:val="24"/>
          <w:szCs w:val="24"/>
        </w:rPr>
        <w:t>close price as the liquidation price of the stocks instead of the mid-value of the bid and ask prices, the return values are calculated as follows:</w:t>
      </w:r>
    </w:p>
    <w:p w14:paraId="59EAFBDF" w14:textId="77777777" w:rsidR="00FE1FDD" w:rsidRDefault="00EC34E3" w:rsidP="00FE1FDD">
      <w:pPr>
        <w:autoSpaceDE w:val="0"/>
        <w:autoSpaceDN w:val="0"/>
        <w:adjustRightInd w:val="0"/>
        <w:spacing w:line="480" w:lineRule="auto"/>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Return</m:t>
            </m:r>
          </m:e>
          <m:sub>
            <m:r>
              <w:rPr>
                <w:rFonts w:ascii="Cambria Math" w:hAnsi="Cambria Math" w:cs="Times New Roman"/>
                <w:sz w:val="24"/>
                <w:szCs w:val="24"/>
              </w:rPr>
              <m:t>t</m:t>
            </m:r>
          </m:sub>
        </m:sSub>
        <m:r>
          <w:rPr>
            <w:rFonts w:ascii="Cambria Math" w:hAnsi="Cambria Math" w:cs="Times New Roman"/>
            <w:sz w:val="24"/>
            <w:szCs w:val="24"/>
          </w:rPr>
          <m:t>=</m:t>
        </m:r>
        <m:func>
          <m:funcPr>
            <m:ctrlPr>
              <w:rPr>
                <w:rFonts w:ascii="Cambria Math" w:hAnsi="Cambria Math" w:cs="Times New Roman"/>
                <w:i/>
                <w:sz w:val="24"/>
                <w:szCs w:val="24"/>
              </w:rPr>
            </m:ctrlPr>
          </m:funcPr>
          <m:fName>
            <m:r>
              <m:rPr>
                <m:sty m:val="p"/>
              </m:rPr>
              <w:rPr>
                <w:rFonts w:ascii="Cambria Math" w:hAnsi="Cambria Math" w:cs="Times New Roman"/>
                <w:sz w:val="24"/>
                <w:szCs w:val="24"/>
              </w:rPr>
              <m:t>ln</m:t>
            </m:r>
          </m:fName>
          <m:e>
            <m:d>
              <m:dPr>
                <m:ctrlPr>
                  <w:rPr>
                    <w:rFonts w:ascii="Cambria Math" w:hAnsi="Cambria Math" w:cs="Times New Roman"/>
                    <w:i/>
                    <w:sz w:val="24"/>
                    <w:szCs w:val="24"/>
                  </w:rPr>
                </m:ctrlPr>
              </m:dPr>
              <m:e>
                <m:f>
                  <m:fPr>
                    <m:ctrlPr>
                      <w:rPr>
                        <w:rFonts w:ascii="Cambria Math" w:hAnsi="Cambria Math" w:cs="Times New Roman"/>
                        <w:i/>
                        <w:sz w:val="24"/>
                        <w:szCs w:val="24"/>
                      </w:rPr>
                    </m:ctrlPr>
                  </m:fPr>
                  <m:num>
                    <m:sSubSup>
                      <m:sSubSupPr>
                        <m:ctrlPr>
                          <w:rPr>
                            <w:rFonts w:ascii="Cambria Math" w:hAnsi="Cambria Math" w:cs="Times New Roman"/>
                            <w:i/>
                            <w:sz w:val="24"/>
                            <w:szCs w:val="24"/>
                          </w:rPr>
                        </m:ctrlPr>
                      </m:sSubSupPr>
                      <m:e>
                        <m:r>
                          <w:rPr>
                            <w:rFonts w:ascii="Cambria Math" w:hAnsi="Cambria Math" w:cs="Times New Roman"/>
                            <w:sz w:val="24"/>
                            <w:szCs w:val="24"/>
                          </w:rPr>
                          <m:t>P</m:t>
                        </m:r>
                      </m:e>
                      <m:sub>
                        <m:r>
                          <w:rPr>
                            <w:rFonts w:ascii="Cambria Math" w:hAnsi="Cambria Math" w:cs="Times New Roman"/>
                            <w:sz w:val="24"/>
                            <w:szCs w:val="24"/>
                          </w:rPr>
                          <m:t>t</m:t>
                        </m:r>
                      </m:sub>
                      <m:sup>
                        <m:r>
                          <w:rPr>
                            <w:rFonts w:ascii="Cambria Math" w:hAnsi="Cambria Math" w:cs="Times New Roman"/>
                            <w:sz w:val="24"/>
                            <w:szCs w:val="24"/>
                          </w:rPr>
                          <m:t>close</m:t>
                        </m:r>
                      </m:sup>
                    </m:sSubSup>
                  </m:num>
                  <m:den>
                    <m:sSubSup>
                      <m:sSubSupPr>
                        <m:ctrlPr>
                          <w:rPr>
                            <w:rFonts w:ascii="Cambria Math" w:hAnsi="Cambria Math" w:cs="Times New Roman"/>
                            <w:i/>
                            <w:sz w:val="24"/>
                            <w:szCs w:val="24"/>
                          </w:rPr>
                        </m:ctrlPr>
                      </m:sSubSupPr>
                      <m:e>
                        <m:r>
                          <w:rPr>
                            <w:rFonts w:ascii="Cambria Math" w:hAnsi="Cambria Math" w:cs="Times New Roman"/>
                            <w:sz w:val="24"/>
                            <w:szCs w:val="24"/>
                          </w:rPr>
                          <m:t>P</m:t>
                        </m:r>
                      </m:e>
                      <m:sub>
                        <m:r>
                          <w:rPr>
                            <w:rFonts w:ascii="Cambria Math" w:hAnsi="Cambria Math" w:cs="Times New Roman"/>
                            <w:sz w:val="24"/>
                            <w:szCs w:val="24"/>
                          </w:rPr>
                          <m:t>t-1</m:t>
                        </m:r>
                      </m:sub>
                      <m:sup>
                        <m:r>
                          <w:rPr>
                            <w:rFonts w:ascii="Cambria Math" w:hAnsi="Cambria Math" w:cs="Times New Roman"/>
                            <w:sz w:val="24"/>
                            <w:szCs w:val="24"/>
                          </w:rPr>
                          <m:t>close</m:t>
                        </m:r>
                      </m:sup>
                    </m:sSubSup>
                  </m:den>
                </m:f>
              </m:e>
            </m:d>
          </m:e>
        </m:func>
      </m:oMath>
      <w:r w:rsidR="00FE1FDD">
        <w:rPr>
          <w:rFonts w:ascii="Times New Roman" w:hAnsi="Times New Roman" w:cs="Times New Roman"/>
          <w:sz w:val="24"/>
          <w:szCs w:val="24"/>
        </w:rPr>
        <w:t>……</w:t>
      </w:r>
      <w:r w:rsidR="00CA7312">
        <w:rPr>
          <w:rFonts w:ascii="Times New Roman" w:hAnsi="Times New Roman" w:cs="Times New Roman"/>
          <w:sz w:val="24"/>
          <w:szCs w:val="24"/>
        </w:rPr>
        <w:t>……….</w:t>
      </w:r>
      <w:r w:rsidR="00FE1FDD">
        <w:rPr>
          <w:rFonts w:ascii="Times New Roman" w:hAnsi="Times New Roman" w:cs="Times New Roman"/>
          <w:sz w:val="24"/>
          <w:szCs w:val="24"/>
        </w:rPr>
        <w:t>………….................................................... (Equation 1</w:t>
      </w:r>
      <w:r w:rsidR="00006DF5">
        <w:rPr>
          <w:rFonts w:ascii="Times New Roman" w:hAnsi="Times New Roman" w:cs="Times New Roman"/>
          <w:sz w:val="24"/>
          <w:szCs w:val="24"/>
        </w:rPr>
        <w:t>1</w:t>
      </w:r>
      <w:r w:rsidR="00FE1FDD">
        <w:rPr>
          <w:rFonts w:ascii="Times New Roman" w:hAnsi="Times New Roman" w:cs="Times New Roman"/>
          <w:sz w:val="24"/>
          <w:szCs w:val="24"/>
        </w:rPr>
        <w:t>)</w:t>
      </w:r>
    </w:p>
    <w:p w14:paraId="26CD8D07" w14:textId="77777777" w:rsidR="005B57A9" w:rsidRDefault="005B57A9" w:rsidP="005B57A9">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The </w:t>
      </w:r>
      <w:r w:rsidR="00CA7312">
        <w:rPr>
          <w:rFonts w:ascii="Times New Roman" w:hAnsi="Times New Roman" w:cs="Times New Roman"/>
          <w:sz w:val="24"/>
          <w:szCs w:val="24"/>
        </w:rPr>
        <w:t>value of exceedance</w:t>
      </w:r>
      <w:r w:rsidR="0011781B">
        <w:rPr>
          <w:rFonts w:ascii="Times New Roman" w:hAnsi="Times New Roman" w:cs="Times New Roman"/>
          <w:sz w:val="24"/>
          <w:szCs w:val="24"/>
        </w:rPr>
        <w:t xml:space="preserve"> </w:t>
      </w:r>
      <w:r>
        <w:rPr>
          <w:rFonts w:ascii="Times New Roman" w:hAnsi="Times New Roman" w:cs="Times New Roman"/>
          <w:sz w:val="24"/>
          <w:szCs w:val="24"/>
        </w:rPr>
        <w:t xml:space="preserve">E </w:t>
      </w:r>
      <w:r w:rsidR="007B310C">
        <w:rPr>
          <w:rFonts w:ascii="Times New Roman" w:hAnsi="Times New Roman" w:cs="Times New Roman"/>
          <w:sz w:val="24"/>
          <w:szCs w:val="24"/>
        </w:rPr>
        <w:t xml:space="preserve">is </w:t>
      </w:r>
      <w:r w:rsidR="00CA7312">
        <w:rPr>
          <w:rFonts w:ascii="Times New Roman" w:hAnsi="Times New Roman" w:cs="Times New Roman"/>
          <w:sz w:val="24"/>
          <w:szCs w:val="24"/>
        </w:rPr>
        <w:t>taken as one</w:t>
      </w:r>
      <w:r w:rsidR="0011781B">
        <w:rPr>
          <w:rFonts w:ascii="Times New Roman" w:hAnsi="Times New Roman" w:cs="Times New Roman"/>
          <w:sz w:val="24"/>
          <w:szCs w:val="24"/>
        </w:rPr>
        <w:t xml:space="preserve"> </w:t>
      </w:r>
      <w:r w:rsidR="00CA7312">
        <w:rPr>
          <w:rFonts w:ascii="Times New Roman" w:hAnsi="Times New Roman" w:cs="Times New Roman"/>
          <w:sz w:val="24"/>
          <w:szCs w:val="24"/>
        </w:rPr>
        <w:t>if</w:t>
      </w:r>
      <w:r w:rsidR="0011781B">
        <w:rPr>
          <w:rFonts w:ascii="Times New Roman" w:hAnsi="Times New Roman" w:cs="Times New Roman"/>
          <w:sz w:val="24"/>
          <w:szCs w:val="24"/>
        </w:rPr>
        <w:t xml:space="preserve"> the </w:t>
      </w:r>
      <w:r w:rsidR="00CA7312">
        <w:rPr>
          <w:rFonts w:ascii="Times New Roman" w:hAnsi="Times New Roman" w:cs="Times New Roman"/>
          <w:sz w:val="24"/>
          <w:szCs w:val="24"/>
        </w:rPr>
        <w:t>value</w:t>
      </w:r>
      <w:r w:rsidR="0011781B">
        <w:rPr>
          <w:rFonts w:ascii="Times New Roman" w:hAnsi="Times New Roman" w:cs="Times New Roman"/>
          <w:sz w:val="24"/>
          <w:szCs w:val="24"/>
        </w:rPr>
        <w:t xml:space="preserve"> </w:t>
      </w:r>
      <w:r w:rsidR="00CA7312">
        <w:rPr>
          <w:rFonts w:ascii="Times New Roman" w:hAnsi="Times New Roman" w:cs="Times New Roman"/>
          <w:sz w:val="24"/>
          <w:szCs w:val="24"/>
        </w:rPr>
        <w:t>of the</w:t>
      </w:r>
      <w:r w:rsidR="0011781B">
        <w:rPr>
          <w:rFonts w:ascii="Times New Roman" w:hAnsi="Times New Roman" w:cs="Times New Roman"/>
          <w:sz w:val="24"/>
          <w:szCs w:val="24"/>
        </w:rPr>
        <w:t xml:space="preserve"> realized </w:t>
      </w:r>
      <w:r w:rsidR="00CA7312">
        <w:rPr>
          <w:rFonts w:ascii="Times New Roman" w:hAnsi="Times New Roman" w:cs="Times New Roman"/>
          <w:sz w:val="24"/>
          <w:szCs w:val="24"/>
        </w:rPr>
        <w:t xml:space="preserve">loss </w:t>
      </w:r>
      <w:r w:rsidR="00006DF5">
        <w:rPr>
          <w:rFonts w:ascii="Times New Roman" w:hAnsi="Times New Roman" w:cs="Times New Roman"/>
          <w:sz w:val="24"/>
          <w:szCs w:val="24"/>
        </w:rPr>
        <w:t>(computed using Equation 11</w:t>
      </w:r>
      <w:r w:rsidR="007B310C">
        <w:rPr>
          <w:rFonts w:ascii="Times New Roman" w:hAnsi="Times New Roman" w:cs="Times New Roman"/>
          <w:sz w:val="24"/>
          <w:szCs w:val="24"/>
        </w:rPr>
        <w:t xml:space="preserve">) </w:t>
      </w:r>
      <w:r w:rsidR="00CA7312">
        <w:rPr>
          <w:rFonts w:ascii="Times New Roman" w:hAnsi="Times New Roman" w:cs="Times New Roman"/>
          <w:sz w:val="24"/>
          <w:szCs w:val="24"/>
        </w:rPr>
        <w:t xml:space="preserve">is larger than the </w:t>
      </w:r>
      <w:r w:rsidR="0011781B">
        <w:rPr>
          <w:rFonts w:ascii="Times New Roman" w:hAnsi="Times New Roman" w:cs="Times New Roman"/>
          <w:sz w:val="24"/>
          <w:szCs w:val="24"/>
        </w:rPr>
        <w:t>predicted loss</w:t>
      </w:r>
      <w:r w:rsidR="007B310C">
        <w:rPr>
          <w:rFonts w:ascii="Times New Roman" w:hAnsi="Times New Roman" w:cs="Times New Roman"/>
          <w:sz w:val="24"/>
          <w:szCs w:val="24"/>
        </w:rPr>
        <w:t>.</w:t>
      </w:r>
    </w:p>
    <w:p w14:paraId="36A8186A" w14:textId="77777777" w:rsidR="00824B07" w:rsidRDefault="00CA7312" w:rsidP="00824B07">
      <w:pPr>
        <w:autoSpaceDE w:val="0"/>
        <w:autoSpaceDN w:val="0"/>
        <w:adjustRightInd w:val="0"/>
        <w:spacing w:line="480" w:lineRule="auto"/>
        <w:jc w:val="both"/>
        <w:rPr>
          <w:rFonts w:ascii="Times New Roman" w:hAnsi="Times New Roman" w:cs="Times New Roman"/>
          <w:sz w:val="24"/>
          <w:szCs w:val="24"/>
        </w:rPr>
      </w:pPr>
      <m:oMath>
        <m:r>
          <w:rPr>
            <w:rFonts w:ascii="Cambria Math" w:hAnsi="Cambria Math" w:cs="Times New Roman"/>
            <w:sz w:val="24"/>
            <w:szCs w:val="24"/>
          </w:rPr>
          <m:t>E=</m:t>
        </m:r>
        <m:sSub>
          <m:sSubPr>
            <m:ctrlPr>
              <w:rPr>
                <w:rFonts w:ascii="Cambria Math" w:hAnsi="Cambria Math" w:cs="Times New Roman"/>
                <w:i/>
                <w:sz w:val="24"/>
                <w:szCs w:val="24"/>
              </w:rPr>
            </m:ctrlPr>
          </m:sSubPr>
          <m:e>
            <m:r>
              <w:rPr>
                <w:rFonts w:ascii="Cambria Math" w:hAnsi="Cambria Math" w:cs="Times New Roman"/>
                <w:sz w:val="24"/>
                <w:szCs w:val="24"/>
              </w:rPr>
              <m:t>Return</m:t>
            </m:r>
          </m:e>
          <m:sub>
            <m:r>
              <w:rPr>
                <w:rFonts w:ascii="Cambria Math" w:hAnsi="Cambria Math" w:cs="Times New Roman"/>
                <w:sz w:val="24"/>
                <w:szCs w:val="24"/>
              </w:rPr>
              <m:t>t</m:t>
            </m:r>
          </m:sub>
        </m:sSub>
        <m:r>
          <w:rPr>
            <w:rFonts w:ascii="Cambria Math" w:hAnsi="Cambria Math" w:cs="Times New Roman"/>
            <w:sz w:val="24"/>
            <w:szCs w:val="24"/>
          </w:rPr>
          <m:t>&lt; -</m:t>
        </m:r>
        <m:sSub>
          <m:sSubPr>
            <m:ctrlPr>
              <w:rPr>
                <w:rFonts w:ascii="Cambria Math" w:hAnsi="Cambria Math" w:cs="Times New Roman"/>
                <w:i/>
                <w:sz w:val="24"/>
                <w:szCs w:val="24"/>
              </w:rPr>
            </m:ctrlPr>
          </m:sSubPr>
          <m:e>
            <m:r>
              <w:rPr>
                <w:rFonts w:ascii="Cambria Math" w:hAnsi="Cambria Math" w:cs="Times New Roman"/>
                <w:sz w:val="24"/>
                <w:szCs w:val="24"/>
              </w:rPr>
              <m:t>LVaR</m:t>
            </m:r>
          </m:e>
          <m:sub>
            <m:r>
              <w:rPr>
                <w:rFonts w:ascii="Cambria Math" w:hAnsi="Cambria Math" w:cs="Times New Roman"/>
                <w:sz w:val="24"/>
                <w:szCs w:val="24"/>
              </w:rPr>
              <m:t>t</m:t>
            </m:r>
          </m:sub>
        </m:sSub>
      </m:oMath>
      <w:r w:rsidR="00824B07">
        <w:rPr>
          <w:rFonts w:ascii="Times New Roman" w:hAnsi="Times New Roman" w:cs="Times New Roman"/>
          <w:sz w:val="24"/>
          <w:szCs w:val="24"/>
        </w:rPr>
        <w:t>………………...........................................</w:t>
      </w:r>
      <w:r>
        <w:rPr>
          <w:rFonts w:ascii="Times New Roman" w:hAnsi="Times New Roman" w:cs="Times New Roman"/>
          <w:sz w:val="24"/>
          <w:szCs w:val="24"/>
        </w:rPr>
        <w:t>.</w:t>
      </w:r>
      <w:r w:rsidR="00006DF5">
        <w:rPr>
          <w:rFonts w:ascii="Times New Roman" w:hAnsi="Times New Roman" w:cs="Times New Roman"/>
          <w:sz w:val="24"/>
          <w:szCs w:val="24"/>
        </w:rPr>
        <w:t>.............. (Equation 12</w:t>
      </w:r>
      <w:r w:rsidR="00824B07">
        <w:rPr>
          <w:rFonts w:ascii="Times New Roman" w:hAnsi="Times New Roman" w:cs="Times New Roman"/>
          <w:sz w:val="24"/>
          <w:szCs w:val="24"/>
        </w:rPr>
        <w:t>)</w:t>
      </w:r>
    </w:p>
    <w:p w14:paraId="69BD704C" w14:textId="77777777" w:rsidR="007727A4" w:rsidRDefault="00CE3AAF" w:rsidP="00CE3AAF">
      <w:pPr>
        <w:autoSpaceDE w:val="0"/>
        <w:autoSpaceDN w:val="0"/>
        <w:adjustRightInd w:val="0"/>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Table 1 contains the exact composition of the equally-weighted portfolios from diverse segments for backtesting analysis. </w:t>
      </w:r>
      <w:r w:rsidR="007B310C">
        <w:rPr>
          <w:rFonts w:ascii="Times New Roman" w:hAnsi="Times New Roman" w:cs="Times New Roman"/>
          <w:sz w:val="24"/>
          <w:szCs w:val="24"/>
        </w:rPr>
        <w:t>The values of Price Risk or VaR, LVaR (Bangia) and</w:t>
      </w:r>
      <w:r w:rsidR="00BB1891">
        <w:rPr>
          <w:rFonts w:ascii="Times New Roman" w:hAnsi="Times New Roman" w:cs="Times New Roman"/>
          <w:sz w:val="24"/>
          <w:szCs w:val="24"/>
        </w:rPr>
        <w:t xml:space="preserve"> LVaR (</w:t>
      </w:r>
      <w:r w:rsidR="003646B0">
        <w:rPr>
          <w:rFonts w:ascii="Times New Roman" w:hAnsi="Times New Roman" w:cs="Times New Roman"/>
          <w:sz w:val="24"/>
          <w:szCs w:val="24"/>
        </w:rPr>
        <w:t>Modified</w:t>
      </w:r>
      <w:r w:rsidR="00BB1891">
        <w:rPr>
          <w:rFonts w:ascii="Times New Roman" w:hAnsi="Times New Roman" w:cs="Times New Roman"/>
          <w:sz w:val="24"/>
          <w:szCs w:val="24"/>
        </w:rPr>
        <w:t>) for the portfolio</w:t>
      </w:r>
      <w:r>
        <w:rPr>
          <w:rFonts w:ascii="Times New Roman" w:hAnsi="Times New Roman" w:cs="Times New Roman"/>
          <w:sz w:val="24"/>
          <w:szCs w:val="24"/>
        </w:rPr>
        <w:t>s</w:t>
      </w:r>
      <w:r w:rsidR="00BB1891">
        <w:rPr>
          <w:rFonts w:ascii="Times New Roman" w:hAnsi="Times New Roman" w:cs="Times New Roman"/>
          <w:sz w:val="24"/>
          <w:szCs w:val="24"/>
        </w:rPr>
        <w:t xml:space="preserve"> are shown in Table</w:t>
      </w:r>
      <w:r w:rsidR="00170901">
        <w:rPr>
          <w:rFonts w:ascii="Times New Roman" w:hAnsi="Times New Roman" w:cs="Times New Roman"/>
          <w:sz w:val="24"/>
          <w:szCs w:val="24"/>
        </w:rPr>
        <w:t>s 7</w:t>
      </w:r>
      <w:r>
        <w:rPr>
          <w:rFonts w:ascii="Times New Roman" w:hAnsi="Times New Roman" w:cs="Times New Roman"/>
          <w:sz w:val="24"/>
          <w:szCs w:val="24"/>
        </w:rPr>
        <w:t>, 10, 11</w:t>
      </w:r>
      <w:r w:rsidR="00170901">
        <w:rPr>
          <w:rFonts w:ascii="Times New Roman" w:hAnsi="Times New Roman" w:cs="Times New Roman"/>
          <w:sz w:val="24"/>
          <w:szCs w:val="24"/>
        </w:rPr>
        <w:t>, 12 and 13</w:t>
      </w:r>
      <w:r w:rsidR="007B310C">
        <w:rPr>
          <w:rFonts w:ascii="Times New Roman" w:hAnsi="Times New Roman" w:cs="Times New Roman"/>
          <w:sz w:val="24"/>
          <w:szCs w:val="24"/>
        </w:rPr>
        <w:t>.</w:t>
      </w:r>
      <w:r w:rsidR="00A75ADD">
        <w:rPr>
          <w:rFonts w:ascii="Times New Roman" w:hAnsi="Times New Roman" w:cs="Times New Roman"/>
          <w:sz w:val="24"/>
          <w:szCs w:val="24"/>
        </w:rPr>
        <w:t xml:space="preserve"> The required close </w:t>
      </w:r>
      <w:r w:rsidR="00A75ADD" w:rsidRPr="00280058">
        <w:rPr>
          <w:rFonts w:ascii="Times New Roman" w:hAnsi="Times New Roman" w:cs="Times New Roman"/>
          <w:sz w:val="24"/>
          <w:szCs w:val="24"/>
        </w:rPr>
        <w:t xml:space="preserve">price </w:t>
      </w:r>
      <w:r w:rsidR="00A75ADD">
        <w:rPr>
          <w:rFonts w:ascii="Times New Roman" w:hAnsi="Times New Roman" w:cs="Times New Roman"/>
          <w:sz w:val="24"/>
          <w:szCs w:val="24"/>
        </w:rPr>
        <w:t xml:space="preserve">of the stocks </w:t>
      </w:r>
      <w:r w:rsidR="00A75ADD" w:rsidRPr="00280058">
        <w:rPr>
          <w:rFonts w:ascii="Times New Roman" w:hAnsi="Times New Roman" w:cs="Times New Roman"/>
          <w:sz w:val="24"/>
          <w:szCs w:val="24"/>
        </w:rPr>
        <w:t xml:space="preserve">is obtained from </w:t>
      </w:r>
      <w:r w:rsidR="00A75ADD">
        <w:rPr>
          <w:rFonts w:ascii="Times New Roman" w:hAnsi="Times New Roman" w:cs="Times New Roman"/>
          <w:sz w:val="24"/>
          <w:szCs w:val="24"/>
        </w:rPr>
        <w:t xml:space="preserve">the database Datastream for the time period </w:t>
      </w:r>
      <w:r w:rsidR="00A75ADD" w:rsidRPr="00280058">
        <w:rPr>
          <w:rFonts w:ascii="Times New Roman" w:hAnsi="Times New Roman" w:cs="Times New Roman"/>
          <w:sz w:val="24"/>
          <w:szCs w:val="24"/>
        </w:rPr>
        <w:t>from J</w:t>
      </w:r>
      <w:r w:rsidR="00A75ADD">
        <w:rPr>
          <w:rFonts w:ascii="Times New Roman" w:hAnsi="Times New Roman" w:cs="Times New Roman"/>
          <w:sz w:val="24"/>
          <w:szCs w:val="24"/>
        </w:rPr>
        <w:t>anuary 2010 to December 2014.</w:t>
      </w:r>
      <w:r>
        <w:rPr>
          <w:rFonts w:ascii="Times New Roman" w:hAnsi="Times New Roman" w:cs="Times New Roman"/>
          <w:sz w:val="24"/>
          <w:szCs w:val="24"/>
        </w:rPr>
        <w:t xml:space="preserve"> </w:t>
      </w:r>
    </w:p>
    <w:p w14:paraId="238A12FD" w14:textId="77777777" w:rsidR="007727A4" w:rsidRDefault="007727A4" w:rsidP="007727A4">
      <w:pPr>
        <w:pStyle w:val="Caption"/>
        <w:keepNext/>
      </w:pPr>
      <w:r>
        <w:t xml:space="preserve">Table </w:t>
      </w:r>
      <w:r w:rsidR="00EC34E3">
        <w:fldChar w:fldCharType="begin"/>
      </w:r>
      <w:r w:rsidR="00EC34E3">
        <w:instrText xml:space="preserve"> SEQ Table \* ARABIC </w:instrText>
      </w:r>
      <w:r w:rsidR="00EC34E3">
        <w:fldChar w:fldCharType="separate"/>
      </w:r>
      <w:r w:rsidR="00B0578D">
        <w:rPr>
          <w:noProof/>
        </w:rPr>
        <w:t>8</w:t>
      </w:r>
      <w:r w:rsidR="00EC34E3">
        <w:rPr>
          <w:noProof/>
        </w:rPr>
        <w:fldChar w:fldCharType="end"/>
      </w:r>
      <w:r>
        <w:t xml:space="preserve"> Kupiec’s ‘proportion of failures’ (PF) Coverage test </w:t>
      </w:r>
    </w:p>
    <w:p w14:paraId="030745A9" w14:textId="77777777" w:rsidR="007727A4" w:rsidRDefault="007727A4" w:rsidP="007727A4">
      <w:pPr>
        <w:pStyle w:val="Caption"/>
        <w:keepNext/>
      </w:pPr>
      <w:r>
        <w:t>Non-rejection intervals [x</w:t>
      </w:r>
      <w:r>
        <w:rPr>
          <w:vertAlign w:val="subscript"/>
        </w:rPr>
        <w:t>1</w:t>
      </w:r>
      <w:r>
        <w:t>, x</w:t>
      </w:r>
      <w:r>
        <w:rPr>
          <w:vertAlign w:val="subscript"/>
        </w:rPr>
        <w:t>2</w:t>
      </w:r>
      <w:r>
        <w:t>] for various values of q and α+1. The VaR measure is rejected at the .05 significance level if the number of exceedances X is less than x</w:t>
      </w:r>
      <w:r>
        <w:rPr>
          <w:vertAlign w:val="subscript"/>
        </w:rPr>
        <w:t>1</w:t>
      </w:r>
      <w:r>
        <w:t xml:space="preserve"> or greater than x</w:t>
      </w:r>
      <w:r>
        <w:rPr>
          <w:vertAlign w:val="subscript"/>
        </w:rPr>
        <w:t>2</w:t>
      </w:r>
      <w:r>
        <w:rPr>
          <w:rStyle w:val="FootnoteReference"/>
        </w:rPr>
        <w:footnoteReference w:id="9"/>
      </w:r>
    </w:p>
    <w:tbl>
      <w:tblPr>
        <w:tblW w:w="8618" w:type="dxa"/>
        <w:tblInd w:w="93" w:type="dxa"/>
        <w:tblLook w:val="04A0" w:firstRow="1" w:lastRow="0" w:firstColumn="1" w:lastColumn="0" w:noHBand="0" w:noVBand="1"/>
      </w:tblPr>
      <w:tblGrid>
        <w:gridCol w:w="1437"/>
        <w:gridCol w:w="1010"/>
        <w:gridCol w:w="1956"/>
        <w:gridCol w:w="1484"/>
        <w:gridCol w:w="1484"/>
        <w:gridCol w:w="1247"/>
      </w:tblGrid>
      <w:tr w:rsidR="007727A4" w14:paraId="4B1E0174" w14:textId="77777777" w:rsidTr="007727A4">
        <w:trPr>
          <w:trHeight w:val="406"/>
        </w:trPr>
        <w:tc>
          <w:tcPr>
            <w:tcW w:w="1437" w:type="dxa"/>
            <w:tcBorders>
              <w:top w:val="single" w:sz="8" w:space="0" w:color="auto"/>
              <w:left w:val="single" w:sz="8" w:space="0" w:color="auto"/>
              <w:bottom w:val="nil"/>
              <w:right w:val="nil"/>
            </w:tcBorders>
            <w:noWrap/>
            <w:vAlign w:val="bottom"/>
            <w:hideMark/>
          </w:tcPr>
          <w:p w14:paraId="49081E64" w14:textId="77777777" w:rsidR="007727A4" w:rsidRDefault="007727A4">
            <w:pPr>
              <w:spacing w:after="0" w:line="240" w:lineRule="auto"/>
              <w:rPr>
                <w:rFonts w:ascii="Arial" w:hAnsi="Arial" w:cs="Arial"/>
                <w:sz w:val="20"/>
                <w:szCs w:val="20"/>
              </w:rPr>
            </w:pPr>
            <w:r>
              <w:rPr>
                <w:rFonts w:ascii="Arial" w:hAnsi="Arial" w:cs="Arial"/>
                <w:sz w:val="20"/>
                <w:szCs w:val="20"/>
              </w:rPr>
              <w:t> </w:t>
            </w:r>
          </w:p>
        </w:tc>
        <w:tc>
          <w:tcPr>
            <w:tcW w:w="7181" w:type="dxa"/>
            <w:gridSpan w:val="5"/>
            <w:tcBorders>
              <w:top w:val="single" w:sz="8" w:space="0" w:color="auto"/>
              <w:left w:val="nil"/>
              <w:bottom w:val="nil"/>
              <w:right w:val="single" w:sz="8" w:space="0" w:color="000000"/>
            </w:tcBorders>
            <w:noWrap/>
            <w:vAlign w:val="bottom"/>
            <w:hideMark/>
          </w:tcPr>
          <w:p w14:paraId="5782AC6F" w14:textId="77777777" w:rsidR="007727A4" w:rsidRDefault="007727A4">
            <w:pPr>
              <w:spacing w:after="0" w:line="240" w:lineRule="auto"/>
              <w:jc w:val="center"/>
              <w:rPr>
                <w:rFonts w:ascii="Arial" w:hAnsi="Arial" w:cs="Arial"/>
                <w:b/>
                <w:bCs/>
                <w:sz w:val="20"/>
                <w:szCs w:val="20"/>
              </w:rPr>
            </w:pPr>
            <w:r>
              <w:rPr>
                <w:rFonts w:ascii="Arial" w:hAnsi="Arial" w:cs="Arial"/>
                <w:b/>
                <w:bCs/>
                <w:sz w:val="20"/>
                <w:szCs w:val="20"/>
              </w:rPr>
              <w:t>quantile of loss q</w:t>
            </w:r>
          </w:p>
        </w:tc>
      </w:tr>
      <w:tr w:rsidR="007727A4" w14:paraId="6D924150" w14:textId="77777777" w:rsidTr="007727A4">
        <w:trPr>
          <w:trHeight w:val="430"/>
        </w:trPr>
        <w:tc>
          <w:tcPr>
            <w:tcW w:w="1437" w:type="dxa"/>
            <w:tcBorders>
              <w:top w:val="nil"/>
              <w:left w:val="single" w:sz="8" w:space="0" w:color="auto"/>
              <w:bottom w:val="nil"/>
              <w:right w:val="nil"/>
            </w:tcBorders>
            <w:noWrap/>
            <w:vAlign w:val="bottom"/>
            <w:hideMark/>
          </w:tcPr>
          <w:p w14:paraId="592AA4E4" w14:textId="77777777" w:rsidR="007727A4" w:rsidRDefault="007727A4">
            <w:pPr>
              <w:spacing w:after="0" w:line="240" w:lineRule="auto"/>
              <w:rPr>
                <w:rFonts w:ascii="Arial" w:hAnsi="Arial" w:cs="Arial"/>
                <w:sz w:val="20"/>
                <w:szCs w:val="20"/>
              </w:rPr>
            </w:pPr>
            <w:r>
              <w:rPr>
                <w:rFonts w:ascii="Arial" w:hAnsi="Arial" w:cs="Arial"/>
                <w:sz w:val="20"/>
                <w:szCs w:val="20"/>
              </w:rPr>
              <w:t> </w:t>
            </w:r>
          </w:p>
        </w:tc>
        <w:tc>
          <w:tcPr>
            <w:tcW w:w="1010" w:type="dxa"/>
            <w:noWrap/>
            <w:vAlign w:val="bottom"/>
            <w:hideMark/>
          </w:tcPr>
          <w:p w14:paraId="5404B24B" w14:textId="77777777" w:rsidR="007727A4" w:rsidRDefault="007727A4">
            <w:pPr>
              <w:spacing w:after="0"/>
              <w:rPr>
                <w:rFonts w:asciiTheme="minorHAnsi" w:eastAsiaTheme="minorHAnsi" w:hAnsiTheme="minorHAnsi" w:cs="Times New Roman"/>
              </w:rPr>
            </w:pPr>
          </w:p>
        </w:tc>
        <w:tc>
          <w:tcPr>
            <w:tcW w:w="1956" w:type="dxa"/>
            <w:tcBorders>
              <w:top w:val="nil"/>
              <w:left w:val="nil"/>
              <w:bottom w:val="single" w:sz="8" w:space="0" w:color="auto"/>
              <w:right w:val="nil"/>
            </w:tcBorders>
            <w:noWrap/>
            <w:vAlign w:val="bottom"/>
            <w:hideMark/>
          </w:tcPr>
          <w:p w14:paraId="5338BD90" w14:textId="77777777" w:rsidR="007727A4" w:rsidRDefault="007727A4">
            <w:pPr>
              <w:spacing w:after="0" w:line="240" w:lineRule="auto"/>
              <w:jc w:val="center"/>
              <w:rPr>
                <w:rFonts w:ascii="Arial" w:hAnsi="Arial" w:cs="Arial"/>
                <w:b/>
                <w:bCs/>
                <w:sz w:val="20"/>
                <w:szCs w:val="20"/>
              </w:rPr>
            </w:pPr>
            <w:r>
              <w:rPr>
                <w:rFonts w:ascii="Arial" w:hAnsi="Arial" w:cs="Arial"/>
                <w:b/>
                <w:bCs/>
                <w:sz w:val="20"/>
                <w:szCs w:val="20"/>
              </w:rPr>
              <w:t>0.90</w:t>
            </w:r>
          </w:p>
        </w:tc>
        <w:tc>
          <w:tcPr>
            <w:tcW w:w="1484" w:type="dxa"/>
            <w:tcBorders>
              <w:top w:val="nil"/>
              <w:left w:val="nil"/>
              <w:bottom w:val="single" w:sz="8" w:space="0" w:color="auto"/>
              <w:right w:val="nil"/>
            </w:tcBorders>
            <w:noWrap/>
            <w:vAlign w:val="bottom"/>
            <w:hideMark/>
          </w:tcPr>
          <w:p w14:paraId="42CD20BE" w14:textId="77777777" w:rsidR="007727A4" w:rsidRDefault="007727A4">
            <w:pPr>
              <w:spacing w:after="0" w:line="240" w:lineRule="auto"/>
              <w:jc w:val="center"/>
              <w:rPr>
                <w:rFonts w:ascii="Arial" w:hAnsi="Arial" w:cs="Arial"/>
                <w:b/>
                <w:bCs/>
                <w:sz w:val="20"/>
                <w:szCs w:val="20"/>
              </w:rPr>
            </w:pPr>
            <w:r>
              <w:rPr>
                <w:rFonts w:ascii="Arial" w:hAnsi="Arial" w:cs="Arial"/>
                <w:b/>
                <w:bCs/>
                <w:sz w:val="20"/>
                <w:szCs w:val="20"/>
              </w:rPr>
              <w:t>0.95</w:t>
            </w:r>
          </w:p>
        </w:tc>
        <w:tc>
          <w:tcPr>
            <w:tcW w:w="1484" w:type="dxa"/>
            <w:tcBorders>
              <w:top w:val="nil"/>
              <w:left w:val="nil"/>
              <w:bottom w:val="single" w:sz="8" w:space="0" w:color="auto"/>
              <w:right w:val="nil"/>
            </w:tcBorders>
            <w:noWrap/>
            <w:vAlign w:val="bottom"/>
            <w:hideMark/>
          </w:tcPr>
          <w:p w14:paraId="526DF449" w14:textId="77777777" w:rsidR="007727A4" w:rsidRDefault="007727A4">
            <w:pPr>
              <w:spacing w:after="0" w:line="240" w:lineRule="auto"/>
              <w:jc w:val="center"/>
              <w:rPr>
                <w:rFonts w:ascii="Arial" w:hAnsi="Arial" w:cs="Arial"/>
                <w:b/>
                <w:bCs/>
                <w:sz w:val="20"/>
                <w:szCs w:val="20"/>
              </w:rPr>
            </w:pPr>
            <w:r>
              <w:rPr>
                <w:rFonts w:ascii="Arial" w:hAnsi="Arial" w:cs="Arial"/>
                <w:b/>
                <w:bCs/>
                <w:sz w:val="20"/>
                <w:szCs w:val="20"/>
              </w:rPr>
              <w:t>0.975</w:t>
            </w:r>
          </w:p>
        </w:tc>
        <w:tc>
          <w:tcPr>
            <w:tcW w:w="1247" w:type="dxa"/>
            <w:tcBorders>
              <w:top w:val="nil"/>
              <w:left w:val="nil"/>
              <w:bottom w:val="single" w:sz="8" w:space="0" w:color="auto"/>
              <w:right w:val="single" w:sz="8" w:space="0" w:color="auto"/>
            </w:tcBorders>
            <w:noWrap/>
            <w:vAlign w:val="bottom"/>
            <w:hideMark/>
          </w:tcPr>
          <w:p w14:paraId="5F417780" w14:textId="77777777" w:rsidR="007727A4" w:rsidRDefault="007727A4">
            <w:pPr>
              <w:spacing w:after="0" w:line="240" w:lineRule="auto"/>
              <w:jc w:val="center"/>
              <w:rPr>
                <w:rFonts w:ascii="Arial" w:hAnsi="Arial" w:cs="Arial"/>
                <w:b/>
                <w:bCs/>
                <w:sz w:val="20"/>
                <w:szCs w:val="20"/>
              </w:rPr>
            </w:pPr>
            <w:r>
              <w:rPr>
                <w:rFonts w:ascii="Arial" w:hAnsi="Arial" w:cs="Arial"/>
                <w:b/>
                <w:bCs/>
                <w:sz w:val="20"/>
                <w:szCs w:val="20"/>
              </w:rPr>
              <w:t>0.99</w:t>
            </w:r>
          </w:p>
        </w:tc>
      </w:tr>
      <w:tr w:rsidR="007727A4" w14:paraId="603CFC6A" w14:textId="77777777" w:rsidTr="007727A4">
        <w:trPr>
          <w:trHeight w:val="406"/>
        </w:trPr>
        <w:tc>
          <w:tcPr>
            <w:tcW w:w="1437" w:type="dxa"/>
            <w:vMerge w:val="restart"/>
            <w:tcBorders>
              <w:top w:val="single" w:sz="8" w:space="0" w:color="auto"/>
              <w:left w:val="single" w:sz="8" w:space="0" w:color="auto"/>
              <w:bottom w:val="single" w:sz="8" w:space="0" w:color="000000"/>
              <w:right w:val="nil"/>
            </w:tcBorders>
            <w:noWrap/>
            <w:vAlign w:val="center"/>
            <w:hideMark/>
          </w:tcPr>
          <w:p w14:paraId="1EE095C5" w14:textId="77777777" w:rsidR="007727A4" w:rsidRDefault="007727A4">
            <w:pPr>
              <w:spacing w:after="0" w:line="240" w:lineRule="auto"/>
              <w:jc w:val="center"/>
              <w:rPr>
                <w:rFonts w:ascii="Arial" w:hAnsi="Arial" w:cs="Arial"/>
                <w:b/>
                <w:bCs/>
                <w:sz w:val="20"/>
                <w:szCs w:val="20"/>
              </w:rPr>
            </w:pPr>
            <w:r>
              <w:rPr>
                <w:rFonts w:cs="Arial"/>
                <w:b/>
                <w:bCs/>
                <w:sz w:val="20"/>
                <w:szCs w:val="20"/>
              </w:rPr>
              <w:t>α</w:t>
            </w:r>
            <w:r>
              <w:rPr>
                <w:rFonts w:ascii="Arial" w:hAnsi="Arial" w:cs="Arial"/>
                <w:b/>
                <w:bCs/>
                <w:sz w:val="20"/>
                <w:szCs w:val="20"/>
              </w:rPr>
              <w:t xml:space="preserve"> +1</w:t>
            </w:r>
          </w:p>
        </w:tc>
        <w:tc>
          <w:tcPr>
            <w:tcW w:w="1010" w:type="dxa"/>
            <w:tcBorders>
              <w:top w:val="single" w:sz="8" w:space="0" w:color="auto"/>
              <w:left w:val="nil"/>
              <w:bottom w:val="nil"/>
              <w:right w:val="single" w:sz="8" w:space="0" w:color="auto"/>
            </w:tcBorders>
            <w:noWrap/>
            <w:vAlign w:val="bottom"/>
            <w:hideMark/>
          </w:tcPr>
          <w:p w14:paraId="28DE7C36" w14:textId="77777777" w:rsidR="007727A4" w:rsidRDefault="007727A4">
            <w:pPr>
              <w:spacing w:after="0" w:line="240" w:lineRule="auto"/>
              <w:jc w:val="center"/>
              <w:rPr>
                <w:rFonts w:ascii="Arial" w:hAnsi="Arial" w:cs="Arial"/>
                <w:b/>
                <w:bCs/>
                <w:sz w:val="20"/>
                <w:szCs w:val="20"/>
              </w:rPr>
            </w:pPr>
            <w:r>
              <w:rPr>
                <w:rFonts w:ascii="Arial" w:hAnsi="Arial" w:cs="Arial"/>
                <w:b/>
                <w:bCs/>
                <w:sz w:val="20"/>
                <w:szCs w:val="20"/>
              </w:rPr>
              <w:t>125</w:t>
            </w:r>
          </w:p>
        </w:tc>
        <w:tc>
          <w:tcPr>
            <w:tcW w:w="1956" w:type="dxa"/>
            <w:noWrap/>
            <w:vAlign w:val="center"/>
            <w:hideMark/>
          </w:tcPr>
          <w:p w14:paraId="7A4FEEB1" w14:textId="77777777" w:rsidR="007727A4" w:rsidRDefault="007727A4">
            <w:pPr>
              <w:spacing w:after="0" w:line="240" w:lineRule="auto"/>
              <w:jc w:val="center"/>
              <w:rPr>
                <w:rFonts w:ascii="Arial" w:hAnsi="Arial" w:cs="Arial"/>
                <w:sz w:val="20"/>
                <w:szCs w:val="20"/>
              </w:rPr>
            </w:pPr>
            <w:r>
              <w:rPr>
                <w:rFonts w:ascii="Arial" w:hAnsi="Arial" w:cs="Arial"/>
                <w:sz w:val="20"/>
                <w:szCs w:val="20"/>
              </w:rPr>
              <w:t>[6, 20]</w:t>
            </w:r>
          </w:p>
        </w:tc>
        <w:tc>
          <w:tcPr>
            <w:tcW w:w="1484" w:type="dxa"/>
            <w:noWrap/>
            <w:vAlign w:val="center"/>
            <w:hideMark/>
          </w:tcPr>
          <w:p w14:paraId="6784FCA7" w14:textId="77777777" w:rsidR="007727A4" w:rsidRDefault="007727A4">
            <w:pPr>
              <w:spacing w:after="0" w:line="240" w:lineRule="auto"/>
              <w:jc w:val="center"/>
              <w:rPr>
                <w:rFonts w:ascii="Arial" w:hAnsi="Arial" w:cs="Arial"/>
                <w:sz w:val="20"/>
                <w:szCs w:val="20"/>
              </w:rPr>
            </w:pPr>
            <w:r>
              <w:rPr>
                <w:rFonts w:ascii="Arial" w:hAnsi="Arial" w:cs="Arial"/>
                <w:sz w:val="20"/>
                <w:szCs w:val="20"/>
              </w:rPr>
              <w:t>[2, 12]</w:t>
            </w:r>
          </w:p>
        </w:tc>
        <w:tc>
          <w:tcPr>
            <w:tcW w:w="1484" w:type="dxa"/>
            <w:noWrap/>
            <w:vAlign w:val="center"/>
            <w:hideMark/>
          </w:tcPr>
          <w:p w14:paraId="73DD7259" w14:textId="77777777" w:rsidR="007727A4" w:rsidRDefault="007727A4">
            <w:pPr>
              <w:spacing w:after="0" w:line="240" w:lineRule="auto"/>
              <w:jc w:val="center"/>
              <w:rPr>
                <w:rFonts w:ascii="Arial" w:hAnsi="Arial" w:cs="Arial"/>
                <w:sz w:val="20"/>
                <w:szCs w:val="20"/>
              </w:rPr>
            </w:pPr>
            <w:r>
              <w:rPr>
                <w:rFonts w:ascii="Arial" w:hAnsi="Arial" w:cs="Arial"/>
                <w:sz w:val="20"/>
                <w:szCs w:val="20"/>
              </w:rPr>
              <w:t>[0, 8]</w:t>
            </w:r>
          </w:p>
        </w:tc>
        <w:tc>
          <w:tcPr>
            <w:tcW w:w="1247" w:type="dxa"/>
            <w:tcBorders>
              <w:top w:val="nil"/>
              <w:left w:val="nil"/>
              <w:bottom w:val="nil"/>
              <w:right w:val="single" w:sz="8" w:space="0" w:color="auto"/>
            </w:tcBorders>
            <w:noWrap/>
            <w:vAlign w:val="center"/>
            <w:hideMark/>
          </w:tcPr>
          <w:p w14:paraId="1178BED0" w14:textId="77777777" w:rsidR="007727A4" w:rsidRDefault="007727A4">
            <w:pPr>
              <w:spacing w:after="0" w:line="240" w:lineRule="auto"/>
              <w:jc w:val="center"/>
              <w:rPr>
                <w:rFonts w:ascii="Arial" w:hAnsi="Arial" w:cs="Arial"/>
                <w:sz w:val="20"/>
                <w:szCs w:val="20"/>
              </w:rPr>
            </w:pPr>
            <w:r>
              <w:rPr>
                <w:rFonts w:ascii="Arial" w:hAnsi="Arial" w:cs="Arial"/>
                <w:sz w:val="20"/>
                <w:szCs w:val="20"/>
              </w:rPr>
              <w:t>[0, 4]</w:t>
            </w:r>
          </w:p>
        </w:tc>
      </w:tr>
      <w:tr w:rsidR="007727A4" w14:paraId="23B7CD3D" w14:textId="77777777" w:rsidTr="007727A4">
        <w:trPr>
          <w:trHeight w:val="406"/>
        </w:trPr>
        <w:tc>
          <w:tcPr>
            <w:tcW w:w="0" w:type="auto"/>
            <w:vMerge/>
            <w:tcBorders>
              <w:top w:val="single" w:sz="8" w:space="0" w:color="auto"/>
              <w:left w:val="single" w:sz="8" w:space="0" w:color="auto"/>
              <w:bottom w:val="single" w:sz="8" w:space="0" w:color="000000"/>
              <w:right w:val="nil"/>
            </w:tcBorders>
            <w:vAlign w:val="center"/>
            <w:hideMark/>
          </w:tcPr>
          <w:p w14:paraId="1EAC59F5" w14:textId="77777777" w:rsidR="007727A4" w:rsidRDefault="007727A4">
            <w:pPr>
              <w:spacing w:after="0" w:line="240" w:lineRule="auto"/>
              <w:rPr>
                <w:rFonts w:ascii="Arial" w:hAnsi="Arial" w:cs="Arial"/>
                <w:b/>
                <w:bCs/>
                <w:sz w:val="20"/>
                <w:szCs w:val="20"/>
              </w:rPr>
            </w:pPr>
          </w:p>
        </w:tc>
        <w:tc>
          <w:tcPr>
            <w:tcW w:w="1010" w:type="dxa"/>
            <w:tcBorders>
              <w:top w:val="nil"/>
              <w:left w:val="nil"/>
              <w:bottom w:val="nil"/>
              <w:right w:val="single" w:sz="8" w:space="0" w:color="auto"/>
            </w:tcBorders>
            <w:noWrap/>
            <w:vAlign w:val="bottom"/>
            <w:hideMark/>
          </w:tcPr>
          <w:p w14:paraId="5503D19D" w14:textId="77777777" w:rsidR="007727A4" w:rsidRDefault="007727A4">
            <w:pPr>
              <w:spacing w:after="0" w:line="240" w:lineRule="auto"/>
              <w:jc w:val="center"/>
              <w:rPr>
                <w:rFonts w:ascii="Arial" w:hAnsi="Arial" w:cs="Arial"/>
                <w:b/>
                <w:bCs/>
                <w:sz w:val="20"/>
                <w:szCs w:val="20"/>
              </w:rPr>
            </w:pPr>
            <w:r>
              <w:rPr>
                <w:rFonts w:ascii="Arial" w:hAnsi="Arial" w:cs="Arial"/>
                <w:b/>
                <w:bCs/>
                <w:sz w:val="20"/>
                <w:szCs w:val="20"/>
              </w:rPr>
              <w:t>250</w:t>
            </w:r>
          </w:p>
        </w:tc>
        <w:tc>
          <w:tcPr>
            <w:tcW w:w="1956" w:type="dxa"/>
            <w:noWrap/>
            <w:vAlign w:val="center"/>
            <w:hideMark/>
          </w:tcPr>
          <w:p w14:paraId="0E8D4410" w14:textId="77777777" w:rsidR="007727A4" w:rsidRDefault="007727A4">
            <w:pPr>
              <w:spacing w:after="0" w:line="240" w:lineRule="auto"/>
              <w:jc w:val="center"/>
              <w:rPr>
                <w:rFonts w:ascii="Arial" w:hAnsi="Arial" w:cs="Arial"/>
                <w:sz w:val="20"/>
                <w:szCs w:val="20"/>
              </w:rPr>
            </w:pPr>
            <w:r>
              <w:rPr>
                <w:rFonts w:ascii="Arial" w:hAnsi="Arial" w:cs="Arial"/>
                <w:sz w:val="20"/>
                <w:szCs w:val="20"/>
              </w:rPr>
              <w:t>[16, 35]</w:t>
            </w:r>
          </w:p>
        </w:tc>
        <w:tc>
          <w:tcPr>
            <w:tcW w:w="1484" w:type="dxa"/>
            <w:noWrap/>
            <w:vAlign w:val="center"/>
            <w:hideMark/>
          </w:tcPr>
          <w:p w14:paraId="5C78CCFD" w14:textId="77777777" w:rsidR="007727A4" w:rsidRDefault="007727A4">
            <w:pPr>
              <w:spacing w:after="0" w:line="240" w:lineRule="auto"/>
              <w:jc w:val="center"/>
              <w:rPr>
                <w:rFonts w:ascii="Arial" w:hAnsi="Arial" w:cs="Arial"/>
                <w:sz w:val="20"/>
                <w:szCs w:val="20"/>
              </w:rPr>
            </w:pPr>
            <w:r>
              <w:rPr>
                <w:rFonts w:ascii="Arial" w:hAnsi="Arial" w:cs="Arial"/>
                <w:sz w:val="20"/>
                <w:szCs w:val="20"/>
              </w:rPr>
              <w:t>[6, 20]</w:t>
            </w:r>
          </w:p>
        </w:tc>
        <w:tc>
          <w:tcPr>
            <w:tcW w:w="1484" w:type="dxa"/>
            <w:noWrap/>
            <w:vAlign w:val="center"/>
            <w:hideMark/>
          </w:tcPr>
          <w:p w14:paraId="215CE213" w14:textId="77777777" w:rsidR="007727A4" w:rsidRDefault="007727A4">
            <w:pPr>
              <w:spacing w:after="0" w:line="240" w:lineRule="auto"/>
              <w:jc w:val="center"/>
              <w:rPr>
                <w:rFonts w:ascii="Arial" w:hAnsi="Arial" w:cs="Arial"/>
                <w:sz w:val="20"/>
                <w:szCs w:val="20"/>
              </w:rPr>
            </w:pPr>
            <w:r>
              <w:rPr>
                <w:rFonts w:ascii="Arial" w:hAnsi="Arial" w:cs="Arial"/>
                <w:sz w:val="20"/>
                <w:szCs w:val="20"/>
              </w:rPr>
              <w:t>[2, 12]</w:t>
            </w:r>
          </w:p>
        </w:tc>
        <w:tc>
          <w:tcPr>
            <w:tcW w:w="1247" w:type="dxa"/>
            <w:tcBorders>
              <w:top w:val="nil"/>
              <w:left w:val="nil"/>
              <w:bottom w:val="nil"/>
              <w:right w:val="single" w:sz="8" w:space="0" w:color="auto"/>
            </w:tcBorders>
            <w:noWrap/>
            <w:vAlign w:val="center"/>
            <w:hideMark/>
          </w:tcPr>
          <w:p w14:paraId="0359B66B" w14:textId="77777777" w:rsidR="007727A4" w:rsidRDefault="007727A4">
            <w:pPr>
              <w:spacing w:after="0" w:line="240" w:lineRule="auto"/>
              <w:jc w:val="center"/>
              <w:rPr>
                <w:rFonts w:ascii="Arial" w:hAnsi="Arial" w:cs="Arial"/>
                <w:sz w:val="20"/>
                <w:szCs w:val="20"/>
              </w:rPr>
            </w:pPr>
            <w:r>
              <w:rPr>
                <w:rFonts w:ascii="Arial" w:hAnsi="Arial" w:cs="Arial"/>
                <w:sz w:val="20"/>
                <w:szCs w:val="20"/>
              </w:rPr>
              <w:t>[0, 7]</w:t>
            </w:r>
          </w:p>
        </w:tc>
      </w:tr>
      <w:tr w:rsidR="007727A4" w14:paraId="222F5851" w14:textId="77777777" w:rsidTr="007727A4">
        <w:trPr>
          <w:trHeight w:val="406"/>
        </w:trPr>
        <w:tc>
          <w:tcPr>
            <w:tcW w:w="0" w:type="auto"/>
            <w:vMerge/>
            <w:tcBorders>
              <w:top w:val="single" w:sz="8" w:space="0" w:color="auto"/>
              <w:left w:val="single" w:sz="8" w:space="0" w:color="auto"/>
              <w:bottom w:val="single" w:sz="8" w:space="0" w:color="000000"/>
              <w:right w:val="nil"/>
            </w:tcBorders>
            <w:vAlign w:val="center"/>
            <w:hideMark/>
          </w:tcPr>
          <w:p w14:paraId="5D4950A2" w14:textId="77777777" w:rsidR="007727A4" w:rsidRDefault="007727A4">
            <w:pPr>
              <w:spacing w:after="0" w:line="240" w:lineRule="auto"/>
              <w:rPr>
                <w:rFonts w:ascii="Arial" w:hAnsi="Arial" w:cs="Arial"/>
                <w:b/>
                <w:bCs/>
                <w:sz w:val="20"/>
                <w:szCs w:val="20"/>
              </w:rPr>
            </w:pPr>
          </w:p>
        </w:tc>
        <w:tc>
          <w:tcPr>
            <w:tcW w:w="1010" w:type="dxa"/>
            <w:tcBorders>
              <w:top w:val="nil"/>
              <w:left w:val="nil"/>
              <w:bottom w:val="nil"/>
              <w:right w:val="single" w:sz="8" w:space="0" w:color="auto"/>
            </w:tcBorders>
            <w:noWrap/>
            <w:vAlign w:val="bottom"/>
            <w:hideMark/>
          </w:tcPr>
          <w:p w14:paraId="60A74EE3" w14:textId="77777777" w:rsidR="007727A4" w:rsidRDefault="007727A4">
            <w:pPr>
              <w:spacing w:after="0" w:line="240" w:lineRule="auto"/>
              <w:jc w:val="center"/>
              <w:rPr>
                <w:rFonts w:ascii="Arial" w:hAnsi="Arial" w:cs="Arial"/>
                <w:b/>
                <w:bCs/>
                <w:sz w:val="20"/>
                <w:szCs w:val="20"/>
              </w:rPr>
            </w:pPr>
            <w:r>
              <w:rPr>
                <w:rFonts w:ascii="Arial" w:hAnsi="Arial" w:cs="Arial"/>
                <w:b/>
                <w:bCs/>
                <w:sz w:val="20"/>
                <w:szCs w:val="20"/>
              </w:rPr>
              <w:t>500</w:t>
            </w:r>
          </w:p>
        </w:tc>
        <w:tc>
          <w:tcPr>
            <w:tcW w:w="1956" w:type="dxa"/>
            <w:noWrap/>
            <w:vAlign w:val="center"/>
            <w:hideMark/>
          </w:tcPr>
          <w:p w14:paraId="0D8A33DC" w14:textId="77777777" w:rsidR="007727A4" w:rsidRDefault="007727A4">
            <w:pPr>
              <w:spacing w:after="0" w:line="240" w:lineRule="auto"/>
              <w:jc w:val="center"/>
              <w:rPr>
                <w:rFonts w:ascii="Arial" w:hAnsi="Arial" w:cs="Arial"/>
                <w:sz w:val="20"/>
                <w:szCs w:val="20"/>
              </w:rPr>
            </w:pPr>
            <w:r>
              <w:rPr>
                <w:rFonts w:ascii="Arial" w:hAnsi="Arial" w:cs="Arial"/>
                <w:sz w:val="20"/>
                <w:szCs w:val="20"/>
              </w:rPr>
              <w:t>[37, 64]</w:t>
            </w:r>
          </w:p>
        </w:tc>
        <w:tc>
          <w:tcPr>
            <w:tcW w:w="1484" w:type="dxa"/>
            <w:noWrap/>
            <w:vAlign w:val="center"/>
            <w:hideMark/>
          </w:tcPr>
          <w:p w14:paraId="09F426CA" w14:textId="77777777" w:rsidR="007727A4" w:rsidRDefault="007727A4">
            <w:pPr>
              <w:spacing w:after="0" w:line="240" w:lineRule="auto"/>
              <w:jc w:val="center"/>
              <w:rPr>
                <w:rFonts w:ascii="Arial" w:hAnsi="Arial" w:cs="Arial"/>
                <w:sz w:val="20"/>
                <w:szCs w:val="20"/>
              </w:rPr>
            </w:pPr>
            <w:r>
              <w:rPr>
                <w:rFonts w:ascii="Arial" w:hAnsi="Arial" w:cs="Arial"/>
                <w:sz w:val="20"/>
                <w:szCs w:val="20"/>
              </w:rPr>
              <w:t>[16, 36]</w:t>
            </w:r>
          </w:p>
        </w:tc>
        <w:tc>
          <w:tcPr>
            <w:tcW w:w="1484" w:type="dxa"/>
            <w:noWrap/>
            <w:vAlign w:val="center"/>
            <w:hideMark/>
          </w:tcPr>
          <w:p w14:paraId="7680B8C5" w14:textId="77777777" w:rsidR="007727A4" w:rsidRDefault="007727A4">
            <w:pPr>
              <w:spacing w:after="0" w:line="240" w:lineRule="auto"/>
              <w:jc w:val="center"/>
              <w:rPr>
                <w:rFonts w:ascii="Arial" w:hAnsi="Arial" w:cs="Arial"/>
                <w:sz w:val="20"/>
                <w:szCs w:val="20"/>
              </w:rPr>
            </w:pPr>
            <w:r>
              <w:rPr>
                <w:rFonts w:ascii="Arial" w:hAnsi="Arial" w:cs="Arial"/>
                <w:sz w:val="20"/>
                <w:szCs w:val="20"/>
              </w:rPr>
              <w:t>[6, 20]</w:t>
            </w:r>
          </w:p>
        </w:tc>
        <w:tc>
          <w:tcPr>
            <w:tcW w:w="1247" w:type="dxa"/>
            <w:tcBorders>
              <w:top w:val="nil"/>
              <w:left w:val="nil"/>
              <w:bottom w:val="nil"/>
              <w:right w:val="single" w:sz="8" w:space="0" w:color="auto"/>
            </w:tcBorders>
            <w:noWrap/>
            <w:vAlign w:val="center"/>
            <w:hideMark/>
          </w:tcPr>
          <w:p w14:paraId="433D4FE8" w14:textId="77777777" w:rsidR="007727A4" w:rsidRDefault="007727A4">
            <w:pPr>
              <w:spacing w:after="0" w:line="240" w:lineRule="auto"/>
              <w:jc w:val="center"/>
              <w:rPr>
                <w:rFonts w:ascii="Arial" w:hAnsi="Arial" w:cs="Arial"/>
                <w:sz w:val="20"/>
                <w:szCs w:val="20"/>
              </w:rPr>
            </w:pPr>
            <w:r>
              <w:rPr>
                <w:rFonts w:ascii="Arial" w:hAnsi="Arial" w:cs="Arial"/>
                <w:sz w:val="20"/>
                <w:szCs w:val="20"/>
              </w:rPr>
              <w:t>[1, 10]</w:t>
            </w:r>
          </w:p>
        </w:tc>
      </w:tr>
      <w:tr w:rsidR="007727A4" w14:paraId="6E3B3EA4" w14:textId="77777777" w:rsidTr="007727A4">
        <w:trPr>
          <w:trHeight w:val="406"/>
        </w:trPr>
        <w:tc>
          <w:tcPr>
            <w:tcW w:w="0" w:type="auto"/>
            <w:vMerge/>
            <w:tcBorders>
              <w:top w:val="single" w:sz="8" w:space="0" w:color="auto"/>
              <w:left w:val="single" w:sz="8" w:space="0" w:color="auto"/>
              <w:bottom w:val="single" w:sz="8" w:space="0" w:color="000000"/>
              <w:right w:val="nil"/>
            </w:tcBorders>
            <w:vAlign w:val="center"/>
            <w:hideMark/>
          </w:tcPr>
          <w:p w14:paraId="0D5BD786" w14:textId="77777777" w:rsidR="007727A4" w:rsidRDefault="007727A4">
            <w:pPr>
              <w:spacing w:after="0" w:line="240" w:lineRule="auto"/>
              <w:rPr>
                <w:rFonts w:ascii="Arial" w:hAnsi="Arial" w:cs="Arial"/>
                <w:b/>
                <w:bCs/>
                <w:sz w:val="20"/>
                <w:szCs w:val="20"/>
              </w:rPr>
            </w:pPr>
          </w:p>
        </w:tc>
        <w:tc>
          <w:tcPr>
            <w:tcW w:w="1010" w:type="dxa"/>
            <w:tcBorders>
              <w:top w:val="nil"/>
              <w:left w:val="nil"/>
              <w:bottom w:val="nil"/>
              <w:right w:val="single" w:sz="8" w:space="0" w:color="auto"/>
            </w:tcBorders>
            <w:noWrap/>
            <w:vAlign w:val="bottom"/>
            <w:hideMark/>
          </w:tcPr>
          <w:p w14:paraId="1767D6B8" w14:textId="77777777" w:rsidR="007727A4" w:rsidRDefault="007727A4">
            <w:pPr>
              <w:spacing w:after="0" w:line="240" w:lineRule="auto"/>
              <w:jc w:val="center"/>
              <w:rPr>
                <w:rFonts w:ascii="Arial" w:hAnsi="Arial" w:cs="Arial"/>
                <w:b/>
                <w:bCs/>
                <w:sz w:val="20"/>
                <w:szCs w:val="20"/>
              </w:rPr>
            </w:pPr>
            <w:r>
              <w:rPr>
                <w:rFonts w:ascii="Arial" w:hAnsi="Arial" w:cs="Arial"/>
                <w:b/>
                <w:bCs/>
                <w:sz w:val="20"/>
                <w:szCs w:val="20"/>
              </w:rPr>
              <w:t>750</w:t>
            </w:r>
          </w:p>
        </w:tc>
        <w:tc>
          <w:tcPr>
            <w:tcW w:w="1956" w:type="dxa"/>
            <w:noWrap/>
            <w:vAlign w:val="center"/>
            <w:hideMark/>
          </w:tcPr>
          <w:p w14:paraId="05A51CAD" w14:textId="77777777" w:rsidR="007727A4" w:rsidRDefault="007727A4">
            <w:pPr>
              <w:spacing w:after="0" w:line="240" w:lineRule="auto"/>
              <w:jc w:val="center"/>
              <w:rPr>
                <w:rFonts w:ascii="Arial" w:hAnsi="Arial" w:cs="Arial"/>
                <w:sz w:val="20"/>
                <w:szCs w:val="20"/>
              </w:rPr>
            </w:pPr>
            <w:r>
              <w:rPr>
                <w:rFonts w:ascii="Arial" w:hAnsi="Arial" w:cs="Arial"/>
                <w:sz w:val="20"/>
                <w:szCs w:val="20"/>
              </w:rPr>
              <w:t>[59, 92]</w:t>
            </w:r>
          </w:p>
        </w:tc>
        <w:tc>
          <w:tcPr>
            <w:tcW w:w="1484" w:type="dxa"/>
            <w:noWrap/>
            <w:vAlign w:val="center"/>
            <w:hideMark/>
          </w:tcPr>
          <w:p w14:paraId="2A49C56F" w14:textId="77777777" w:rsidR="007727A4" w:rsidRDefault="007727A4">
            <w:pPr>
              <w:spacing w:after="0" w:line="240" w:lineRule="auto"/>
              <w:jc w:val="center"/>
              <w:rPr>
                <w:rFonts w:ascii="Arial" w:hAnsi="Arial" w:cs="Arial"/>
                <w:sz w:val="20"/>
                <w:szCs w:val="20"/>
              </w:rPr>
            </w:pPr>
            <w:r>
              <w:rPr>
                <w:rFonts w:ascii="Arial" w:hAnsi="Arial" w:cs="Arial"/>
                <w:sz w:val="20"/>
                <w:szCs w:val="20"/>
              </w:rPr>
              <w:t>[26, 50]</w:t>
            </w:r>
          </w:p>
        </w:tc>
        <w:tc>
          <w:tcPr>
            <w:tcW w:w="1484" w:type="dxa"/>
            <w:noWrap/>
            <w:vAlign w:val="center"/>
            <w:hideMark/>
          </w:tcPr>
          <w:p w14:paraId="6B27E9B8" w14:textId="77777777" w:rsidR="007727A4" w:rsidRDefault="007727A4">
            <w:pPr>
              <w:spacing w:after="0" w:line="240" w:lineRule="auto"/>
              <w:jc w:val="center"/>
              <w:rPr>
                <w:rFonts w:ascii="Arial" w:hAnsi="Arial" w:cs="Arial"/>
                <w:sz w:val="20"/>
                <w:szCs w:val="20"/>
              </w:rPr>
            </w:pPr>
            <w:r>
              <w:rPr>
                <w:rFonts w:ascii="Arial" w:hAnsi="Arial" w:cs="Arial"/>
                <w:sz w:val="20"/>
                <w:szCs w:val="20"/>
              </w:rPr>
              <w:t>[11, 28]</w:t>
            </w:r>
          </w:p>
        </w:tc>
        <w:tc>
          <w:tcPr>
            <w:tcW w:w="1247" w:type="dxa"/>
            <w:tcBorders>
              <w:top w:val="nil"/>
              <w:left w:val="nil"/>
              <w:bottom w:val="nil"/>
              <w:right w:val="single" w:sz="8" w:space="0" w:color="auto"/>
            </w:tcBorders>
            <w:noWrap/>
            <w:vAlign w:val="center"/>
            <w:hideMark/>
          </w:tcPr>
          <w:p w14:paraId="753E3319" w14:textId="77777777" w:rsidR="007727A4" w:rsidRDefault="007727A4">
            <w:pPr>
              <w:spacing w:after="0" w:line="240" w:lineRule="auto"/>
              <w:jc w:val="center"/>
              <w:rPr>
                <w:rFonts w:ascii="Arial" w:hAnsi="Arial" w:cs="Arial"/>
                <w:sz w:val="20"/>
                <w:szCs w:val="20"/>
              </w:rPr>
            </w:pPr>
            <w:r>
              <w:rPr>
                <w:rFonts w:ascii="Arial" w:hAnsi="Arial" w:cs="Arial"/>
                <w:sz w:val="20"/>
                <w:szCs w:val="20"/>
              </w:rPr>
              <w:t>[2, 14]</w:t>
            </w:r>
          </w:p>
        </w:tc>
      </w:tr>
      <w:tr w:rsidR="007727A4" w14:paraId="66DA6CAA" w14:textId="77777777" w:rsidTr="007727A4">
        <w:trPr>
          <w:trHeight w:val="406"/>
        </w:trPr>
        <w:tc>
          <w:tcPr>
            <w:tcW w:w="0" w:type="auto"/>
            <w:vMerge/>
            <w:tcBorders>
              <w:top w:val="single" w:sz="8" w:space="0" w:color="auto"/>
              <w:left w:val="single" w:sz="8" w:space="0" w:color="auto"/>
              <w:bottom w:val="single" w:sz="8" w:space="0" w:color="000000"/>
              <w:right w:val="nil"/>
            </w:tcBorders>
            <w:vAlign w:val="center"/>
            <w:hideMark/>
          </w:tcPr>
          <w:p w14:paraId="71DEFD74" w14:textId="77777777" w:rsidR="007727A4" w:rsidRDefault="007727A4">
            <w:pPr>
              <w:spacing w:after="0" w:line="240" w:lineRule="auto"/>
              <w:rPr>
                <w:rFonts w:ascii="Arial" w:hAnsi="Arial" w:cs="Arial"/>
                <w:b/>
                <w:bCs/>
                <w:sz w:val="20"/>
                <w:szCs w:val="20"/>
              </w:rPr>
            </w:pPr>
          </w:p>
        </w:tc>
        <w:tc>
          <w:tcPr>
            <w:tcW w:w="1010" w:type="dxa"/>
            <w:tcBorders>
              <w:top w:val="nil"/>
              <w:left w:val="nil"/>
              <w:bottom w:val="nil"/>
              <w:right w:val="single" w:sz="8" w:space="0" w:color="auto"/>
            </w:tcBorders>
            <w:noWrap/>
            <w:vAlign w:val="bottom"/>
            <w:hideMark/>
          </w:tcPr>
          <w:p w14:paraId="12AE504B" w14:textId="77777777" w:rsidR="007727A4" w:rsidRDefault="007727A4">
            <w:pPr>
              <w:spacing w:after="0" w:line="240" w:lineRule="auto"/>
              <w:jc w:val="center"/>
              <w:rPr>
                <w:rFonts w:ascii="Arial" w:hAnsi="Arial" w:cs="Arial"/>
                <w:b/>
                <w:bCs/>
                <w:sz w:val="20"/>
                <w:szCs w:val="20"/>
              </w:rPr>
            </w:pPr>
            <w:r>
              <w:rPr>
                <w:rFonts w:ascii="Arial" w:hAnsi="Arial" w:cs="Arial"/>
                <w:b/>
                <w:bCs/>
                <w:sz w:val="20"/>
                <w:szCs w:val="20"/>
              </w:rPr>
              <w:t>1000</w:t>
            </w:r>
          </w:p>
        </w:tc>
        <w:tc>
          <w:tcPr>
            <w:tcW w:w="1956" w:type="dxa"/>
            <w:noWrap/>
            <w:vAlign w:val="center"/>
            <w:hideMark/>
          </w:tcPr>
          <w:p w14:paraId="444AF82E" w14:textId="77777777" w:rsidR="007727A4" w:rsidRDefault="007727A4">
            <w:pPr>
              <w:spacing w:after="0" w:line="240" w:lineRule="auto"/>
              <w:jc w:val="center"/>
              <w:rPr>
                <w:rFonts w:ascii="Arial" w:hAnsi="Arial" w:cs="Arial"/>
                <w:sz w:val="20"/>
                <w:szCs w:val="20"/>
              </w:rPr>
            </w:pPr>
            <w:r>
              <w:rPr>
                <w:rFonts w:ascii="Arial" w:hAnsi="Arial" w:cs="Arial"/>
                <w:sz w:val="20"/>
                <w:szCs w:val="20"/>
              </w:rPr>
              <w:t>[81, 120]</w:t>
            </w:r>
          </w:p>
        </w:tc>
        <w:tc>
          <w:tcPr>
            <w:tcW w:w="1484" w:type="dxa"/>
            <w:noWrap/>
            <w:vAlign w:val="center"/>
            <w:hideMark/>
          </w:tcPr>
          <w:p w14:paraId="0B1FD9A0" w14:textId="77777777" w:rsidR="007727A4" w:rsidRDefault="007727A4">
            <w:pPr>
              <w:spacing w:after="0" w:line="240" w:lineRule="auto"/>
              <w:jc w:val="center"/>
              <w:rPr>
                <w:rFonts w:ascii="Arial" w:hAnsi="Arial" w:cs="Arial"/>
                <w:sz w:val="20"/>
                <w:szCs w:val="20"/>
              </w:rPr>
            </w:pPr>
            <w:r>
              <w:rPr>
                <w:rFonts w:ascii="Arial" w:hAnsi="Arial" w:cs="Arial"/>
                <w:sz w:val="20"/>
                <w:szCs w:val="20"/>
              </w:rPr>
              <w:t>[37, 65]</w:t>
            </w:r>
          </w:p>
        </w:tc>
        <w:tc>
          <w:tcPr>
            <w:tcW w:w="1484" w:type="dxa"/>
            <w:noWrap/>
            <w:vAlign w:val="center"/>
            <w:hideMark/>
          </w:tcPr>
          <w:p w14:paraId="5FEC8B97" w14:textId="77777777" w:rsidR="007727A4" w:rsidRDefault="007727A4">
            <w:pPr>
              <w:spacing w:after="0" w:line="240" w:lineRule="auto"/>
              <w:jc w:val="center"/>
              <w:rPr>
                <w:rFonts w:ascii="Arial" w:hAnsi="Arial" w:cs="Arial"/>
                <w:sz w:val="20"/>
                <w:szCs w:val="20"/>
              </w:rPr>
            </w:pPr>
            <w:r>
              <w:rPr>
                <w:rFonts w:ascii="Arial" w:hAnsi="Arial" w:cs="Arial"/>
                <w:sz w:val="20"/>
                <w:szCs w:val="20"/>
              </w:rPr>
              <w:t>[15, 36]</w:t>
            </w:r>
          </w:p>
        </w:tc>
        <w:tc>
          <w:tcPr>
            <w:tcW w:w="1247" w:type="dxa"/>
            <w:tcBorders>
              <w:top w:val="nil"/>
              <w:left w:val="nil"/>
              <w:bottom w:val="nil"/>
              <w:right w:val="single" w:sz="8" w:space="0" w:color="auto"/>
            </w:tcBorders>
            <w:noWrap/>
            <w:vAlign w:val="center"/>
            <w:hideMark/>
          </w:tcPr>
          <w:p w14:paraId="10B4101A" w14:textId="77777777" w:rsidR="007727A4" w:rsidRDefault="007727A4">
            <w:pPr>
              <w:spacing w:after="0" w:line="240" w:lineRule="auto"/>
              <w:jc w:val="center"/>
              <w:rPr>
                <w:rFonts w:ascii="Arial" w:hAnsi="Arial" w:cs="Arial"/>
                <w:sz w:val="20"/>
                <w:szCs w:val="20"/>
              </w:rPr>
            </w:pPr>
            <w:r>
              <w:rPr>
                <w:rFonts w:ascii="Arial" w:hAnsi="Arial" w:cs="Arial"/>
                <w:sz w:val="20"/>
                <w:szCs w:val="20"/>
              </w:rPr>
              <w:t>[4, 17]</w:t>
            </w:r>
          </w:p>
        </w:tc>
      </w:tr>
      <w:tr w:rsidR="007727A4" w14:paraId="1B4B62EC" w14:textId="77777777" w:rsidTr="007727A4">
        <w:trPr>
          <w:trHeight w:val="430"/>
        </w:trPr>
        <w:tc>
          <w:tcPr>
            <w:tcW w:w="0" w:type="auto"/>
            <w:vMerge/>
            <w:tcBorders>
              <w:top w:val="single" w:sz="8" w:space="0" w:color="auto"/>
              <w:left w:val="single" w:sz="8" w:space="0" w:color="auto"/>
              <w:bottom w:val="single" w:sz="8" w:space="0" w:color="000000"/>
              <w:right w:val="nil"/>
            </w:tcBorders>
            <w:vAlign w:val="center"/>
            <w:hideMark/>
          </w:tcPr>
          <w:p w14:paraId="6487B0F0" w14:textId="77777777" w:rsidR="007727A4" w:rsidRDefault="007727A4">
            <w:pPr>
              <w:spacing w:after="0" w:line="240" w:lineRule="auto"/>
              <w:rPr>
                <w:rFonts w:ascii="Arial" w:hAnsi="Arial" w:cs="Arial"/>
                <w:b/>
                <w:bCs/>
                <w:sz w:val="20"/>
                <w:szCs w:val="20"/>
              </w:rPr>
            </w:pPr>
          </w:p>
        </w:tc>
        <w:tc>
          <w:tcPr>
            <w:tcW w:w="1010" w:type="dxa"/>
            <w:tcBorders>
              <w:top w:val="nil"/>
              <w:left w:val="nil"/>
              <w:bottom w:val="single" w:sz="8" w:space="0" w:color="auto"/>
              <w:right w:val="single" w:sz="8" w:space="0" w:color="auto"/>
            </w:tcBorders>
            <w:noWrap/>
            <w:vAlign w:val="bottom"/>
            <w:hideMark/>
          </w:tcPr>
          <w:p w14:paraId="449BD8B4" w14:textId="77777777" w:rsidR="007727A4" w:rsidRDefault="007727A4">
            <w:pPr>
              <w:spacing w:after="0" w:line="240" w:lineRule="auto"/>
              <w:jc w:val="center"/>
              <w:rPr>
                <w:rFonts w:ascii="Arial" w:hAnsi="Arial" w:cs="Arial"/>
                <w:b/>
                <w:bCs/>
                <w:sz w:val="20"/>
                <w:szCs w:val="20"/>
              </w:rPr>
            </w:pPr>
            <w:r>
              <w:rPr>
                <w:rFonts w:ascii="Arial" w:hAnsi="Arial" w:cs="Arial"/>
                <w:b/>
                <w:bCs/>
                <w:sz w:val="20"/>
                <w:szCs w:val="20"/>
              </w:rPr>
              <w:t>1250</w:t>
            </w:r>
          </w:p>
        </w:tc>
        <w:tc>
          <w:tcPr>
            <w:tcW w:w="1956" w:type="dxa"/>
            <w:tcBorders>
              <w:top w:val="nil"/>
              <w:left w:val="nil"/>
              <w:bottom w:val="single" w:sz="8" w:space="0" w:color="auto"/>
              <w:right w:val="nil"/>
            </w:tcBorders>
            <w:noWrap/>
            <w:vAlign w:val="center"/>
            <w:hideMark/>
          </w:tcPr>
          <w:p w14:paraId="29D55259" w14:textId="77777777" w:rsidR="007727A4" w:rsidRDefault="007727A4">
            <w:pPr>
              <w:spacing w:after="0" w:line="240" w:lineRule="auto"/>
              <w:jc w:val="center"/>
              <w:rPr>
                <w:rFonts w:ascii="Arial" w:hAnsi="Arial" w:cs="Arial"/>
                <w:sz w:val="20"/>
                <w:szCs w:val="20"/>
              </w:rPr>
            </w:pPr>
            <w:r>
              <w:rPr>
                <w:rFonts w:ascii="Arial" w:hAnsi="Arial" w:cs="Arial"/>
                <w:sz w:val="20"/>
                <w:szCs w:val="20"/>
              </w:rPr>
              <w:t>[104, 147]</w:t>
            </w:r>
          </w:p>
        </w:tc>
        <w:tc>
          <w:tcPr>
            <w:tcW w:w="1484" w:type="dxa"/>
            <w:tcBorders>
              <w:top w:val="nil"/>
              <w:left w:val="nil"/>
              <w:bottom w:val="single" w:sz="8" w:space="0" w:color="auto"/>
              <w:right w:val="nil"/>
            </w:tcBorders>
            <w:noWrap/>
            <w:vAlign w:val="center"/>
            <w:hideMark/>
          </w:tcPr>
          <w:p w14:paraId="77C4FBD1" w14:textId="77777777" w:rsidR="007727A4" w:rsidRDefault="007727A4">
            <w:pPr>
              <w:spacing w:after="0" w:line="240" w:lineRule="auto"/>
              <w:jc w:val="center"/>
              <w:rPr>
                <w:rFonts w:ascii="Arial" w:hAnsi="Arial" w:cs="Arial"/>
                <w:sz w:val="20"/>
                <w:szCs w:val="20"/>
              </w:rPr>
            </w:pPr>
            <w:r>
              <w:rPr>
                <w:rFonts w:ascii="Arial" w:hAnsi="Arial" w:cs="Arial"/>
                <w:sz w:val="20"/>
                <w:szCs w:val="20"/>
              </w:rPr>
              <w:t>[47, 79]</w:t>
            </w:r>
          </w:p>
        </w:tc>
        <w:tc>
          <w:tcPr>
            <w:tcW w:w="1484" w:type="dxa"/>
            <w:tcBorders>
              <w:top w:val="nil"/>
              <w:left w:val="nil"/>
              <w:bottom w:val="single" w:sz="8" w:space="0" w:color="auto"/>
              <w:right w:val="nil"/>
            </w:tcBorders>
            <w:noWrap/>
            <w:vAlign w:val="center"/>
            <w:hideMark/>
          </w:tcPr>
          <w:p w14:paraId="5AFD78CF" w14:textId="77777777" w:rsidR="007727A4" w:rsidRDefault="007727A4">
            <w:pPr>
              <w:spacing w:after="0" w:line="240" w:lineRule="auto"/>
              <w:jc w:val="center"/>
              <w:rPr>
                <w:rFonts w:ascii="Arial" w:hAnsi="Arial" w:cs="Arial"/>
                <w:sz w:val="20"/>
                <w:szCs w:val="20"/>
              </w:rPr>
            </w:pPr>
            <w:r>
              <w:rPr>
                <w:rFonts w:ascii="Arial" w:hAnsi="Arial" w:cs="Arial"/>
                <w:sz w:val="20"/>
                <w:szCs w:val="20"/>
              </w:rPr>
              <w:t>[21, 43]</w:t>
            </w:r>
          </w:p>
        </w:tc>
        <w:tc>
          <w:tcPr>
            <w:tcW w:w="1247" w:type="dxa"/>
            <w:tcBorders>
              <w:top w:val="nil"/>
              <w:left w:val="nil"/>
              <w:bottom w:val="single" w:sz="8" w:space="0" w:color="auto"/>
              <w:right w:val="single" w:sz="8" w:space="0" w:color="auto"/>
            </w:tcBorders>
            <w:noWrap/>
            <w:vAlign w:val="center"/>
            <w:hideMark/>
          </w:tcPr>
          <w:p w14:paraId="49108F04" w14:textId="77777777" w:rsidR="007727A4" w:rsidRDefault="007727A4">
            <w:pPr>
              <w:spacing w:after="0" w:line="240" w:lineRule="auto"/>
              <w:jc w:val="center"/>
              <w:rPr>
                <w:rFonts w:ascii="Arial" w:hAnsi="Arial" w:cs="Arial"/>
                <w:sz w:val="20"/>
                <w:szCs w:val="20"/>
              </w:rPr>
            </w:pPr>
            <w:r>
              <w:rPr>
                <w:rFonts w:ascii="Arial" w:hAnsi="Arial" w:cs="Arial"/>
                <w:sz w:val="20"/>
                <w:szCs w:val="20"/>
              </w:rPr>
              <w:t>[6, 20]</w:t>
            </w:r>
          </w:p>
        </w:tc>
      </w:tr>
    </w:tbl>
    <w:p w14:paraId="361EC2BD" w14:textId="77777777" w:rsidR="007727A4" w:rsidRDefault="007727A4" w:rsidP="007727A4">
      <w:pPr>
        <w:autoSpaceDE w:val="0"/>
        <w:autoSpaceDN w:val="0"/>
        <w:adjustRightInd w:val="0"/>
        <w:spacing w:line="480" w:lineRule="auto"/>
        <w:jc w:val="both"/>
        <w:rPr>
          <w:rFonts w:ascii="Times New Roman" w:hAnsi="Times New Roman" w:cs="Times New Roman"/>
          <w:sz w:val="24"/>
          <w:szCs w:val="24"/>
        </w:rPr>
      </w:pPr>
    </w:p>
    <w:p w14:paraId="55219FAE" w14:textId="77777777" w:rsidR="00945C4B" w:rsidRDefault="00945C4B" w:rsidP="00CE3AAF">
      <w:pPr>
        <w:autoSpaceDE w:val="0"/>
        <w:autoSpaceDN w:val="0"/>
        <w:adjustRightInd w:val="0"/>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Table </w:t>
      </w:r>
      <w:r w:rsidR="007727A4">
        <w:rPr>
          <w:rFonts w:ascii="Times New Roman" w:hAnsi="Times New Roman" w:cs="Times New Roman"/>
          <w:sz w:val="24"/>
          <w:szCs w:val="24"/>
        </w:rPr>
        <w:t>9</w:t>
      </w:r>
      <w:r>
        <w:rPr>
          <w:rFonts w:ascii="Times New Roman" w:hAnsi="Times New Roman" w:cs="Times New Roman"/>
          <w:sz w:val="24"/>
          <w:szCs w:val="24"/>
        </w:rPr>
        <w:t xml:space="preserve"> shows the magnitude of exceedances E </w:t>
      </w:r>
      <w:r w:rsidR="00CE3AAF">
        <w:rPr>
          <w:rFonts w:ascii="Times New Roman" w:hAnsi="Times New Roman" w:cs="Times New Roman"/>
          <w:sz w:val="24"/>
          <w:szCs w:val="24"/>
        </w:rPr>
        <w:t xml:space="preserve">at portfolio level </w:t>
      </w:r>
      <w:r>
        <w:rPr>
          <w:rFonts w:ascii="Times New Roman" w:hAnsi="Times New Roman" w:cs="Times New Roman"/>
          <w:sz w:val="24"/>
          <w:szCs w:val="24"/>
        </w:rPr>
        <w:t>for VaR, LVaR (Bangia) and LVaR (</w:t>
      </w:r>
      <w:r w:rsidR="003646B0">
        <w:rPr>
          <w:rFonts w:ascii="Times New Roman" w:hAnsi="Times New Roman" w:cs="Times New Roman"/>
          <w:sz w:val="24"/>
          <w:szCs w:val="24"/>
        </w:rPr>
        <w:t>Modified</w:t>
      </w:r>
      <w:r>
        <w:rPr>
          <w:rFonts w:ascii="Times New Roman" w:hAnsi="Times New Roman" w:cs="Times New Roman"/>
          <w:sz w:val="24"/>
          <w:szCs w:val="24"/>
        </w:rPr>
        <w:t xml:space="preserve">) in period </w:t>
      </w:r>
      <w:r w:rsidRPr="00280058">
        <w:rPr>
          <w:rFonts w:ascii="Times New Roman" w:hAnsi="Times New Roman" w:cs="Times New Roman"/>
          <w:sz w:val="24"/>
          <w:szCs w:val="24"/>
        </w:rPr>
        <w:t>from J</w:t>
      </w:r>
      <w:r>
        <w:rPr>
          <w:rFonts w:ascii="Times New Roman" w:hAnsi="Times New Roman" w:cs="Times New Roman"/>
          <w:sz w:val="24"/>
          <w:szCs w:val="24"/>
        </w:rPr>
        <w:t xml:space="preserve">anuary 2010 to December 2014 (Number of days = 1212).  According to </w:t>
      </w:r>
      <w:r w:rsidRPr="00CC1E52">
        <w:rPr>
          <w:rFonts w:ascii="Times New Roman" w:hAnsi="Times New Roman" w:cs="Times New Roman"/>
          <w:sz w:val="24"/>
          <w:szCs w:val="24"/>
        </w:rPr>
        <w:t>Kupiec’s ‘proportion o</w:t>
      </w:r>
      <w:r w:rsidR="00D0232A">
        <w:rPr>
          <w:rFonts w:ascii="Times New Roman" w:hAnsi="Times New Roman" w:cs="Times New Roman"/>
          <w:sz w:val="24"/>
          <w:szCs w:val="24"/>
        </w:rPr>
        <w:t>f failures’ (PF) coverage tests</w:t>
      </w:r>
      <w:r w:rsidR="00170901">
        <w:rPr>
          <w:rFonts w:ascii="Times New Roman" w:hAnsi="Times New Roman" w:cs="Times New Roman"/>
          <w:sz w:val="24"/>
          <w:szCs w:val="24"/>
        </w:rPr>
        <w:t xml:space="preserve"> (Table 8)</w:t>
      </w:r>
      <w:r w:rsidR="00D0232A">
        <w:rPr>
          <w:rFonts w:ascii="Times New Roman" w:hAnsi="Times New Roman" w:cs="Times New Roman"/>
          <w:sz w:val="24"/>
          <w:szCs w:val="24"/>
        </w:rPr>
        <w:t xml:space="preserve">, </w:t>
      </w:r>
      <w:r w:rsidR="003646B0">
        <w:rPr>
          <w:rFonts w:ascii="Times New Roman" w:hAnsi="Times New Roman" w:cs="Times New Roman"/>
          <w:sz w:val="24"/>
          <w:szCs w:val="24"/>
        </w:rPr>
        <w:t>only LVaR (Modified</w:t>
      </w:r>
      <w:r>
        <w:rPr>
          <w:rFonts w:ascii="Times New Roman" w:hAnsi="Times New Roman" w:cs="Times New Roman"/>
          <w:sz w:val="24"/>
          <w:szCs w:val="24"/>
        </w:rPr>
        <w:t>) measure is not rejected at .01</w:t>
      </w:r>
      <w:r w:rsidRPr="00CC1E52">
        <w:rPr>
          <w:rFonts w:ascii="Times New Roman" w:hAnsi="Times New Roman" w:cs="Times New Roman"/>
          <w:sz w:val="24"/>
          <w:szCs w:val="24"/>
        </w:rPr>
        <w:t xml:space="preserve"> significance level</w:t>
      </w:r>
      <w:r>
        <w:rPr>
          <w:rFonts w:ascii="Times New Roman" w:hAnsi="Times New Roman" w:cs="Times New Roman"/>
          <w:sz w:val="24"/>
          <w:szCs w:val="24"/>
        </w:rPr>
        <w:t>.</w:t>
      </w:r>
    </w:p>
    <w:p w14:paraId="05F7B9F2" w14:textId="77777777" w:rsidR="007727A4" w:rsidRDefault="007727A4" w:rsidP="007727A4">
      <w:pPr>
        <w:pStyle w:val="Caption"/>
        <w:keepNext/>
      </w:pPr>
      <w:bookmarkStart w:id="80" w:name="_Toc431418256"/>
      <w:r>
        <w:lastRenderedPageBreak/>
        <w:t xml:space="preserve">Table </w:t>
      </w:r>
      <w:r w:rsidR="00EC34E3">
        <w:fldChar w:fldCharType="begin"/>
      </w:r>
      <w:r w:rsidR="00EC34E3">
        <w:instrText xml:space="preserve"> SEQ Table \* ARABIC </w:instrText>
      </w:r>
      <w:r w:rsidR="00EC34E3">
        <w:fldChar w:fldCharType="separate"/>
      </w:r>
      <w:r w:rsidR="00B0578D">
        <w:rPr>
          <w:noProof/>
        </w:rPr>
        <w:t>9</w:t>
      </w:r>
      <w:r w:rsidR="00EC34E3">
        <w:rPr>
          <w:noProof/>
        </w:rPr>
        <w:fldChar w:fldCharType="end"/>
      </w:r>
      <w:r>
        <w:t xml:space="preserve"> Magnitude of Exceedances in period from January 2010 to December 2014 (1212 days)</w:t>
      </w:r>
    </w:p>
    <w:tbl>
      <w:tblPr>
        <w:tblW w:w="8719" w:type="dxa"/>
        <w:tblCellMar>
          <w:left w:w="0" w:type="dxa"/>
          <w:right w:w="0" w:type="dxa"/>
        </w:tblCellMar>
        <w:tblLook w:val="04A0" w:firstRow="1" w:lastRow="0" w:firstColumn="1" w:lastColumn="0" w:noHBand="0" w:noVBand="1"/>
      </w:tblPr>
      <w:tblGrid>
        <w:gridCol w:w="2876"/>
        <w:gridCol w:w="911"/>
        <w:gridCol w:w="885"/>
        <w:gridCol w:w="1244"/>
        <w:gridCol w:w="1291"/>
        <w:gridCol w:w="1512"/>
      </w:tblGrid>
      <w:tr w:rsidR="007727A4" w14:paraId="162ACB53" w14:textId="77777777" w:rsidTr="00170901">
        <w:trPr>
          <w:trHeight w:val="142"/>
        </w:trPr>
        <w:tc>
          <w:tcPr>
            <w:tcW w:w="2876"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vAlign w:val="bottom"/>
            <w:hideMark/>
          </w:tcPr>
          <w:p w14:paraId="0BA52354" w14:textId="77777777" w:rsidR="007727A4" w:rsidRDefault="007727A4">
            <w:pPr>
              <w:spacing w:line="480" w:lineRule="auto"/>
              <w:rPr>
                <w:rFonts w:cs="Times New Roman"/>
              </w:rPr>
            </w:pPr>
            <w:r>
              <w:rPr>
                <w:rFonts w:cs="Times New Roman"/>
              </w:rPr>
              <w:t>Measure\Portfolio</w:t>
            </w:r>
          </w:p>
        </w:tc>
        <w:tc>
          <w:tcPr>
            <w:tcW w:w="911" w:type="dxa"/>
            <w:tcBorders>
              <w:top w:val="single" w:sz="8" w:space="0" w:color="auto"/>
              <w:left w:val="single" w:sz="8" w:space="0" w:color="auto"/>
              <w:bottom w:val="single" w:sz="8" w:space="0" w:color="auto"/>
              <w:right w:val="single" w:sz="8" w:space="0" w:color="auto"/>
            </w:tcBorders>
            <w:hideMark/>
          </w:tcPr>
          <w:p w14:paraId="5948F9A6" w14:textId="77777777" w:rsidR="007727A4" w:rsidRDefault="007727A4">
            <w:pPr>
              <w:spacing w:line="480" w:lineRule="auto"/>
              <w:jc w:val="center"/>
              <w:rPr>
                <w:rFonts w:cs="Times New Roman"/>
                <w:b/>
                <w:bCs/>
              </w:rPr>
            </w:pPr>
            <w:r>
              <w:rPr>
                <w:rFonts w:cs="Times New Roman"/>
                <w:b/>
                <w:bCs/>
              </w:rPr>
              <w:t>Nifty</w:t>
            </w:r>
          </w:p>
        </w:tc>
        <w:tc>
          <w:tcPr>
            <w:tcW w:w="885"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vAlign w:val="bottom"/>
            <w:hideMark/>
          </w:tcPr>
          <w:p w14:paraId="5F9E2E9E" w14:textId="77777777" w:rsidR="007727A4" w:rsidRDefault="007727A4">
            <w:pPr>
              <w:spacing w:line="480" w:lineRule="auto"/>
              <w:jc w:val="center"/>
              <w:rPr>
                <w:rFonts w:cs="Times New Roman"/>
              </w:rPr>
            </w:pPr>
            <w:r>
              <w:rPr>
                <w:rFonts w:cs="Times New Roman"/>
                <w:b/>
                <w:bCs/>
              </w:rPr>
              <w:t>Infra</w:t>
            </w:r>
          </w:p>
        </w:tc>
        <w:tc>
          <w:tcPr>
            <w:tcW w:w="1244"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vAlign w:val="bottom"/>
            <w:hideMark/>
          </w:tcPr>
          <w:p w14:paraId="526F5105" w14:textId="77777777" w:rsidR="007727A4" w:rsidRDefault="007727A4">
            <w:pPr>
              <w:spacing w:line="480" w:lineRule="auto"/>
              <w:jc w:val="center"/>
              <w:rPr>
                <w:rFonts w:cs="Times New Roman"/>
                <w:b/>
                <w:bCs/>
              </w:rPr>
            </w:pPr>
            <w:r>
              <w:rPr>
                <w:rFonts w:cs="Times New Roman"/>
                <w:b/>
                <w:bCs/>
              </w:rPr>
              <w:t>Service</w:t>
            </w:r>
          </w:p>
        </w:tc>
        <w:tc>
          <w:tcPr>
            <w:tcW w:w="1291"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vAlign w:val="bottom"/>
            <w:hideMark/>
          </w:tcPr>
          <w:p w14:paraId="1383FCB1" w14:textId="77777777" w:rsidR="007727A4" w:rsidRDefault="007727A4">
            <w:pPr>
              <w:spacing w:line="480" w:lineRule="auto"/>
              <w:jc w:val="center"/>
              <w:rPr>
                <w:rFonts w:cs="Times New Roman"/>
                <w:b/>
                <w:bCs/>
              </w:rPr>
            </w:pPr>
            <w:r>
              <w:rPr>
                <w:rFonts w:cs="Times New Roman"/>
                <w:b/>
                <w:bCs/>
              </w:rPr>
              <w:t>Midcap</w:t>
            </w:r>
          </w:p>
        </w:tc>
        <w:tc>
          <w:tcPr>
            <w:tcW w:w="1512"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vAlign w:val="bottom"/>
            <w:hideMark/>
          </w:tcPr>
          <w:p w14:paraId="4981DDE7" w14:textId="77777777" w:rsidR="007727A4" w:rsidRDefault="007727A4">
            <w:pPr>
              <w:spacing w:line="480" w:lineRule="auto"/>
              <w:jc w:val="center"/>
              <w:rPr>
                <w:rFonts w:cs="Times New Roman"/>
                <w:b/>
                <w:bCs/>
              </w:rPr>
            </w:pPr>
            <w:r>
              <w:rPr>
                <w:rFonts w:cs="Times New Roman"/>
                <w:b/>
                <w:bCs/>
              </w:rPr>
              <w:t>Smallcap</w:t>
            </w:r>
          </w:p>
        </w:tc>
      </w:tr>
      <w:tr w:rsidR="007727A4" w14:paraId="0A5AB1C5" w14:textId="77777777" w:rsidTr="00170901">
        <w:trPr>
          <w:trHeight w:val="142"/>
        </w:trPr>
        <w:tc>
          <w:tcPr>
            <w:tcW w:w="2876" w:type="dxa"/>
            <w:tcBorders>
              <w:top w:val="nil"/>
              <w:left w:val="single" w:sz="8" w:space="0" w:color="000000"/>
              <w:bottom w:val="nil"/>
              <w:right w:val="single" w:sz="8" w:space="0" w:color="auto"/>
            </w:tcBorders>
            <w:tcMar>
              <w:top w:w="15" w:type="dxa"/>
              <w:left w:w="15" w:type="dxa"/>
              <w:bottom w:w="0" w:type="dxa"/>
              <w:right w:w="15" w:type="dxa"/>
            </w:tcMar>
            <w:vAlign w:val="bottom"/>
            <w:hideMark/>
          </w:tcPr>
          <w:p w14:paraId="02C6F1EB" w14:textId="77777777" w:rsidR="007727A4" w:rsidRDefault="007727A4">
            <w:pPr>
              <w:spacing w:line="480" w:lineRule="auto"/>
              <w:rPr>
                <w:rFonts w:cs="Times New Roman"/>
              </w:rPr>
            </w:pPr>
            <w:r>
              <w:rPr>
                <w:rFonts w:cs="Times New Roman"/>
              </w:rPr>
              <w:t>VaR</w:t>
            </w:r>
          </w:p>
        </w:tc>
        <w:tc>
          <w:tcPr>
            <w:tcW w:w="911" w:type="dxa"/>
            <w:tcBorders>
              <w:top w:val="nil"/>
              <w:left w:val="single" w:sz="8" w:space="0" w:color="auto"/>
              <w:bottom w:val="nil"/>
              <w:right w:val="single" w:sz="8" w:space="0" w:color="auto"/>
            </w:tcBorders>
            <w:hideMark/>
          </w:tcPr>
          <w:p w14:paraId="253B71C8" w14:textId="77777777" w:rsidR="007727A4" w:rsidRDefault="007727A4">
            <w:pPr>
              <w:spacing w:line="480" w:lineRule="auto"/>
              <w:jc w:val="center"/>
              <w:rPr>
                <w:rFonts w:cs="Times New Roman"/>
              </w:rPr>
            </w:pPr>
            <w:r>
              <w:rPr>
                <w:rFonts w:cs="Times New Roman"/>
              </w:rPr>
              <w:t>18</w:t>
            </w:r>
          </w:p>
        </w:tc>
        <w:tc>
          <w:tcPr>
            <w:tcW w:w="885" w:type="dxa"/>
            <w:tcBorders>
              <w:top w:val="nil"/>
              <w:left w:val="single" w:sz="8" w:space="0" w:color="auto"/>
              <w:bottom w:val="nil"/>
              <w:right w:val="single" w:sz="8" w:space="0" w:color="auto"/>
            </w:tcBorders>
            <w:tcMar>
              <w:top w:w="15" w:type="dxa"/>
              <w:left w:w="15" w:type="dxa"/>
              <w:bottom w:w="0" w:type="dxa"/>
              <w:right w:w="15" w:type="dxa"/>
            </w:tcMar>
            <w:vAlign w:val="bottom"/>
            <w:hideMark/>
          </w:tcPr>
          <w:p w14:paraId="7488BBFB" w14:textId="77777777" w:rsidR="007727A4" w:rsidRDefault="007727A4">
            <w:pPr>
              <w:spacing w:line="480" w:lineRule="auto"/>
              <w:jc w:val="center"/>
              <w:rPr>
                <w:rFonts w:cs="Times New Roman"/>
              </w:rPr>
            </w:pPr>
            <w:r>
              <w:rPr>
                <w:rFonts w:cs="Times New Roman"/>
              </w:rPr>
              <w:t>24</w:t>
            </w:r>
          </w:p>
        </w:tc>
        <w:tc>
          <w:tcPr>
            <w:tcW w:w="1244" w:type="dxa"/>
            <w:tcBorders>
              <w:top w:val="nil"/>
              <w:left w:val="single" w:sz="8" w:space="0" w:color="auto"/>
              <w:bottom w:val="nil"/>
              <w:right w:val="single" w:sz="8" w:space="0" w:color="auto"/>
            </w:tcBorders>
            <w:tcMar>
              <w:top w:w="15" w:type="dxa"/>
              <w:left w:w="15" w:type="dxa"/>
              <w:bottom w:w="0" w:type="dxa"/>
              <w:right w:w="15" w:type="dxa"/>
            </w:tcMar>
            <w:vAlign w:val="bottom"/>
            <w:hideMark/>
          </w:tcPr>
          <w:p w14:paraId="3CA0711D" w14:textId="77777777" w:rsidR="007727A4" w:rsidRDefault="007727A4">
            <w:pPr>
              <w:spacing w:line="480" w:lineRule="auto"/>
              <w:jc w:val="center"/>
              <w:rPr>
                <w:rFonts w:cs="Times New Roman"/>
              </w:rPr>
            </w:pPr>
            <w:r>
              <w:rPr>
                <w:rFonts w:cs="Times New Roman"/>
              </w:rPr>
              <w:t>23</w:t>
            </w:r>
          </w:p>
        </w:tc>
        <w:tc>
          <w:tcPr>
            <w:tcW w:w="1291" w:type="dxa"/>
            <w:tcBorders>
              <w:top w:val="nil"/>
              <w:left w:val="single" w:sz="8" w:space="0" w:color="auto"/>
              <w:bottom w:val="nil"/>
              <w:right w:val="single" w:sz="8" w:space="0" w:color="auto"/>
            </w:tcBorders>
            <w:tcMar>
              <w:top w:w="15" w:type="dxa"/>
              <w:left w:w="15" w:type="dxa"/>
              <w:bottom w:w="0" w:type="dxa"/>
              <w:right w:w="15" w:type="dxa"/>
            </w:tcMar>
            <w:vAlign w:val="bottom"/>
            <w:hideMark/>
          </w:tcPr>
          <w:p w14:paraId="722032C9" w14:textId="77777777" w:rsidR="007727A4" w:rsidRDefault="007727A4">
            <w:pPr>
              <w:spacing w:line="480" w:lineRule="auto"/>
              <w:jc w:val="center"/>
              <w:rPr>
                <w:rFonts w:cs="Times New Roman"/>
              </w:rPr>
            </w:pPr>
            <w:r>
              <w:rPr>
                <w:rFonts w:cs="Times New Roman"/>
              </w:rPr>
              <w:t>26</w:t>
            </w:r>
          </w:p>
        </w:tc>
        <w:tc>
          <w:tcPr>
            <w:tcW w:w="1512" w:type="dxa"/>
            <w:tcBorders>
              <w:top w:val="nil"/>
              <w:left w:val="single" w:sz="8" w:space="0" w:color="auto"/>
              <w:bottom w:val="nil"/>
              <w:right w:val="single" w:sz="8" w:space="0" w:color="auto"/>
            </w:tcBorders>
            <w:tcMar>
              <w:top w:w="15" w:type="dxa"/>
              <w:left w:w="15" w:type="dxa"/>
              <w:bottom w:w="0" w:type="dxa"/>
              <w:right w:w="15" w:type="dxa"/>
            </w:tcMar>
            <w:vAlign w:val="bottom"/>
            <w:hideMark/>
          </w:tcPr>
          <w:p w14:paraId="58492D46" w14:textId="77777777" w:rsidR="007727A4" w:rsidRDefault="007727A4">
            <w:pPr>
              <w:spacing w:line="480" w:lineRule="auto"/>
              <w:jc w:val="center"/>
              <w:rPr>
                <w:rFonts w:cs="Times New Roman"/>
              </w:rPr>
            </w:pPr>
            <w:r>
              <w:rPr>
                <w:rFonts w:cs="Times New Roman"/>
              </w:rPr>
              <w:t>27</w:t>
            </w:r>
          </w:p>
        </w:tc>
      </w:tr>
      <w:tr w:rsidR="007727A4" w14:paraId="3C7F7087" w14:textId="77777777" w:rsidTr="00170901">
        <w:trPr>
          <w:trHeight w:val="142"/>
        </w:trPr>
        <w:tc>
          <w:tcPr>
            <w:tcW w:w="2876" w:type="dxa"/>
            <w:tcBorders>
              <w:top w:val="nil"/>
              <w:left w:val="single" w:sz="8" w:space="0" w:color="000000"/>
              <w:bottom w:val="nil"/>
              <w:right w:val="single" w:sz="8" w:space="0" w:color="auto"/>
            </w:tcBorders>
            <w:tcMar>
              <w:top w:w="15" w:type="dxa"/>
              <w:left w:w="15" w:type="dxa"/>
              <w:bottom w:w="0" w:type="dxa"/>
              <w:right w:w="15" w:type="dxa"/>
            </w:tcMar>
            <w:vAlign w:val="bottom"/>
            <w:hideMark/>
          </w:tcPr>
          <w:p w14:paraId="54629627" w14:textId="77777777" w:rsidR="007727A4" w:rsidRDefault="007727A4">
            <w:pPr>
              <w:spacing w:line="480" w:lineRule="auto"/>
              <w:rPr>
                <w:rFonts w:cs="Times New Roman"/>
              </w:rPr>
            </w:pPr>
            <w:r>
              <w:rPr>
                <w:rFonts w:cs="Times New Roman"/>
              </w:rPr>
              <w:t>LVaR (Bangia)</w:t>
            </w:r>
          </w:p>
        </w:tc>
        <w:tc>
          <w:tcPr>
            <w:tcW w:w="911" w:type="dxa"/>
            <w:tcBorders>
              <w:top w:val="nil"/>
              <w:left w:val="single" w:sz="8" w:space="0" w:color="auto"/>
              <w:bottom w:val="nil"/>
              <w:right w:val="single" w:sz="8" w:space="0" w:color="auto"/>
            </w:tcBorders>
            <w:hideMark/>
          </w:tcPr>
          <w:p w14:paraId="652729DC" w14:textId="77777777" w:rsidR="007727A4" w:rsidRDefault="007727A4">
            <w:pPr>
              <w:spacing w:line="480" w:lineRule="auto"/>
              <w:jc w:val="center"/>
              <w:rPr>
                <w:rFonts w:cs="Times New Roman"/>
              </w:rPr>
            </w:pPr>
            <w:r>
              <w:rPr>
                <w:rFonts w:cs="Times New Roman"/>
              </w:rPr>
              <w:t>12</w:t>
            </w:r>
          </w:p>
        </w:tc>
        <w:tc>
          <w:tcPr>
            <w:tcW w:w="885" w:type="dxa"/>
            <w:tcBorders>
              <w:top w:val="nil"/>
              <w:left w:val="single" w:sz="8" w:space="0" w:color="auto"/>
              <w:bottom w:val="nil"/>
              <w:right w:val="single" w:sz="8" w:space="0" w:color="auto"/>
            </w:tcBorders>
            <w:tcMar>
              <w:top w:w="15" w:type="dxa"/>
              <w:left w:w="15" w:type="dxa"/>
              <w:bottom w:w="0" w:type="dxa"/>
              <w:right w:w="15" w:type="dxa"/>
            </w:tcMar>
            <w:vAlign w:val="bottom"/>
            <w:hideMark/>
          </w:tcPr>
          <w:p w14:paraId="2A7DD901" w14:textId="77777777" w:rsidR="007727A4" w:rsidRDefault="007727A4">
            <w:pPr>
              <w:spacing w:line="480" w:lineRule="auto"/>
              <w:jc w:val="center"/>
              <w:rPr>
                <w:rFonts w:cs="Times New Roman"/>
              </w:rPr>
            </w:pPr>
            <w:r>
              <w:rPr>
                <w:rFonts w:cs="Times New Roman"/>
              </w:rPr>
              <w:t>20</w:t>
            </w:r>
          </w:p>
        </w:tc>
        <w:tc>
          <w:tcPr>
            <w:tcW w:w="1244" w:type="dxa"/>
            <w:tcBorders>
              <w:top w:val="nil"/>
              <w:left w:val="single" w:sz="8" w:space="0" w:color="auto"/>
              <w:bottom w:val="nil"/>
              <w:right w:val="single" w:sz="8" w:space="0" w:color="auto"/>
            </w:tcBorders>
            <w:tcMar>
              <w:top w:w="15" w:type="dxa"/>
              <w:left w:w="15" w:type="dxa"/>
              <w:bottom w:w="0" w:type="dxa"/>
              <w:right w:w="15" w:type="dxa"/>
            </w:tcMar>
            <w:vAlign w:val="bottom"/>
            <w:hideMark/>
          </w:tcPr>
          <w:p w14:paraId="38FACD69" w14:textId="77777777" w:rsidR="007727A4" w:rsidRDefault="007727A4">
            <w:pPr>
              <w:spacing w:line="480" w:lineRule="auto"/>
              <w:jc w:val="center"/>
              <w:rPr>
                <w:rFonts w:cs="Times New Roman"/>
              </w:rPr>
            </w:pPr>
            <w:r>
              <w:rPr>
                <w:rFonts w:cs="Times New Roman"/>
              </w:rPr>
              <w:t>21</w:t>
            </w:r>
          </w:p>
        </w:tc>
        <w:tc>
          <w:tcPr>
            <w:tcW w:w="1291" w:type="dxa"/>
            <w:tcBorders>
              <w:top w:val="nil"/>
              <w:left w:val="single" w:sz="8" w:space="0" w:color="auto"/>
              <w:bottom w:val="nil"/>
              <w:right w:val="single" w:sz="8" w:space="0" w:color="auto"/>
            </w:tcBorders>
            <w:tcMar>
              <w:top w:w="15" w:type="dxa"/>
              <w:left w:w="15" w:type="dxa"/>
              <w:bottom w:w="0" w:type="dxa"/>
              <w:right w:w="15" w:type="dxa"/>
            </w:tcMar>
            <w:vAlign w:val="bottom"/>
            <w:hideMark/>
          </w:tcPr>
          <w:p w14:paraId="08A70B04" w14:textId="77777777" w:rsidR="007727A4" w:rsidRDefault="007727A4">
            <w:pPr>
              <w:spacing w:line="480" w:lineRule="auto"/>
              <w:jc w:val="center"/>
              <w:rPr>
                <w:rFonts w:cs="Times New Roman"/>
              </w:rPr>
            </w:pPr>
            <w:r>
              <w:rPr>
                <w:rFonts w:cs="Times New Roman"/>
              </w:rPr>
              <w:t>23</w:t>
            </w:r>
          </w:p>
        </w:tc>
        <w:tc>
          <w:tcPr>
            <w:tcW w:w="1512" w:type="dxa"/>
            <w:tcBorders>
              <w:top w:val="nil"/>
              <w:left w:val="single" w:sz="8" w:space="0" w:color="auto"/>
              <w:bottom w:val="nil"/>
              <w:right w:val="single" w:sz="8" w:space="0" w:color="auto"/>
            </w:tcBorders>
            <w:tcMar>
              <w:top w:w="15" w:type="dxa"/>
              <w:left w:w="15" w:type="dxa"/>
              <w:bottom w:w="0" w:type="dxa"/>
              <w:right w:w="15" w:type="dxa"/>
            </w:tcMar>
            <w:vAlign w:val="bottom"/>
            <w:hideMark/>
          </w:tcPr>
          <w:p w14:paraId="0B5E5214" w14:textId="77777777" w:rsidR="007727A4" w:rsidRDefault="007727A4">
            <w:pPr>
              <w:spacing w:line="480" w:lineRule="auto"/>
              <w:jc w:val="center"/>
              <w:rPr>
                <w:rFonts w:cs="Times New Roman"/>
              </w:rPr>
            </w:pPr>
            <w:r>
              <w:rPr>
                <w:rFonts w:cs="Times New Roman"/>
              </w:rPr>
              <w:t>21</w:t>
            </w:r>
          </w:p>
        </w:tc>
      </w:tr>
      <w:tr w:rsidR="007727A4" w14:paraId="076B6F16" w14:textId="77777777" w:rsidTr="00170901">
        <w:trPr>
          <w:trHeight w:val="142"/>
        </w:trPr>
        <w:tc>
          <w:tcPr>
            <w:tcW w:w="2876" w:type="dxa"/>
            <w:tcBorders>
              <w:top w:val="nil"/>
              <w:left w:val="single" w:sz="8" w:space="0" w:color="000000"/>
              <w:bottom w:val="single" w:sz="4" w:space="0" w:color="auto"/>
              <w:right w:val="single" w:sz="8" w:space="0" w:color="auto"/>
            </w:tcBorders>
            <w:tcMar>
              <w:top w:w="15" w:type="dxa"/>
              <w:left w:w="15" w:type="dxa"/>
              <w:bottom w:w="0" w:type="dxa"/>
              <w:right w:w="15" w:type="dxa"/>
            </w:tcMar>
            <w:vAlign w:val="bottom"/>
            <w:hideMark/>
          </w:tcPr>
          <w:p w14:paraId="000CCBC8" w14:textId="77777777" w:rsidR="007727A4" w:rsidRDefault="007727A4">
            <w:pPr>
              <w:spacing w:line="480" w:lineRule="auto"/>
              <w:rPr>
                <w:rFonts w:cs="Times New Roman"/>
              </w:rPr>
            </w:pPr>
            <w:r>
              <w:rPr>
                <w:rFonts w:cs="Times New Roman"/>
              </w:rPr>
              <w:t>LVaR (Modified)</w:t>
            </w:r>
          </w:p>
        </w:tc>
        <w:tc>
          <w:tcPr>
            <w:tcW w:w="911" w:type="dxa"/>
            <w:tcBorders>
              <w:top w:val="nil"/>
              <w:left w:val="single" w:sz="8" w:space="0" w:color="auto"/>
              <w:bottom w:val="single" w:sz="4" w:space="0" w:color="auto"/>
              <w:right w:val="single" w:sz="8" w:space="0" w:color="auto"/>
            </w:tcBorders>
            <w:hideMark/>
          </w:tcPr>
          <w:p w14:paraId="05F257E1" w14:textId="77777777" w:rsidR="007727A4" w:rsidRDefault="007727A4">
            <w:pPr>
              <w:spacing w:line="480" w:lineRule="auto"/>
              <w:jc w:val="center"/>
              <w:rPr>
                <w:rFonts w:cs="Times New Roman"/>
              </w:rPr>
            </w:pPr>
            <w:r>
              <w:rPr>
                <w:rFonts w:cs="Times New Roman"/>
              </w:rPr>
              <w:t>9</w:t>
            </w:r>
          </w:p>
        </w:tc>
        <w:tc>
          <w:tcPr>
            <w:tcW w:w="885" w:type="dxa"/>
            <w:tcBorders>
              <w:top w:val="nil"/>
              <w:left w:val="single" w:sz="8" w:space="0" w:color="auto"/>
              <w:bottom w:val="single" w:sz="4" w:space="0" w:color="auto"/>
              <w:right w:val="single" w:sz="8" w:space="0" w:color="auto"/>
            </w:tcBorders>
            <w:tcMar>
              <w:top w:w="15" w:type="dxa"/>
              <w:left w:w="15" w:type="dxa"/>
              <w:bottom w:w="0" w:type="dxa"/>
              <w:right w:w="15" w:type="dxa"/>
            </w:tcMar>
            <w:vAlign w:val="bottom"/>
            <w:hideMark/>
          </w:tcPr>
          <w:p w14:paraId="3D220A43" w14:textId="77777777" w:rsidR="007727A4" w:rsidRDefault="007727A4">
            <w:pPr>
              <w:spacing w:line="480" w:lineRule="auto"/>
              <w:jc w:val="center"/>
              <w:rPr>
                <w:rFonts w:cs="Times New Roman"/>
              </w:rPr>
            </w:pPr>
            <w:r>
              <w:rPr>
                <w:rFonts w:cs="Times New Roman"/>
              </w:rPr>
              <w:t>20</w:t>
            </w:r>
          </w:p>
        </w:tc>
        <w:tc>
          <w:tcPr>
            <w:tcW w:w="1244" w:type="dxa"/>
            <w:tcBorders>
              <w:top w:val="nil"/>
              <w:left w:val="single" w:sz="8" w:space="0" w:color="auto"/>
              <w:bottom w:val="single" w:sz="4" w:space="0" w:color="auto"/>
              <w:right w:val="single" w:sz="8" w:space="0" w:color="auto"/>
            </w:tcBorders>
            <w:tcMar>
              <w:top w:w="15" w:type="dxa"/>
              <w:left w:w="15" w:type="dxa"/>
              <w:bottom w:w="0" w:type="dxa"/>
              <w:right w:w="15" w:type="dxa"/>
            </w:tcMar>
            <w:vAlign w:val="bottom"/>
            <w:hideMark/>
          </w:tcPr>
          <w:p w14:paraId="5DF08453" w14:textId="77777777" w:rsidR="007727A4" w:rsidRDefault="007727A4">
            <w:pPr>
              <w:spacing w:line="480" w:lineRule="auto"/>
              <w:jc w:val="center"/>
              <w:rPr>
                <w:rFonts w:cs="Times New Roman"/>
              </w:rPr>
            </w:pPr>
            <w:r>
              <w:rPr>
                <w:rFonts w:cs="Times New Roman"/>
              </w:rPr>
              <w:t>13</w:t>
            </w:r>
          </w:p>
        </w:tc>
        <w:tc>
          <w:tcPr>
            <w:tcW w:w="1291" w:type="dxa"/>
            <w:tcBorders>
              <w:top w:val="nil"/>
              <w:left w:val="single" w:sz="8" w:space="0" w:color="auto"/>
              <w:bottom w:val="single" w:sz="4" w:space="0" w:color="auto"/>
              <w:right w:val="single" w:sz="8" w:space="0" w:color="auto"/>
            </w:tcBorders>
            <w:tcMar>
              <w:top w:w="15" w:type="dxa"/>
              <w:left w:w="15" w:type="dxa"/>
              <w:bottom w:w="0" w:type="dxa"/>
              <w:right w:w="15" w:type="dxa"/>
            </w:tcMar>
            <w:vAlign w:val="bottom"/>
            <w:hideMark/>
          </w:tcPr>
          <w:p w14:paraId="6F113F90" w14:textId="77777777" w:rsidR="007727A4" w:rsidRDefault="007727A4">
            <w:pPr>
              <w:spacing w:line="480" w:lineRule="auto"/>
              <w:jc w:val="center"/>
              <w:rPr>
                <w:rFonts w:cs="Times New Roman"/>
              </w:rPr>
            </w:pPr>
            <w:r>
              <w:rPr>
                <w:rFonts w:cs="Times New Roman"/>
              </w:rPr>
              <w:t>13</w:t>
            </w:r>
          </w:p>
        </w:tc>
        <w:tc>
          <w:tcPr>
            <w:tcW w:w="1512" w:type="dxa"/>
            <w:tcBorders>
              <w:top w:val="nil"/>
              <w:left w:val="single" w:sz="8" w:space="0" w:color="auto"/>
              <w:bottom w:val="single" w:sz="4" w:space="0" w:color="auto"/>
              <w:right w:val="single" w:sz="8" w:space="0" w:color="auto"/>
            </w:tcBorders>
            <w:tcMar>
              <w:top w:w="15" w:type="dxa"/>
              <w:left w:w="15" w:type="dxa"/>
              <w:bottom w:w="0" w:type="dxa"/>
              <w:right w:w="15" w:type="dxa"/>
            </w:tcMar>
            <w:vAlign w:val="bottom"/>
            <w:hideMark/>
          </w:tcPr>
          <w:p w14:paraId="03C0683C" w14:textId="77777777" w:rsidR="007727A4" w:rsidRDefault="007727A4">
            <w:pPr>
              <w:spacing w:line="480" w:lineRule="auto"/>
              <w:jc w:val="center"/>
              <w:rPr>
                <w:rFonts w:cs="Times New Roman"/>
              </w:rPr>
            </w:pPr>
            <w:r>
              <w:rPr>
                <w:rFonts w:cs="Times New Roman"/>
              </w:rPr>
              <w:t>10</w:t>
            </w:r>
          </w:p>
        </w:tc>
      </w:tr>
    </w:tbl>
    <w:p w14:paraId="3F9155B1" w14:textId="77777777" w:rsidR="007727A4" w:rsidRDefault="007727A4" w:rsidP="007727A4"/>
    <w:p w14:paraId="459131B4" w14:textId="77777777" w:rsidR="00170901" w:rsidRDefault="00170901" w:rsidP="00170901">
      <w:pPr>
        <w:pStyle w:val="Heading1"/>
        <w:numPr>
          <w:ilvl w:val="0"/>
          <w:numId w:val="6"/>
        </w:numPr>
        <w:spacing w:line="480" w:lineRule="auto"/>
        <w:jc w:val="both"/>
        <w:rPr>
          <w:rFonts w:ascii="Times New Roman" w:hAnsi="Times New Roman" w:cs="Times New Roman"/>
          <w:sz w:val="24"/>
          <w:szCs w:val="24"/>
        </w:rPr>
      </w:pPr>
      <w:r>
        <w:rPr>
          <w:rFonts w:ascii="Times New Roman" w:hAnsi="Times New Roman" w:cs="Times New Roman"/>
          <w:sz w:val="24"/>
          <w:szCs w:val="24"/>
        </w:rPr>
        <w:t>Conclusion</w:t>
      </w:r>
    </w:p>
    <w:bookmarkEnd w:id="80"/>
    <w:p w14:paraId="6E2CAE63" w14:textId="77777777" w:rsidR="00170901" w:rsidRDefault="00170901" w:rsidP="00170901">
      <w:pPr>
        <w:spacing w:line="480" w:lineRule="auto"/>
        <w:jc w:val="both"/>
        <w:rPr>
          <w:rFonts w:ascii="Times New Roman" w:hAnsi="Times New Roman" w:cs="Times New Roman"/>
          <w:sz w:val="24"/>
          <w:szCs w:val="24"/>
        </w:rPr>
      </w:pPr>
      <w:r>
        <w:rPr>
          <w:rFonts w:ascii="Times New Roman" w:hAnsi="Times New Roman" w:cs="Times New Roman"/>
          <w:sz w:val="24"/>
          <w:szCs w:val="24"/>
        </w:rPr>
        <w:t>Large and random security price movements during financial crises cause liquidity gaps and most hedging strategies tend to fail when these crises occur. The risk that a given security or asset cannot be traded quickly enough in the market to prevent or minimize a loss is termed liquidity risk and ignoring it has caused the collapse of many financial institutions. Previous studies have analyzed the importance of liquidity risk by including a liquidity measure in centralized risk management tools such as VAR (Value at Risk).</w:t>
      </w:r>
    </w:p>
    <w:p w14:paraId="432B10AA" w14:textId="77777777" w:rsidR="00170901" w:rsidRDefault="00170901" w:rsidP="00170901">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In this study, a Portfolio-Level Liquidity Adjusted Value at Risk model is developed using a parametric approach based on the Cornish–Fisher approximation to account for non-normality in liquidity risk. The model is tested using the data on Indian stocks as research on liquidity that primarily focuses on emerging markets yield powerful tests. Indian stocks from diverse sectors are selected for the analysis based on data availability over the time period from January 2010 to December 2014. </w:t>
      </w:r>
    </w:p>
    <w:p w14:paraId="662B179B" w14:textId="77777777" w:rsidR="00170901" w:rsidRDefault="00170901" w:rsidP="00170901">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The empirical evidence shows that LVaR (Modified) measure provides the highest risk estimates at portfolio-level. The Backtesting results demonstrate the superiority of the LVaR (Modified) estimates when compared to alternative estimation techniques. Overall, the results prove that neglecting liquidity risk or assuming that the returns are normally </w:t>
      </w:r>
      <w:r>
        <w:rPr>
          <w:rFonts w:ascii="Times New Roman" w:hAnsi="Times New Roman" w:cs="Times New Roman"/>
          <w:sz w:val="24"/>
          <w:szCs w:val="24"/>
        </w:rPr>
        <w:lastRenderedPageBreak/>
        <w:t xml:space="preserve">distributed leads to a severe underestimation of the total risk. The Cornish-Fisher procedure used gains accuracy with the length of the estimation horizon hence future research could address this limitation. </w:t>
      </w:r>
    </w:p>
    <w:p w14:paraId="1E358AF3" w14:textId="77777777" w:rsidR="00C13026" w:rsidRDefault="00C13026" w:rsidP="00170901">
      <w:pPr>
        <w:spacing w:line="480" w:lineRule="auto"/>
        <w:jc w:val="both"/>
        <w:rPr>
          <w:rFonts w:ascii="Times New Roman" w:hAnsi="Times New Roman" w:cs="Times New Roman"/>
          <w:sz w:val="24"/>
          <w:szCs w:val="24"/>
        </w:rPr>
      </w:pPr>
    </w:p>
    <w:p w14:paraId="07204680" w14:textId="77777777" w:rsidR="00C13026" w:rsidRDefault="00C13026" w:rsidP="00170901">
      <w:pPr>
        <w:spacing w:line="480" w:lineRule="auto"/>
        <w:jc w:val="both"/>
        <w:rPr>
          <w:rFonts w:ascii="Times New Roman" w:hAnsi="Times New Roman" w:cs="Times New Roman"/>
          <w:sz w:val="24"/>
          <w:szCs w:val="24"/>
        </w:rPr>
      </w:pPr>
    </w:p>
    <w:p w14:paraId="7C3D5524" w14:textId="77777777" w:rsidR="00C13026" w:rsidRDefault="00C13026" w:rsidP="00170901">
      <w:pPr>
        <w:spacing w:line="480" w:lineRule="auto"/>
        <w:jc w:val="both"/>
        <w:rPr>
          <w:rFonts w:ascii="Times New Roman" w:hAnsi="Times New Roman" w:cs="Times New Roman"/>
          <w:sz w:val="24"/>
          <w:szCs w:val="24"/>
        </w:rPr>
      </w:pPr>
    </w:p>
    <w:p w14:paraId="57F85291" w14:textId="77777777" w:rsidR="003C6287" w:rsidRDefault="003C6287" w:rsidP="003C6287">
      <w:pPr>
        <w:pStyle w:val="Heading1"/>
        <w:spacing w:line="480" w:lineRule="auto"/>
        <w:jc w:val="both"/>
        <w:rPr>
          <w:rFonts w:ascii="Times New Roman" w:hAnsi="Times New Roman" w:cs="Times New Roman"/>
          <w:sz w:val="24"/>
          <w:szCs w:val="24"/>
        </w:rPr>
      </w:pPr>
      <w:bookmarkStart w:id="81" w:name="_Toc428055582"/>
      <w:r>
        <w:rPr>
          <w:rFonts w:ascii="Times New Roman" w:hAnsi="Times New Roman" w:cs="Times New Roman"/>
          <w:sz w:val="24"/>
          <w:szCs w:val="24"/>
        </w:rPr>
        <w:t>Appendix</w:t>
      </w:r>
      <w:bookmarkEnd w:id="81"/>
    </w:p>
    <w:p w14:paraId="6C8474B1" w14:textId="77777777" w:rsidR="003C6287" w:rsidRDefault="003C6287" w:rsidP="003C6287">
      <w:pPr>
        <w:pStyle w:val="Caption"/>
        <w:keepNext/>
      </w:pPr>
      <w:r>
        <w:t xml:space="preserve">Table </w:t>
      </w:r>
      <w:r w:rsidR="00EC34E3">
        <w:fldChar w:fldCharType="begin"/>
      </w:r>
      <w:r w:rsidR="00EC34E3">
        <w:instrText xml:space="preserve"> SEQ Table \* ARABIC </w:instrText>
      </w:r>
      <w:r w:rsidR="00EC34E3">
        <w:fldChar w:fldCharType="separate"/>
      </w:r>
      <w:r w:rsidR="00B0578D">
        <w:rPr>
          <w:noProof/>
        </w:rPr>
        <w:t>10</w:t>
      </w:r>
      <w:r w:rsidR="00EC34E3">
        <w:rPr>
          <w:noProof/>
        </w:rPr>
        <w:fldChar w:fldCharType="end"/>
      </w:r>
      <w:r>
        <w:t xml:space="preserve"> Portfolio Risk Estimates - Infra (weights: </w:t>
      </w:r>
      <w:r w:rsidRPr="00C10490">
        <w:t>JSW Energy</w:t>
      </w:r>
      <w:r>
        <w:t xml:space="preserve"> = .25, </w:t>
      </w:r>
      <w:r w:rsidRPr="00C10490">
        <w:t>Crompton Greaves</w:t>
      </w:r>
      <w:r>
        <w:t xml:space="preserve"> = .25, </w:t>
      </w:r>
      <w:r w:rsidRPr="00C10490">
        <w:t>Tata Comm</w:t>
      </w:r>
      <w:r>
        <w:t xml:space="preserve">unications = .25 &amp; </w:t>
      </w:r>
      <w:r w:rsidRPr="00C10490">
        <w:t>IRB Infra.</w:t>
      </w:r>
      <w:r>
        <w:t xml:space="preserve"> = .25)</w:t>
      </w:r>
    </w:p>
    <w:tbl>
      <w:tblPr>
        <w:tblW w:w="9319" w:type="dxa"/>
        <w:tblInd w:w="93" w:type="dxa"/>
        <w:tblLook w:val="04A0" w:firstRow="1" w:lastRow="0" w:firstColumn="1" w:lastColumn="0" w:noHBand="0" w:noVBand="1"/>
      </w:tblPr>
      <w:tblGrid>
        <w:gridCol w:w="862"/>
        <w:gridCol w:w="1583"/>
        <w:gridCol w:w="1281"/>
        <w:gridCol w:w="1281"/>
        <w:gridCol w:w="1360"/>
        <w:gridCol w:w="1591"/>
        <w:gridCol w:w="1382"/>
      </w:tblGrid>
      <w:tr w:rsidR="007C3910" w14:paraId="5680CA0E" w14:textId="77777777" w:rsidTr="007C3910">
        <w:trPr>
          <w:trHeight w:val="610"/>
        </w:trPr>
        <w:tc>
          <w:tcPr>
            <w:tcW w:w="862" w:type="dxa"/>
            <w:tcBorders>
              <w:top w:val="single" w:sz="8" w:space="0" w:color="auto"/>
              <w:left w:val="single" w:sz="8" w:space="0" w:color="auto"/>
              <w:bottom w:val="single" w:sz="8" w:space="0" w:color="auto"/>
              <w:right w:val="single" w:sz="8" w:space="0" w:color="auto"/>
            </w:tcBorders>
            <w:noWrap/>
            <w:vAlign w:val="bottom"/>
            <w:hideMark/>
          </w:tcPr>
          <w:p w14:paraId="307D9959" w14:textId="77777777" w:rsidR="003C6287" w:rsidRDefault="003C6287" w:rsidP="00B96CCF">
            <w:pPr>
              <w:rPr>
                <w:rFonts w:asciiTheme="minorHAnsi" w:eastAsiaTheme="minorHAnsi" w:hAnsiTheme="minorHAnsi" w:cs="Times New Roman"/>
              </w:rPr>
            </w:pPr>
          </w:p>
        </w:tc>
        <w:tc>
          <w:tcPr>
            <w:tcW w:w="1583" w:type="dxa"/>
            <w:tcBorders>
              <w:top w:val="single" w:sz="8" w:space="0" w:color="auto"/>
              <w:left w:val="nil"/>
              <w:bottom w:val="single" w:sz="8" w:space="0" w:color="auto"/>
              <w:right w:val="single" w:sz="8" w:space="0" w:color="auto"/>
            </w:tcBorders>
            <w:noWrap/>
            <w:vAlign w:val="bottom"/>
            <w:hideMark/>
          </w:tcPr>
          <w:p w14:paraId="5D70A64D" w14:textId="77777777" w:rsidR="003C6287" w:rsidRDefault="003C6287" w:rsidP="00B96CCF">
            <w:pPr>
              <w:spacing w:after="0" w:line="240" w:lineRule="auto"/>
              <w:jc w:val="center"/>
              <w:rPr>
                <w:rFonts w:cs="Times New Roman"/>
                <w:b/>
                <w:bCs/>
                <w:sz w:val="20"/>
                <w:szCs w:val="20"/>
              </w:rPr>
            </w:pPr>
            <w:r>
              <w:rPr>
                <w:rFonts w:cs="Times New Roman"/>
                <w:b/>
                <w:bCs/>
                <w:sz w:val="20"/>
                <w:szCs w:val="20"/>
              </w:rPr>
              <w:t>Relative Spread</w:t>
            </w:r>
          </w:p>
        </w:tc>
        <w:tc>
          <w:tcPr>
            <w:tcW w:w="1260" w:type="dxa"/>
            <w:tcBorders>
              <w:top w:val="single" w:sz="8" w:space="0" w:color="auto"/>
              <w:left w:val="nil"/>
              <w:bottom w:val="single" w:sz="8" w:space="0" w:color="auto"/>
              <w:right w:val="nil"/>
            </w:tcBorders>
            <w:noWrap/>
            <w:vAlign w:val="bottom"/>
            <w:hideMark/>
          </w:tcPr>
          <w:p w14:paraId="45A8AFF0" w14:textId="77777777" w:rsidR="003C6287" w:rsidRDefault="003C6287" w:rsidP="00B96CCF">
            <w:pPr>
              <w:spacing w:after="0" w:line="240" w:lineRule="auto"/>
              <w:jc w:val="center"/>
              <w:rPr>
                <w:rFonts w:cs="Times New Roman"/>
                <w:b/>
                <w:bCs/>
                <w:sz w:val="20"/>
                <w:szCs w:val="20"/>
              </w:rPr>
            </w:pPr>
            <w:r>
              <w:rPr>
                <w:rFonts w:cs="Times New Roman"/>
                <w:b/>
                <w:bCs/>
                <w:sz w:val="20"/>
                <w:szCs w:val="20"/>
              </w:rPr>
              <w:t>Return</w:t>
            </w:r>
          </w:p>
        </w:tc>
        <w:tc>
          <w:tcPr>
            <w:tcW w:w="1281" w:type="dxa"/>
            <w:tcBorders>
              <w:top w:val="single" w:sz="8" w:space="0" w:color="auto"/>
              <w:left w:val="single" w:sz="8" w:space="0" w:color="auto"/>
              <w:bottom w:val="single" w:sz="8" w:space="0" w:color="auto"/>
              <w:right w:val="single" w:sz="8" w:space="0" w:color="auto"/>
            </w:tcBorders>
            <w:noWrap/>
            <w:vAlign w:val="bottom"/>
            <w:hideMark/>
          </w:tcPr>
          <w:p w14:paraId="73726D77" w14:textId="77777777" w:rsidR="003C6287" w:rsidRDefault="003C6287" w:rsidP="00B96CCF">
            <w:pPr>
              <w:spacing w:after="0" w:line="240" w:lineRule="auto"/>
              <w:jc w:val="center"/>
              <w:rPr>
                <w:rFonts w:cs="Times New Roman"/>
                <w:b/>
                <w:bCs/>
                <w:sz w:val="20"/>
                <w:szCs w:val="20"/>
              </w:rPr>
            </w:pPr>
            <w:r>
              <w:rPr>
                <w:rFonts w:cs="Times New Roman"/>
                <w:b/>
                <w:bCs/>
                <w:sz w:val="20"/>
                <w:szCs w:val="20"/>
              </w:rPr>
              <w:t>Skewness(S)</w:t>
            </w:r>
          </w:p>
        </w:tc>
        <w:tc>
          <w:tcPr>
            <w:tcW w:w="1360" w:type="dxa"/>
            <w:tcBorders>
              <w:top w:val="single" w:sz="8" w:space="0" w:color="auto"/>
              <w:left w:val="nil"/>
              <w:bottom w:val="single" w:sz="8" w:space="0" w:color="auto"/>
              <w:right w:val="nil"/>
            </w:tcBorders>
            <w:noWrap/>
            <w:vAlign w:val="bottom"/>
            <w:hideMark/>
          </w:tcPr>
          <w:p w14:paraId="07DE61EC" w14:textId="77777777" w:rsidR="003C6287" w:rsidRDefault="003C6287" w:rsidP="00B96CCF">
            <w:pPr>
              <w:spacing w:after="0" w:line="240" w:lineRule="auto"/>
              <w:jc w:val="center"/>
              <w:rPr>
                <w:rFonts w:cs="Times New Roman"/>
                <w:b/>
                <w:bCs/>
                <w:sz w:val="20"/>
                <w:szCs w:val="20"/>
              </w:rPr>
            </w:pPr>
            <w:r>
              <w:rPr>
                <w:rFonts w:cs="Times New Roman"/>
                <w:b/>
                <w:bCs/>
                <w:sz w:val="20"/>
                <w:szCs w:val="20"/>
              </w:rPr>
              <w:t>Kurtosis(S)</w:t>
            </w:r>
          </w:p>
        </w:tc>
        <w:tc>
          <w:tcPr>
            <w:tcW w:w="1591" w:type="dxa"/>
            <w:tcBorders>
              <w:top w:val="single" w:sz="8" w:space="0" w:color="auto"/>
              <w:left w:val="single" w:sz="8" w:space="0" w:color="auto"/>
              <w:bottom w:val="single" w:sz="8" w:space="0" w:color="auto"/>
              <w:right w:val="single" w:sz="8" w:space="0" w:color="auto"/>
            </w:tcBorders>
            <w:noWrap/>
            <w:vAlign w:val="bottom"/>
            <w:hideMark/>
          </w:tcPr>
          <w:p w14:paraId="795F5F97" w14:textId="77777777" w:rsidR="003C6287" w:rsidRDefault="003C6287" w:rsidP="00B96CCF">
            <w:pPr>
              <w:spacing w:after="0" w:line="240" w:lineRule="auto"/>
              <w:jc w:val="center"/>
              <w:rPr>
                <w:rFonts w:cs="Times New Roman"/>
                <w:b/>
                <w:bCs/>
                <w:sz w:val="20"/>
                <w:szCs w:val="20"/>
              </w:rPr>
            </w:pPr>
            <w:r>
              <w:rPr>
                <w:rFonts w:cs="Times New Roman"/>
                <w:b/>
                <w:bCs/>
                <w:sz w:val="20"/>
                <w:szCs w:val="20"/>
              </w:rPr>
              <w:t>Skewness (R)</w:t>
            </w:r>
          </w:p>
        </w:tc>
        <w:tc>
          <w:tcPr>
            <w:tcW w:w="1382" w:type="dxa"/>
            <w:tcBorders>
              <w:top w:val="single" w:sz="8" w:space="0" w:color="auto"/>
              <w:left w:val="nil"/>
              <w:bottom w:val="single" w:sz="8" w:space="0" w:color="auto"/>
              <w:right w:val="single" w:sz="8" w:space="0" w:color="auto"/>
            </w:tcBorders>
            <w:noWrap/>
            <w:vAlign w:val="bottom"/>
            <w:hideMark/>
          </w:tcPr>
          <w:p w14:paraId="5AE32149" w14:textId="77777777" w:rsidR="003C6287" w:rsidRDefault="003C6287" w:rsidP="00B96CCF">
            <w:pPr>
              <w:spacing w:after="0" w:line="240" w:lineRule="auto"/>
              <w:jc w:val="center"/>
              <w:rPr>
                <w:rFonts w:cs="Times New Roman"/>
                <w:b/>
                <w:bCs/>
                <w:sz w:val="20"/>
                <w:szCs w:val="20"/>
              </w:rPr>
            </w:pPr>
            <w:r>
              <w:rPr>
                <w:rFonts w:cs="Times New Roman"/>
                <w:b/>
                <w:bCs/>
                <w:sz w:val="20"/>
                <w:szCs w:val="20"/>
              </w:rPr>
              <w:t>Kurtosis (R)</w:t>
            </w:r>
          </w:p>
        </w:tc>
      </w:tr>
      <w:tr w:rsidR="007C3910" w14:paraId="5D4A1601" w14:textId="77777777" w:rsidTr="007C3910">
        <w:trPr>
          <w:trHeight w:val="581"/>
        </w:trPr>
        <w:tc>
          <w:tcPr>
            <w:tcW w:w="862" w:type="dxa"/>
            <w:tcBorders>
              <w:top w:val="nil"/>
              <w:left w:val="single" w:sz="8" w:space="0" w:color="auto"/>
              <w:bottom w:val="nil"/>
              <w:right w:val="single" w:sz="8" w:space="0" w:color="auto"/>
            </w:tcBorders>
            <w:noWrap/>
            <w:vAlign w:val="bottom"/>
            <w:hideMark/>
          </w:tcPr>
          <w:p w14:paraId="25D46171" w14:textId="77777777" w:rsidR="003C6287" w:rsidRPr="00BC6489" w:rsidRDefault="003C6287" w:rsidP="00B96CCF">
            <w:pPr>
              <w:spacing w:after="0" w:line="240" w:lineRule="auto"/>
              <w:rPr>
                <w:rFonts w:cs="Times New Roman"/>
                <w:b/>
                <w:color w:val="000000"/>
                <w:sz w:val="20"/>
                <w:szCs w:val="20"/>
              </w:rPr>
            </w:pPr>
            <w:r w:rsidRPr="00BC6489">
              <w:rPr>
                <w:rFonts w:cs="Times New Roman"/>
                <w:b/>
                <w:color w:val="000000"/>
                <w:sz w:val="20"/>
                <w:szCs w:val="20"/>
              </w:rPr>
              <w:t>Mean</w:t>
            </w:r>
          </w:p>
        </w:tc>
        <w:tc>
          <w:tcPr>
            <w:tcW w:w="1583" w:type="dxa"/>
            <w:tcBorders>
              <w:top w:val="nil"/>
              <w:left w:val="nil"/>
              <w:bottom w:val="nil"/>
              <w:right w:val="single" w:sz="8" w:space="0" w:color="auto"/>
            </w:tcBorders>
            <w:noWrap/>
            <w:vAlign w:val="bottom"/>
            <w:hideMark/>
          </w:tcPr>
          <w:p w14:paraId="5FAAE42C" w14:textId="77777777" w:rsidR="003C6287" w:rsidRDefault="003C6287" w:rsidP="00B96CCF">
            <w:pPr>
              <w:spacing w:after="0" w:line="240" w:lineRule="auto"/>
              <w:jc w:val="center"/>
              <w:rPr>
                <w:rFonts w:cs="Times New Roman"/>
                <w:color w:val="000000"/>
                <w:sz w:val="20"/>
                <w:szCs w:val="20"/>
              </w:rPr>
            </w:pPr>
            <w:r>
              <w:rPr>
                <w:rFonts w:cs="Times New Roman"/>
                <w:color w:val="000000"/>
                <w:sz w:val="20"/>
                <w:szCs w:val="20"/>
              </w:rPr>
              <w:t>0.157935569</w:t>
            </w:r>
          </w:p>
        </w:tc>
        <w:tc>
          <w:tcPr>
            <w:tcW w:w="1260" w:type="dxa"/>
            <w:noWrap/>
            <w:vAlign w:val="bottom"/>
            <w:hideMark/>
          </w:tcPr>
          <w:p w14:paraId="3A0047B3" w14:textId="77777777" w:rsidR="003C6287" w:rsidRDefault="003C6287" w:rsidP="00B96CCF">
            <w:pPr>
              <w:spacing w:after="0" w:line="240" w:lineRule="auto"/>
              <w:jc w:val="center"/>
              <w:rPr>
                <w:rFonts w:cs="Times New Roman"/>
                <w:color w:val="000000"/>
                <w:sz w:val="20"/>
                <w:szCs w:val="20"/>
              </w:rPr>
            </w:pPr>
            <w:r>
              <w:rPr>
                <w:rFonts w:cs="Times New Roman"/>
                <w:color w:val="000000"/>
                <w:sz w:val="20"/>
                <w:szCs w:val="20"/>
              </w:rPr>
              <w:t>1.41699E-05</w:t>
            </w:r>
          </w:p>
        </w:tc>
        <w:tc>
          <w:tcPr>
            <w:tcW w:w="1281" w:type="dxa"/>
            <w:tcBorders>
              <w:top w:val="nil"/>
              <w:left w:val="single" w:sz="8" w:space="0" w:color="auto"/>
              <w:bottom w:val="nil"/>
              <w:right w:val="single" w:sz="8" w:space="0" w:color="auto"/>
            </w:tcBorders>
            <w:noWrap/>
            <w:vAlign w:val="bottom"/>
            <w:hideMark/>
          </w:tcPr>
          <w:p w14:paraId="37CB5E18" w14:textId="77777777" w:rsidR="003C6287" w:rsidRDefault="003C6287" w:rsidP="00B96CCF">
            <w:pPr>
              <w:spacing w:after="0" w:line="240" w:lineRule="auto"/>
              <w:jc w:val="center"/>
              <w:rPr>
                <w:rFonts w:cs="Times New Roman"/>
                <w:color w:val="000000"/>
                <w:sz w:val="20"/>
                <w:szCs w:val="20"/>
              </w:rPr>
            </w:pPr>
            <w:r>
              <w:rPr>
                <w:rFonts w:cs="Times New Roman"/>
                <w:color w:val="000000"/>
                <w:sz w:val="20"/>
                <w:szCs w:val="20"/>
              </w:rPr>
              <w:t>5.355810542</w:t>
            </w:r>
          </w:p>
        </w:tc>
        <w:tc>
          <w:tcPr>
            <w:tcW w:w="1360" w:type="dxa"/>
            <w:noWrap/>
            <w:vAlign w:val="bottom"/>
            <w:hideMark/>
          </w:tcPr>
          <w:p w14:paraId="0FE57DD0" w14:textId="77777777" w:rsidR="003C6287" w:rsidRDefault="003C6287" w:rsidP="00B96CCF">
            <w:pPr>
              <w:spacing w:after="0" w:line="240" w:lineRule="auto"/>
              <w:jc w:val="center"/>
              <w:rPr>
                <w:rFonts w:cs="Times New Roman"/>
                <w:color w:val="000000"/>
                <w:sz w:val="20"/>
                <w:szCs w:val="20"/>
              </w:rPr>
            </w:pPr>
            <w:r>
              <w:rPr>
                <w:rFonts w:cs="Times New Roman"/>
                <w:color w:val="000000"/>
                <w:sz w:val="20"/>
                <w:szCs w:val="20"/>
              </w:rPr>
              <w:t>71.75344423</w:t>
            </w:r>
          </w:p>
        </w:tc>
        <w:tc>
          <w:tcPr>
            <w:tcW w:w="1591" w:type="dxa"/>
            <w:tcBorders>
              <w:top w:val="nil"/>
              <w:left w:val="single" w:sz="8" w:space="0" w:color="auto"/>
              <w:bottom w:val="nil"/>
              <w:right w:val="single" w:sz="8" w:space="0" w:color="auto"/>
            </w:tcBorders>
            <w:noWrap/>
            <w:vAlign w:val="bottom"/>
            <w:hideMark/>
          </w:tcPr>
          <w:p w14:paraId="721845CA" w14:textId="77777777" w:rsidR="003C6287" w:rsidRDefault="003C6287" w:rsidP="00B96CCF">
            <w:pPr>
              <w:spacing w:after="0" w:line="240" w:lineRule="auto"/>
              <w:jc w:val="center"/>
              <w:rPr>
                <w:rFonts w:cs="Times New Roman"/>
                <w:color w:val="000000"/>
                <w:sz w:val="20"/>
                <w:szCs w:val="20"/>
              </w:rPr>
            </w:pPr>
            <w:r>
              <w:rPr>
                <w:rFonts w:cs="Times New Roman"/>
                <w:color w:val="000000"/>
                <w:sz w:val="20"/>
                <w:szCs w:val="20"/>
              </w:rPr>
              <w:t>-0.248326109</w:t>
            </w:r>
          </w:p>
        </w:tc>
        <w:tc>
          <w:tcPr>
            <w:tcW w:w="1382" w:type="dxa"/>
            <w:tcBorders>
              <w:top w:val="nil"/>
              <w:left w:val="nil"/>
              <w:bottom w:val="nil"/>
              <w:right w:val="single" w:sz="8" w:space="0" w:color="auto"/>
            </w:tcBorders>
            <w:noWrap/>
            <w:vAlign w:val="bottom"/>
            <w:hideMark/>
          </w:tcPr>
          <w:p w14:paraId="283A3D30" w14:textId="77777777" w:rsidR="003C6287" w:rsidRDefault="003C6287" w:rsidP="00B96CCF">
            <w:pPr>
              <w:spacing w:after="0" w:line="240" w:lineRule="auto"/>
              <w:jc w:val="center"/>
              <w:rPr>
                <w:rFonts w:cs="Times New Roman"/>
                <w:color w:val="000000"/>
                <w:sz w:val="20"/>
                <w:szCs w:val="20"/>
              </w:rPr>
            </w:pPr>
            <w:r>
              <w:rPr>
                <w:rFonts w:cs="Times New Roman"/>
                <w:color w:val="000000"/>
                <w:sz w:val="20"/>
                <w:szCs w:val="20"/>
              </w:rPr>
              <w:t>0.469428191</w:t>
            </w:r>
          </w:p>
        </w:tc>
      </w:tr>
      <w:tr w:rsidR="007C3910" w14:paraId="5151E967" w14:textId="77777777" w:rsidTr="007C3910">
        <w:trPr>
          <w:trHeight w:val="581"/>
        </w:trPr>
        <w:tc>
          <w:tcPr>
            <w:tcW w:w="862" w:type="dxa"/>
            <w:tcBorders>
              <w:top w:val="nil"/>
              <w:left w:val="single" w:sz="8" w:space="0" w:color="auto"/>
              <w:bottom w:val="nil"/>
              <w:right w:val="single" w:sz="8" w:space="0" w:color="auto"/>
            </w:tcBorders>
            <w:noWrap/>
            <w:vAlign w:val="bottom"/>
            <w:hideMark/>
          </w:tcPr>
          <w:p w14:paraId="7E3B0DB6" w14:textId="77777777" w:rsidR="003C6287" w:rsidRPr="00BC6489" w:rsidRDefault="003C6287" w:rsidP="00B96CCF">
            <w:pPr>
              <w:spacing w:after="0" w:line="240" w:lineRule="auto"/>
              <w:rPr>
                <w:rFonts w:cs="Times New Roman"/>
                <w:b/>
                <w:color w:val="000000"/>
                <w:sz w:val="20"/>
                <w:szCs w:val="20"/>
              </w:rPr>
            </w:pPr>
            <w:r w:rsidRPr="00BC6489">
              <w:rPr>
                <w:rFonts w:cs="Times New Roman"/>
                <w:b/>
                <w:color w:val="000000"/>
                <w:sz w:val="20"/>
                <w:szCs w:val="20"/>
              </w:rPr>
              <w:t>Median</w:t>
            </w:r>
          </w:p>
        </w:tc>
        <w:tc>
          <w:tcPr>
            <w:tcW w:w="1583" w:type="dxa"/>
            <w:tcBorders>
              <w:top w:val="nil"/>
              <w:left w:val="nil"/>
              <w:bottom w:val="nil"/>
              <w:right w:val="single" w:sz="8" w:space="0" w:color="auto"/>
            </w:tcBorders>
            <w:noWrap/>
            <w:vAlign w:val="bottom"/>
            <w:hideMark/>
          </w:tcPr>
          <w:p w14:paraId="3A89E7CB" w14:textId="77777777" w:rsidR="003C6287" w:rsidRDefault="003C6287" w:rsidP="00B96CCF">
            <w:pPr>
              <w:spacing w:after="0" w:line="240" w:lineRule="auto"/>
              <w:jc w:val="center"/>
              <w:rPr>
                <w:rFonts w:cs="Times New Roman"/>
                <w:color w:val="000000"/>
                <w:sz w:val="20"/>
                <w:szCs w:val="20"/>
              </w:rPr>
            </w:pPr>
            <w:r>
              <w:rPr>
                <w:rFonts w:cs="Times New Roman"/>
                <w:color w:val="000000"/>
                <w:sz w:val="20"/>
                <w:szCs w:val="20"/>
              </w:rPr>
              <w:t>0.142673258</w:t>
            </w:r>
          </w:p>
        </w:tc>
        <w:tc>
          <w:tcPr>
            <w:tcW w:w="1260" w:type="dxa"/>
            <w:noWrap/>
            <w:vAlign w:val="bottom"/>
            <w:hideMark/>
          </w:tcPr>
          <w:p w14:paraId="578E2725" w14:textId="77777777" w:rsidR="003C6287" w:rsidRDefault="003C6287" w:rsidP="00B96CCF">
            <w:pPr>
              <w:spacing w:after="0" w:line="240" w:lineRule="auto"/>
              <w:jc w:val="center"/>
              <w:rPr>
                <w:rFonts w:cs="Times New Roman"/>
                <w:color w:val="000000"/>
                <w:sz w:val="20"/>
                <w:szCs w:val="20"/>
              </w:rPr>
            </w:pPr>
            <w:r>
              <w:rPr>
                <w:rFonts w:cs="Times New Roman"/>
                <w:color w:val="000000"/>
                <w:sz w:val="20"/>
                <w:szCs w:val="20"/>
              </w:rPr>
              <w:t>0.000426268</w:t>
            </w:r>
          </w:p>
        </w:tc>
        <w:tc>
          <w:tcPr>
            <w:tcW w:w="1281" w:type="dxa"/>
            <w:tcBorders>
              <w:top w:val="nil"/>
              <w:left w:val="single" w:sz="8" w:space="0" w:color="auto"/>
              <w:bottom w:val="nil"/>
              <w:right w:val="single" w:sz="8" w:space="0" w:color="auto"/>
            </w:tcBorders>
            <w:noWrap/>
            <w:vAlign w:val="bottom"/>
            <w:hideMark/>
          </w:tcPr>
          <w:p w14:paraId="03808C77" w14:textId="77777777" w:rsidR="003C6287" w:rsidRDefault="003C6287" w:rsidP="00B96CCF">
            <w:pPr>
              <w:spacing w:after="0" w:line="240" w:lineRule="auto"/>
              <w:jc w:val="center"/>
              <w:rPr>
                <w:rFonts w:cs="Times New Roman"/>
                <w:color w:val="000000"/>
                <w:sz w:val="20"/>
                <w:szCs w:val="20"/>
              </w:rPr>
            </w:pPr>
            <w:r>
              <w:rPr>
                <w:rFonts w:cs="Times New Roman"/>
                <w:color w:val="000000"/>
                <w:sz w:val="20"/>
                <w:szCs w:val="20"/>
              </w:rPr>
              <w:t>7.519791353</w:t>
            </w:r>
          </w:p>
        </w:tc>
        <w:tc>
          <w:tcPr>
            <w:tcW w:w="1360" w:type="dxa"/>
            <w:noWrap/>
            <w:vAlign w:val="bottom"/>
            <w:hideMark/>
          </w:tcPr>
          <w:p w14:paraId="7599526C" w14:textId="77777777" w:rsidR="003C6287" w:rsidRDefault="003C6287" w:rsidP="00B96CCF">
            <w:pPr>
              <w:spacing w:after="0" w:line="240" w:lineRule="auto"/>
              <w:jc w:val="center"/>
              <w:rPr>
                <w:rFonts w:cs="Times New Roman"/>
                <w:color w:val="000000"/>
                <w:sz w:val="20"/>
                <w:szCs w:val="20"/>
              </w:rPr>
            </w:pPr>
            <w:r>
              <w:rPr>
                <w:rFonts w:cs="Times New Roman"/>
                <w:color w:val="000000"/>
                <w:sz w:val="20"/>
                <w:szCs w:val="20"/>
              </w:rPr>
              <w:t>106.3839229</w:t>
            </w:r>
          </w:p>
        </w:tc>
        <w:tc>
          <w:tcPr>
            <w:tcW w:w="1591" w:type="dxa"/>
            <w:tcBorders>
              <w:top w:val="nil"/>
              <w:left w:val="single" w:sz="8" w:space="0" w:color="auto"/>
              <w:bottom w:val="nil"/>
              <w:right w:val="single" w:sz="8" w:space="0" w:color="auto"/>
            </w:tcBorders>
            <w:noWrap/>
            <w:vAlign w:val="bottom"/>
            <w:hideMark/>
          </w:tcPr>
          <w:p w14:paraId="15FBE4FC" w14:textId="77777777" w:rsidR="003C6287" w:rsidRDefault="003C6287" w:rsidP="00B96CCF">
            <w:pPr>
              <w:spacing w:after="0" w:line="240" w:lineRule="auto"/>
              <w:jc w:val="center"/>
              <w:rPr>
                <w:rFonts w:cs="Times New Roman"/>
                <w:color w:val="000000"/>
                <w:sz w:val="20"/>
                <w:szCs w:val="20"/>
              </w:rPr>
            </w:pPr>
            <w:r>
              <w:rPr>
                <w:rFonts w:cs="Times New Roman"/>
                <w:color w:val="000000"/>
                <w:sz w:val="20"/>
                <w:szCs w:val="20"/>
              </w:rPr>
              <w:t>-0.288795359</w:t>
            </w:r>
          </w:p>
        </w:tc>
        <w:tc>
          <w:tcPr>
            <w:tcW w:w="1382" w:type="dxa"/>
            <w:tcBorders>
              <w:top w:val="nil"/>
              <w:left w:val="nil"/>
              <w:bottom w:val="nil"/>
              <w:right w:val="single" w:sz="8" w:space="0" w:color="auto"/>
            </w:tcBorders>
            <w:noWrap/>
            <w:vAlign w:val="bottom"/>
            <w:hideMark/>
          </w:tcPr>
          <w:p w14:paraId="7B8C52D0" w14:textId="77777777" w:rsidR="003C6287" w:rsidRDefault="003C6287" w:rsidP="00B96CCF">
            <w:pPr>
              <w:spacing w:after="0" w:line="240" w:lineRule="auto"/>
              <w:jc w:val="center"/>
              <w:rPr>
                <w:rFonts w:cs="Times New Roman"/>
                <w:color w:val="000000"/>
                <w:sz w:val="20"/>
                <w:szCs w:val="20"/>
              </w:rPr>
            </w:pPr>
            <w:r>
              <w:rPr>
                <w:rFonts w:cs="Times New Roman"/>
                <w:color w:val="000000"/>
                <w:sz w:val="20"/>
                <w:szCs w:val="20"/>
              </w:rPr>
              <w:t>0.351296393</w:t>
            </w:r>
          </w:p>
        </w:tc>
      </w:tr>
      <w:tr w:rsidR="007C3910" w14:paraId="4956F1E5" w14:textId="77777777" w:rsidTr="007C3910">
        <w:trPr>
          <w:trHeight w:val="581"/>
        </w:trPr>
        <w:tc>
          <w:tcPr>
            <w:tcW w:w="862" w:type="dxa"/>
            <w:tcBorders>
              <w:top w:val="nil"/>
              <w:left w:val="single" w:sz="8" w:space="0" w:color="auto"/>
              <w:bottom w:val="nil"/>
              <w:right w:val="single" w:sz="8" w:space="0" w:color="auto"/>
            </w:tcBorders>
            <w:noWrap/>
            <w:vAlign w:val="bottom"/>
            <w:hideMark/>
          </w:tcPr>
          <w:p w14:paraId="4E73E75D" w14:textId="77777777" w:rsidR="003C6287" w:rsidRPr="00BC6489" w:rsidRDefault="003C6287" w:rsidP="00B96CCF">
            <w:pPr>
              <w:spacing w:after="0" w:line="240" w:lineRule="auto"/>
              <w:rPr>
                <w:rFonts w:cs="Times New Roman"/>
                <w:b/>
                <w:color w:val="000000"/>
                <w:sz w:val="20"/>
                <w:szCs w:val="20"/>
              </w:rPr>
            </w:pPr>
            <w:r w:rsidRPr="00BC6489">
              <w:rPr>
                <w:rFonts w:cs="Times New Roman"/>
                <w:b/>
                <w:color w:val="000000"/>
                <w:sz w:val="20"/>
                <w:szCs w:val="20"/>
              </w:rPr>
              <w:t>Std Dev.</w:t>
            </w:r>
          </w:p>
        </w:tc>
        <w:tc>
          <w:tcPr>
            <w:tcW w:w="1583" w:type="dxa"/>
            <w:tcBorders>
              <w:top w:val="nil"/>
              <w:left w:val="nil"/>
              <w:bottom w:val="nil"/>
              <w:right w:val="single" w:sz="8" w:space="0" w:color="auto"/>
            </w:tcBorders>
            <w:noWrap/>
            <w:vAlign w:val="bottom"/>
            <w:hideMark/>
          </w:tcPr>
          <w:p w14:paraId="4F7FB78C" w14:textId="77777777" w:rsidR="003C6287" w:rsidRDefault="003C6287" w:rsidP="00B96CCF">
            <w:pPr>
              <w:spacing w:after="0" w:line="240" w:lineRule="auto"/>
              <w:jc w:val="center"/>
              <w:rPr>
                <w:rFonts w:cs="Times New Roman"/>
                <w:color w:val="000000"/>
                <w:sz w:val="20"/>
                <w:szCs w:val="20"/>
              </w:rPr>
            </w:pPr>
            <w:r>
              <w:rPr>
                <w:rFonts w:cs="Times New Roman"/>
                <w:color w:val="000000"/>
                <w:sz w:val="20"/>
                <w:szCs w:val="20"/>
              </w:rPr>
              <w:t>0.100376706</w:t>
            </w:r>
          </w:p>
        </w:tc>
        <w:tc>
          <w:tcPr>
            <w:tcW w:w="1260" w:type="dxa"/>
            <w:noWrap/>
            <w:vAlign w:val="bottom"/>
            <w:hideMark/>
          </w:tcPr>
          <w:p w14:paraId="71B14AC0" w14:textId="77777777" w:rsidR="003C6287" w:rsidRDefault="003C6287" w:rsidP="00B96CCF">
            <w:pPr>
              <w:spacing w:after="0" w:line="240" w:lineRule="auto"/>
              <w:jc w:val="center"/>
              <w:rPr>
                <w:rFonts w:cs="Times New Roman"/>
                <w:color w:val="000000"/>
                <w:sz w:val="20"/>
                <w:szCs w:val="20"/>
              </w:rPr>
            </w:pPr>
            <w:r>
              <w:rPr>
                <w:rFonts w:cs="Times New Roman"/>
                <w:color w:val="000000"/>
                <w:sz w:val="20"/>
                <w:szCs w:val="20"/>
              </w:rPr>
              <w:t>0.018994293</w:t>
            </w:r>
          </w:p>
        </w:tc>
        <w:tc>
          <w:tcPr>
            <w:tcW w:w="1281" w:type="dxa"/>
            <w:tcBorders>
              <w:top w:val="nil"/>
              <w:left w:val="single" w:sz="8" w:space="0" w:color="auto"/>
              <w:bottom w:val="nil"/>
              <w:right w:val="single" w:sz="8" w:space="0" w:color="auto"/>
            </w:tcBorders>
            <w:noWrap/>
            <w:vAlign w:val="bottom"/>
            <w:hideMark/>
          </w:tcPr>
          <w:p w14:paraId="398DA03C" w14:textId="77777777" w:rsidR="003C6287" w:rsidRDefault="003C6287" w:rsidP="00B96CCF">
            <w:pPr>
              <w:spacing w:after="0" w:line="240" w:lineRule="auto"/>
              <w:jc w:val="center"/>
              <w:rPr>
                <w:rFonts w:cs="Times New Roman"/>
                <w:color w:val="000000"/>
                <w:sz w:val="20"/>
                <w:szCs w:val="20"/>
              </w:rPr>
            </w:pPr>
            <w:r>
              <w:rPr>
                <w:rFonts w:cs="Times New Roman"/>
                <w:color w:val="000000"/>
                <w:sz w:val="20"/>
                <w:szCs w:val="20"/>
              </w:rPr>
              <w:t>3.525948658</w:t>
            </w:r>
          </w:p>
        </w:tc>
        <w:tc>
          <w:tcPr>
            <w:tcW w:w="1360" w:type="dxa"/>
            <w:noWrap/>
            <w:vAlign w:val="bottom"/>
            <w:hideMark/>
          </w:tcPr>
          <w:p w14:paraId="0948FAA3" w14:textId="77777777" w:rsidR="003C6287" w:rsidRDefault="003C6287" w:rsidP="00B96CCF">
            <w:pPr>
              <w:spacing w:after="0" w:line="240" w:lineRule="auto"/>
              <w:jc w:val="center"/>
              <w:rPr>
                <w:rFonts w:cs="Times New Roman"/>
                <w:color w:val="000000"/>
                <w:sz w:val="20"/>
                <w:szCs w:val="20"/>
              </w:rPr>
            </w:pPr>
            <w:r>
              <w:rPr>
                <w:rFonts w:cs="Times New Roman"/>
                <w:color w:val="000000"/>
                <w:sz w:val="20"/>
                <w:szCs w:val="20"/>
              </w:rPr>
              <w:t>58.09914333</w:t>
            </w:r>
          </w:p>
        </w:tc>
        <w:tc>
          <w:tcPr>
            <w:tcW w:w="1591" w:type="dxa"/>
            <w:tcBorders>
              <w:top w:val="nil"/>
              <w:left w:val="single" w:sz="8" w:space="0" w:color="auto"/>
              <w:bottom w:val="nil"/>
              <w:right w:val="single" w:sz="8" w:space="0" w:color="auto"/>
            </w:tcBorders>
            <w:noWrap/>
            <w:vAlign w:val="bottom"/>
            <w:hideMark/>
          </w:tcPr>
          <w:p w14:paraId="4FC3F4B7" w14:textId="77777777" w:rsidR="003C6287" w:rsidRDefault="003C6287" w:rsidP="00B96CCF">
            <w:pPr>
              <w:spacing w:after="0" w:line="240" w:lineRule="auto"/>
              <w:jc w:val="center"/>
              <w:rPr>
                <w:rFonts w:cs="Times New Roman"/>
                <w:color w:val="000000"/>
                <w:sz w:val="20"/>
                <w:szCs w:val="20"/>
              </w:rPr>
            </w:pPr>
            <w:r>
              <w:rPr>
                <w:rFonts w:cs="Times New Roman"/>
                <w:color w:val="000000"/>
                <w:sz w:val="20"/>
                <w:szCs w:val="20"/>
              </w:rPr>
              <w:t>0.188124925</w:t>
            </w:r>
          </w:p>
        </w:tc>
        <w:tc>
          <w:tcPr>
            <w:tcW w:w="1382" w:type="dxa"/>
            <w:tcBorders>
              <w:top w:val="nil"/>
              <w:left w:val="nil"/>
              <w:bottom w:val="nil"/>
              <w:right w:val="single" w:sz="8" w:space="0" w:color="auto"/>
            </w:tcBorders>
            <w:noWrap/>
            <w:vAlign w:val="bottom"/>
            <w:hideMark/>
          </w:tcPr>
          <w:p w14:paraId="2B8FDE7B" w14:textId="77777777" w:rsidR="003C6287" w:rsidRDefault="003C6287" w:rsidP="00B96CCF">
            <w:pPr>
              <w:spacing w:after="0" w:line="240" w:lineRule="auto"/>
              <w:jc w:val="center"/>
              <w:rPr>
                <w:rFonts w:cs="Times New Roman"/>
                <w:color w:val="000000"/>
                <w:sz w:val="20"/>
                <w:szCs w:val="20"/>
              </w:rPr>
            </w:pPr>
            <w:r>
              <w:rPr>
                <w:rFonts w:cs="Times New Roman"/>
                <w:color w:val="000000"/>
                <w:sz w:val="20"/>
                <w:szCs w:val="20"/>
              </w:rPr>
              <w:t>0.561464923</w:t>
            </w:r>
          </w:p>
        </w:tc>
      </w:tr>
      <w:tr w:rsidR="007C3910" w14:paraId="55E7FB57" w14:textId="77777777" w:rsidTr="007C3910">
        <w:trPr>
          <w:trHeight w:val="610"/>
        </w:trPr>
        <w:tc>
          <w:tcPr>
            <w:tcW w:w="862" w:type="dxa"/>
            <w:tcBorders>
              <w:top w:val="nil"/>
              <w:left w:val="single" w:sz="8" w:space="0" w:color="auto"/>
              <w:bottom w:val="nil"/>
              <w:right w:val="single" w:sz="8" w:space="0" w:color="auto"/>
            </w:tcBorders>
            <w:noWrap/>
            <w:vAlign w:val="bottom"/>
            <w:hideMark/>
          </w:tcPr>
          <w:p w14:paraId="278AB689" w14:textId="77777777" w:rsidR="003C6287" w:rsidRPr="00BC6489" w:rsidRDefault="003C6287" w:rsidP="00B96CCF">
            <w:pPr>
              <w:spacing w:after="0"/>
              <w:rPr>
                <w:rFonts w:asciiTheme="minorHAnsi" w:eastAsiaTheme="minorHAnsi" w:hAnsiTheme="minorHAnsi" w:cs="Times New Roman"/>
                <w:b/>
              </w:rPr>
            </w:pPr>
          </w:p>
        </w:tc>
        <w:tc>
          <w:tcPr>
            <w:tcW w:w="1583" w:type="dxa"/>
            <w:tcBorders>
              <w:top w:val="nil"/>
              <w:left w:val="nil"/>
              <w:bottom w:val="nil"/>
              <w:right w:val="single" w:sz="8" w:space="0" w:color="auto"/>
            </w:tcBorders>
            <w:noWrap/>
            <w:vAlign w:val="bottom"/>
            <w:hideMark/>
          </w:tcPr>
          <w:p w14:paraId="0F895F2B" w14:textId="77777777" w:rsidR="003C6287" w:rsidRDefault="003C6287" w:rsidP="00B96CCF">
            <w:pPr>
              <w:spacing w:after="0"/>
              <w:rPr>
                <w:rFonts w:asciiTheme="minorHAnsi" w:eastAsiaTheme="minorHAnsi" w:hAnsiTheme="minorHAnsi" w:cs="Times New Roman"/>
              </w:rPr>
            </w:pPr>
          </w:p>
        </w:tc>
        <w:tc>
          <w:tcPr>
            <w:tcW w:w="1260" w:type="dxa"/>
            <w:noWrap/>
            <w:vAlign w:val="bottom"/>
            <w:hideMark/>
          </w:tcPr>
          <w:p w14:paraId="2414AD58" w14:textId="77777777" w:rsidR="003C6287" w:rsidRDefault="003C6287" w:rsidP="00B96CCF">
            <w:pPr>
              <w:spacing w:after="0"/>
              <w:rPr>
                <w:rFonts w:asciiTheme="minorHAnsi" w:eastAsiaTheme="minorHAnsi" w:hAnsiTheme="minorHAnsi" w:cs="Times New Roman"/>
              </w:rPr>
            </w:pPr>
          </w:p>
        </w:tc>
        <w:tc>
          <w:tcPr>
            <w:tcW w:w="1281" w:type="dxa"/>
            <w:tcBorders>
              <w:top w:val="nil"/>
              <w:left w:val="single" w:sz="8" w:space="0" w:color="auto"/>
              <w:bottom w:val="nil"/>
              <w:right w:val="single" w:sz="8" w:space="0" w:color="auto"/>
            </w:tcBorders>
            <w:noWrap/>
            <w:vAlign w:val="bottom"/>
            <w:hideMark/>
          </w:tcPr>
          <w:p w14:paraId="484ACFB3" w14:textId="77777777" w:rsidR="003C6287" w:rsidRDefault="003C6287" w:rsidP="00B96CCF">
            <w:pPr>
              <w:spacing w:after="0"/>
              <w:rPr>
                <w:rFonts w:asciiTheme="minorHAnsi" w:eastAsiaTheme="minorHAnsi" w:hAnsiTheme="minorHAnsi" w:cs="Times New Roman"/>
              </w:rPr>
            </w:pPr>
          </w:p>
        </w:tc>
        <w:tc>
          <w:tcPr>
            <w:tcW w:w="1360" w:type="dxa"/>
            <w:noWrap/>
            <w:vAlign w:val="bottom"/>
            <w:hideMark/>
          </w:tcPr>
          <w:p w14:paraId="790EF1D9" w14:textId="77777777" w:rsidR="003C6287" w:rsidRDefault="003C6287" w:rsidP="00B96CCF">
            <w:pPr>
              <w:spacing w:after="0"/>
              <w:rPr>
                <w:rFonts w:asciiTheme="minorHAnsi" w:eastAsiaTheme="minorHAnsi" w:hAnsiTheme="minorHAnsi" w:cs="Times New Roman"/>
              </w:rPr>
            </w:pPr>
          </w:p>
        </w:tc>
        <w:tc>
          <w:tcPr>
            <w:tcW w:w="1591" w:type="dxa"/>
            <w:tcBorders>
              <w:top w:val="nil"/>
              <w:left w:val="single" w:sz="8" w:space="0" w:color="auto"/>
              <w:bottom w:val="nil"/>
              <w:right w:val="single" w:sz="8" w:space="0" w:color="auto"/>
            </w:tcBorders>
            <w:noWrap/>
            <w:vAlign w:val="bottom"/>
            <w:hideMark/>
          </w:tcPr>
          <w:p w14:paraId="4D60FA48" w14:textId="77777777" w:rsidR="003C6287" w:rsidRDefault="003C6287" w:rsidP="00B96CCF">
            <w:pPr>
              <w:spacing w:after="0"/>
              <w:rPr>
                <w:rFonts w:asciiTheme="minorHAnsi" w:eastAsiaTheme="minorHAnsi" w:hAnsiTheme="minorHAnsi" w:cs="Times New Roman"/>
              </w:rPr>
            </w:pPr>
          </w:p>
        </w:tc>
        <w:tc>
          <w:tcPr>
            <w:tcW w:w="1382" w:type="dxa"/>
            <w:tcBorders>
              <w:top w:val="nil"/>
              <w:left w:val="nil"/>
              <w:bottom w:val="nil"/>
              <w:right w:val="single" w:sz="8" w:space="0" w:color="auto"/>
            </w:tcBorders>
            <w:noWrap/>
            <w:vAlign w:val="bottom"/>
            <w:hideMark/>
          </w:tcPr>
          <w:p w14:paraId="1C6E7E17" w14:textId="77777777" w:rsidR="003C6287" w:rsidRDefault="003C6287" w:rsidP="00B96CCF">
            <w:pPr>
              <w:spacing w:after="0"/>
              <w:rPr>
                <w:rFonts w:asciiTheme="minorHAnsi" w:eastAsiaTheme="minorHAnsi" w:hAnsiTheme="minorHAnsi" w:cs="Times New Roman"/>
              </w:rPr>
            </w:pPr>
          </w:p>
        </w:tc>
      </w:tr>
      <w:tr w:rsidR="007C3910" w14:paraId="1F0C9D89" w14:textId="77777777" w:rsidTr="007C3910">
        <w:trPr>
          <w:trHeight w:val="610"/>
        </w:trPr>
        <w:tc>
          <w:tcPr>
            <w:tcW w:w="862" w:type="dxa"/>
            <w:tcBorders>
              <w:top w:val="single" w:sz="8" w:space="0" w:color="auto"/>
              <w:left w:val="single" w:sz="8" w:space="0" w:color="auto"/>
              <w:bottom w:val="single" w:sz="8" w:space="0" w:color="auto"/>
              <w:right w:val="single" w:sz="8" w:space="0" w:color="auto"/>
            </w:tcBorders>
            <w:noWrap/>
            <w:vAlign w:val="bottom"/>
            <w:hideMark/>
          </w:tcPr>
          <w:p w14:paraId="3FA22148" w14:textId="77777777" w:rsidR="003C6287" w:rsidRPr="00BC6489" w:rsidRDefault="003C6287" w:rsidP="00B96CCF">
            <w:pPr>
              <w:spacing w:after="0"/>
              <w:rPr>
                <w:rFonts w:asciiTheme="minorHAnsi" w:eastAsiaTheme="minorHAnsi" w:hAnsiTheme="minorHAnsi" w:cs="Times New Roman"/>
                <w:b/>
              </w:rPr>
            </w:pPr>
          </w:p>
        </w:tc>
        <w:tc>
          <w:tcPr>
            <w:tcW w:w="1583" w:type="dxa"/>
            <w:tcBorders>
              <w:top w:val="single" w:sz="8" w:space="0" w:color="auto"/>
              <w:left w:val="nil"/>
              <w:bottom w:val="single" w:sz="8" w:space="0" w:color="auto"/>
              <w:right w:val="single" w:sz="8" w:space="0" w:color="auto"/>
            </w:tcBorders>
            <w:noWrap/>
            <w:vAlign w:val="bottom"/>
            <w:hideMark/>
          </w:tcPr>
          <w:p w14:paraId="49E3977B" w14:textId="77777777" w:rsidR="003C6287" w:rsidRDefault="003C6287" w:rsidP="00B96CCF">
            <w:pPr>
              <w:spacing w:after="0" w:line="240" w:lineRule="auto"/>
              <w:jc w:val="center"/>
              <w:rPr>
                <w:rFonts w:cs="Times New Roman"/>
                <w:b/>
                <w:bCs/>
                <w:sz w:val="20"/>
                <w:szCs w:val="20"/>
              </w:rPr>
            </w:pPr>
            <w:r>
              <w:rPr>
                <w:rFonts w:cs="Times New Roman"/>
                <w:b/>
                <w:bCs/>
                <w:sz w:val="20"/>
                <w:szCs w:val="20"/>
              </w:rPr>
              <w:t>z-alpha(Bangia)</w:t>
            </w:r>
          </w:p>
        </w:tc>
        <w:tc>
          <w:tcPr>
            <w:tcW w:w="1260" w:type="dxa"/>
            <w:tcBorders>
              <w:top w:val="single" w:sz="8" w:space="0" w:color="auto"/>
              <w:left w:val="nil"/>
              <w:bottom w:val="single" w:sz="8" w:space="0" w:color="auto"/>
              <w:right w:val="nil"/>
            </w:tcBorders>
            <w:noWrap/>
            <w:vAlign w:val="bottom"/>
            <w:hideMark/>
          </w:tcPr>
          <w:p w14:paraId="3B3718BC" w14:textId="77777777" w:rsidR="003C6287" w:rsidRDefault="003C6287" w:rsidP="00B96CCF">
            <w:pPr>
              <w:spacing w:after="0" w:line="240" w:lineRule="auto"/>
              <w:jc w:val="center"/>
              <w:rPr>
                <w:rFonts w:cs="Times New Roman"/>
                <w:b/>
                <w:bCs/>
                <w:sz w:val="20"/>
                <w:szCs w:val="20"/>
              </w:rPr>
            </w:pPr>
            <w:r>
              <w:rPr>
                <w:rFonts w:cs="Times New Roman"/>
                <w:b/>
                <w:bCs/>
                <w:sz w:val="20"/>
                <w:szCs w:val="20"/>
              </w:rPr>
              <w:t>z-cornish(S)</w:t>
            </w:r>
          </w:p>
        </w:tc>
        <w:tc>
          <w:tcPr>
            <w:tcW w:w="1281" w:type="dxa"/>
            <w:tcBorders>
              <w:top w:val="single" w:sz="8" w:space="0" w:color="auto"/>
              <w:left w:val="single" w:sz="8" w:space="0" w:color="auto"/>
              <w:bottom w:val="single" w:sz="8" w:space="0" w:color="auto"/>
              <w:right w:val="single" w:sz="8" w:space="0" w:color="auto"/>
            </w:tcBorders>
            <w:noWrap/>
            <w:vAlign w:val="bottom"/>
            <w:hideMark/>
          </w:tcPr>
          <w:p w14:paraId="4BBCAFF9" w14:textId="77777777" w:rsidR="003C6287" w:rsidRDefault="003C6287" w:rsidP="00B96CCF">
            <w:pPr>
              <w:spacing w:after="0" w:line="240" w:lineRule="auto"/>
              <w:jc w:val="center"/>
              <w:rPr>
                <w:rFonts w:cs="Times New Roman"/>
                <w:b/>
                <w:bCs/>
                <w:sz w:val="20"/>
                <w:szCs w:val="20"/>
              </w:rPr>
            </w:pPr>
            <w:r>
              <w:rPr>
                <w:rFonts w:cs="Times New Roman"/>
                <w:b/>
                <w:bCs/>
                <w:sz w:val="20"/>
                <w:szCs w:val="20"/>
              </w:rPr>
              <w:t>z-cornish (R)</w:t>
            </w:r>
          </w:p>
        </w:tc>
        <w:tc>
          <w:tcPr>
            <w:tcW w:w="1360" w:type="dxa"/>
            <w:tcBorders>
              <w:top w:val="single" w:sz="8" w:space="0" w:color="auto"/>
              <w:left w:val="nil"/>
              <w:bottom w:val="single" w:sz="8" w:space="0" w:color="auto"/>
              <w:right w:val="nil"/>
            </w:tcBorders>
            <w:noWrap/>
            <w:vAlign w:val="bottom"/>
            <w:hideMark/>
          </w:tcPr>
          <w:p w14:paraId="20B7CED5" w14:textId="77777777" w:rsidR="003C6287" w:rsidRDefault="003C6287" w:rsidP="00B96CCF">
            <w:pPr>
              <w:spacing w:after="0" w:line="240" w:lineRule="auto"/>
              <w:jc w:val="center"/>
              <w:rPr>
                <w:rFonts w:cs="Times New Roman"/>
                <w:b/>
                <w:bCs/>
                <w:color w:val="000000"/>
                <w:sz w:val="20"/>
                <w:szCs w:val="20"/>
              </w:rPr>
            </w:pPr>
            <w:r>
              <w:rPr>
                <w:rFonts w:cs="Times New Roman"/>
                <w:b/>
                <w:bCs/>
                <w:color w:val="000000"/>
                <w:sz w:val="20"/>
                <w:szCs w:val="20"/>
              </w:rPr>
              <w:t>Price Risk (%)</w:t>
            </w:r>
          </w:p>
        </w:tc>
        <w:tc>
          <w:tcPr>
            <w:tcW w:w="1591" w:type="dxa"/>
            <w:tcBorders>
              <w:top w:val="single" w:sz="8" w:space="0" w:color="auto"/>
              <w:left w:val="single" w:sz="8" w:space="0" w:color="auto"/>
              <w:bottom w:val="single" w:sz="8" w:space="0" w:color="auto"/>
              <w:right w:val="single" w:sz="8" w:space="0" w:color="auto"/>
            </w:tcBorders>
            <w:noWrap/>
            <w:vAlign w:val="bottom"/>
            <w:hideMark/>
          </w:tcPr>
          <w:p w14:paraId="46868005" w14:textId="77777777" w:rsidR="003C6287" w:rsidRDefault="003C6287" w:rsidP="00B96CCF">
            <w:pPr>
              <w:spacing w:after="0" w:line="240" w:lineRule="auto"/>
              <w:jc w:val="center"/>
              <w:rPr>
                <w:rFonts w:cs="Times New Roman"/>
                <w:b/>
                <w:bCs/>
                <w:sz w:val="20"/>
                <w:szCs w:val="20"/>
              </w:rPr>
            </w:pPr>
            <w:r>
              <w:rPr>
                <w:rFonts w:cs="Times New Roman"/>
                <w:b/>
                <w:bCs/>
                <w:sz w:val="20"/>
                <w:szCs w:val="20"/>
              </w:rPr>
              <w:t>LVaR (Bangia) %</w:t>
            </w:r>
          </w:p>
        </w:tc>
        <w:tc>
          <w:tcPr>
            <w:tcW w:w="1382" w:type="dxa"/>
            <w:tcBorders>
              <w:top w:val="single" w:sz="8" w:space="0" w:color="auto"/>
              <w:left w:val="nil"/>
              <w:bottom w:val="single" w:sz="8" w:space="0" w:color="auto"/>
              <w:right w:val="single" w:sz="8" w:space="0" w:color="auto"/>
            </w:tcBorders>
            <w:noWrap/>
            <w:vAlign w:val="bottom"/>
            <w:hideMark/>
          </w:tcPr>
          <w:p w14:paraId="30EA13F6" w14:textId="77777777" w:rsidR="003C6287" w:rsidRDefault="003C6287" w:rsidP="00B96CCF">
            <w:pPr>
              <w:spacing w:after="0" w:line="240" w:lineRule="auto"/>
              <w:jc w:val="center"/>
              <w:rPr>
                <w:rFonts w:cs="Times New Roman"/>
                <w:b/>
                <w:bCs/>
                <w:sz w:val="20"/>
                <w:szCs w:val="20"/>
              </w:rPr>
            </w:pPr>
            <w:r w:rsidRPr="00BC6489">
              <w:rPr>
                <w:rFonts w:cs="Times New Roman"/>
                <w:b/>
                <w:bCs/>
                <w:sz w:val="20"/>
                <w:szCs w:val="20"/>
              </w:rPr>
              <w:t>LVaR (</w:t>
            </w:r>
            <w:r>
              <w:rPr>
                <w:rFonts w:cs="Times New Roman"/>
                <w:b/>
                <w:bCs/>
                <w:sz w:val="20"/>
                <w:szCs w:val="20"/>
              </w:rPr>
              <w:t>Modified</w:t>
            </w:r>
            <w:r w:rsidRPr="00BC6489">
              <w:rPr>
                <w:rFonts w:cs="Times New Roman"/>
                <w:b/>
                <w:bCs/>
                <w:sz w:val="20"/>
                <w:szCs w:val="20"/>
              </w:rPr>
              <w:t>) %</w:t>
            </w:r>
          </w:p>
        </w:tc>
      </w:tr>
      <w:tr w:rsidR="007C3910" w14:paraId="2A9FE794" w14:textId="77777777" w:rsidTr="007C3910">
        <w:trPr>
          <w:trHeight w:val="581"/>
        </w:trPr>
        <w:tc>
          <w:tcPr>
            <w:tcW w:w="862" w:type="dxa"/>
            <w:tcBorders>
              <w:top w:val="nil"/>
              <w:left w:val="single" w:sz="8" w:space="0" w:color="auto"/>
              <w:bottom w:val="nil"/>
              <w:right w:val="single" w:sz="8" w:space="0" w:color="auto"/>
            </w:tcBorders>
            <w:noWrap/>
            <w:vAlign w:val="bottom"/>
            <w:hideMark/>
          </w:tcPr>
          <w:p w14:paraId="42044A17" w14:textId="77777777" w:rsidR="003C6287" w:rsidRPr="00BC6489" w:rsidRDefault="003C6287" w:rsidP="00B96CCF">
            <w:pPr>
              <w:spacing w:after="0" w:line="240" w:lineRule="auto"/>
              <w:rPr>
                <w:rFonts w:cs="Times New Roman"/>
                <w:b/>
                <w:color w:val="000000"/>
                <w:sz w:val="20"/>
                <w:szCs w:val="20"/>
              </w:rPr>
            </w:pPr>
            <w:r w:rsidRPr="00BC6489">
              <w:rPr>
                <w:rFonts w:cs="Times New Roman"/>
                <w:b/>
                <w:color w:val="000000"/>
                <w:sz w:val="20"/>
                <w:szCs w:val="20"/>
              </w:rPr>
              <w:t>Mean</w:t>
            </w:r>
          </w:p>
        </w:tc>
        <w:tc>
          <w:tcPr>
            <w:tcW w:w="1583" w:type="dxa"/>
            <w:tcBorders>
              <w:top w:val="nil"/>
              <w:left w:val="nil"/>
              <w:bottom w:val="nil"/>
              <w:right w:val="single" w:sz="8" w:space="0" w:color="auto"/>
            </w:tcBorders>
            <w:noWrap/>
            <w:vAlign w:val="bottom"/>
            <w:hideMark/>
          </w:tcPr>
          <w:p w14:paraId="399B2C79" w14:textId="77777777" w:rsidR="003C6287" w:rsidRDefault="003C6287" w:rsidP="00B96CCF">
            <w:pPr>
              <w:spacing w:after="0" w:line="240" w:lineRule="auto"/>
              <w:jc w:val="center"/>
              <w:rPr>
                <w:rFonts w:cs="Times New Roman"/>
                <w:color w:val="000000"/>
                <w:sz w:val="20"/>
                <w:szCs w:val="20"/>
              </w:rPr>
            </w:pPr>
            <w:r>
              <w:rPr>
                <w:rFonts w:cs="Times New Roman"/>
                <w:color w:val="000000"/>
                <w:sz w:val="20"/>
                <w:szCs w:val="20"/>
              </w:rPr>
              <w:t>0.962803869</w:t>
            </w:r>
          </w:p>
        </w:tc>
        <w:tc>
          <w:tcPr>
            <w:tcW w:w="1260" w:type="dxa"/>
            <w:noWrap/>
            <w:vAlign w:val="bottom"/>
            <w:hideMark/>
          </w:tcPr>
          <w:p w14:paraId="1105E8D0" w14:textId="77777777" w:rsidR="003C6287" w:rsidRDefault="003C6287" w:rsidP="00B96CCF">
            <w:pPr>
              <w:spacing w:after="0" w:line="240" w:lineRule="auto"/>
              <w:jc w:val="center"/>
              <w:rPr>
                <w:rFonts w:cs="Times New Roman"/>
                <w:color w:val="000000"/>
                <w:sz w:val="20"/>
                <w:szCs w:val="20"/>
              </w:rPr>
            </w:pPr>
            <w:r>
              <w:rPr>
                <w:rFonts w:cs="Times New Roman"/>
                <w:color w:val="000000"/>
                <w:sz w:val="20"/>
                <w:szCs w:val="20"/>
              </w:rPr>
              <w:t>7.565285392</w:t>
            </w:r>
          </w:p>
        </w:tc>
        <w:tc>
          <w:tcPr>
            <w:tcW w:w="1281" w:type="dxa"/>
            <w:tcBorders>
              <w:top w:val="nil"/>
              <w:left w:val="single" w:sz="8" w:space="0" w:color="auto"/>
              <w:bottom w:val="nil"/>
              <w:right w:val="single" w:sz="8" w:space="0" w:color="auto"/>
            </w:tcBorders>
            <w:noWrap/>
            <w:vAlign w:val="bottom"/>
            <w:hideMark/>
          </w:tcPr>
          <w:p w14:paraId="2AC138A6" w14:textId="77777777" w:rsidR="003C6287" w:rsidRDefault="003C6287" w:rsidP="00B96CCF">
            <w:pPr>
              <w:spacing w:after="0" w:line="240" w:lineRule="auto"/>
              <w:jc w:val="center"/>
              <w:rPr>
                <w:rFonts w:cs="Times New Roman"/>
                <w:color w:val="000000"/>
                <w:sz w:val="20"/>
                <w:szCs w:val="20"/>
              </w:rPr>
            </w:pPr>
            <w:r>
              <w:rPr>
                <w:rFonts w:cs="Times New Roman"/>
                <w:color w:val="000000"/>
                <w:sz w:val="20"/>
                <w:szCs w:val="20"/>
              </w:rPr>
              <w:t>2.217071326</w:t>
            </w:r>
          </w:p>
        </w:tc>
        <w:tc>
          <w:tcPr>
            <w:tcW w:w="1360" w:type="dxa"/>
            <w:noWrap/>
            <w:vAlign w:val="bottom"/>
            <w:hideMark/>
          </w:tcPr>
          <w:p w14:paraId="51A6FDEA" w14:textId="77777777" w:rsidR="003C6287" w:rsidRDefault="003C6287" w:rsidP="00B96CCF">
            <w:pPr>
              <w:spacing w:after="0" w:line="240" w:lineRule="auto"/>
              <w:jc w:val="center"/>
              <w:rPr>
                <w:rFonts w:cs="Times New Roman"/>
                <w:color w:val="000000"/>
                <w:sz w:val="20"/>
                <w:szCs w:val="20"/>
              </w:rPr>
            </w:pPr>
            <w:r>
              <w:rPr>
                <w:rFonts w:cs="Times New Roman"/>
                <w:color w:val="000000"/>
                <w:sz w:val="20"/>
                <w:szCs w:val="20"/>
              </w:rPr>
              <w:t>4.103538767</w:t>
            </w:r>
          </w:p>
        </w:tc>
        <w:tc>
          <w:tcPr>
            <w:tcW w:w="1591" w:type="dxa"/>
            <w:tcBorders>
              <w:top w:val="nil"/>
              <w:left w:val="single" w:sz="8" w:space="0" w:color="auto"/>
              <w:bottom w:val="nil"/>
              <w:right w:val="single" w:sz="8" w:space="0" w:color="auto"/>
            </w:tcBorders>
            <w:noWrap/>
            <w:vAlign w:val="bottom"/>
            <w:hideMark/>
          </w:tcPr>
          <w:p w14:paraId="0E67CA09" w14:textId="77777777" w:rsidR="003C6287" w:rsidRDefault="003C6287" w:rsidP="00B96CCF">
            <w:pPr>
              <w:spacing w:after="0" w:line="240" w:lineRule="auto"/>
              <w:jc w:val="center"/>
              <w:rPr>
                <w:rFonts w:cs="Times New Roman"/>
                <w:color w:val="000000"/>
                <w:sz w:val="20"/>
                <w:szCs w:val="20"/>
              </w:rPr>
            </w:pPr>
            <w:r>
              <w:rPr>
                <w:rFonts w:cs="Times New Roman"/>
                <w:color w:val="000000"/>
                <w:sz w:val="20"/>
                <w:szCs w:val="20"/>
              </w:rPr>
              <w:t>4.274740198</w:t>
            </w:r>
          </w:p>
        </w:tc>
        <w:tc>
          <w:tcPr>
            <w:tcW w:w="1382" w:type="dxa"/>
            <w:tcBorders>
              <w:top w:val="nil"/>
              <w:left w:val="nil"/>
              <w:bottom w:val="nil"/>
              <w:right w:val="single" w:sz="8" w:space="0" w:color="auto"/>
            </w:tcBorders>
            <w:noWrap/>
            <w:vAlign w:val="bottom"/>
            <w:hideMark/>
          </w:tcPr>
          <w:p w14:paraId="3EBE6E72" w14:textId="77777777" w:rsidR="003C6287" w:rsidRDefault="003C6287" w:rsidP="00B96CCF">
            <w:pPr>
              <w:spacing w:after="0" w:line="240" w:lineRule="auto"/>
              <w:jc w:val="center"/>
              <w:rPr>
                <w:rFonts w:cs="Times New Roman"/>
                <w:color w:val="000000"/>
                <w:sz w:val="20"/>
                <w:szCs w:val="20"/>
              </w:rPr>
            </w:pPr>
            <w:r>
              <w:rPr>
                <w:rFonts w:cs="Times New Roman"/>
                <w:color w:val="000000"/>
                <w:sz w:val="20"/>
                <w:szCs w:val="20"/>
              </w:rPr>
              <w:t>4.626610064</w:t>
            </w:r>
          </w:p>
        </w:tc>
      </w:tr>
      <w:tr w:rsidR="007C3910" w14:paraId="20C0A856" w14:textId="77777777" w:rsidTr="007C3910">
        <w:trPr>
          <w:trHeight w:val="581"/>
        </w:trPr>
        <w:tc>
          <w:tcPr>
            <w:tcW w:w="862" w:type="dxa"/>
            <w:tcBorders>
              <w:top w:val="nil"/>
              <w:left w:val="single" w:sz="8" w:space="0" w:color="auto"/>
              <w:bottom w:val="nil"/>
              <w:right w:val="single" w:sz="8" w:space="0" w:color="auto"/>
            </w:tcBorders>
            <w:noWrap/>
            <w:vAlign w:val="bottom"/>
            <w:hideMark/>
          </w:tcPr>
          <w:p w14:paraId="5383DC46" w14:textId="77777777" w:rsidR="003C6287" w:rsidRPr="00BC6489" w:rsidRDefault="003C6287" w:rsidP="00B96CCF">
            <w:pPr>
              <w:spacing w:after="0" w:line="240" w:lineRule="auto"/>
              <w:rPr>
                <w:rFonts w:cs="Times New Roman"/>
                <w:b/>
                <w:color w:val="000000"/>
                <w:sz w:val="20"/>
                <w:szCs w:val="20"/>
              </w:rPr>
            </w:pPr>
            <w:r w:rsidRPr="00BC6489">
              <w:rPr>
                <w:rFonts w:cs="Times New Roman"/>
                <w:b/>
                <w:color w:val="000000"/>
                <w:sz w:val="20"/>
                <w:szCs w:val="20"/>
              </w:rPr>
              <w:t>Median</w:t>
            </w:r>
          </w:p>
        </w:tc>
        <w:tc>
          <w:tcPr>
            <w:tcW w:w="1583" w:type="dxa"/>
            <w:tcBorders>
              <w:top w:val="nil"/>
              <w:left w:val="nil"/>
              <w:bottom w:val="nil"/>
              <w:right w:val="single" w:sz="8" w:space="0" w:color="auto"/>
            </w:tcBorders>
            <w:noWrap/>
            <w:vAlign w:val="bottom"/>
            <w:hideMark/>
          </w:tcPr>
          <w:p w14:paraId="04A65C86" w14:textId="77777777" w:rsidR="003C6287" w:rsidRDefault="003C6287" w:rsidP="00B96CCF">
            <w:pPr>
              <w:spacing w:after="0" w:line="240" w:lineRule="auto"/>
              <w:jc w:val="center"/>
              <w:rPr>
                <w:rFonts w:cs="Times New Roman"/>
                <w:color w:val="000000"/>
                <w:sz w:val="20"/>
                <w:szCs w:val="20"/>
              </w:rPr>
            </w:pPr>
            <w:r>
              <w:rPr>
                <w:rFonts w:cs="Times New Roman"/>
                <w:color w:val="000000"/>
                <w:sz w:val="20"/>
                <w:szCs w:val="20"/>
              </w:rPr>
              <w:t>0.826826105</w:t>
            </w:r>
          </w:p>
        </w:tc>
        <w:tc>
          <w:tcPr>
            <w:tcW w:w="1260" w:type="dxa"/>
            <w:noWrap/>
            <w:vAlign w:val="bottom"/>
            <w:hideMark/>
          </w:tcPr>
          <w:p w14:paraId="7D383427" w14:textId="77777777" w:rsidR="003C6287" w:rsidRDefault="003C6287" w:rsidP="00B96CCF">
            <w:pPr>
              <w:spacing w:after="0" w:line="240" w:lineRule="auto"/>
              <w:jc w:val="center"/>
              <w:rPr>
                <w:rFonts w:cs="Times New Roman"/>
                <w:color w:val="000000"/>
                <w:sz w:val="20"/>
                <w:szCs w:val="20"/>
              </w:rPr>
            </w:pPr>
            <w:r>
              <w:rPr>
                <w:rFonts w:cs="Times New Roman"/>
                <w:color w:val="000000"/>
                <w:sz w:val="20"/>
                <w:szCs w:val="20"/>
              </w:rPr>
              <w:t>7.052219911</w:t>
            </w:r>
          </w:p>
        </w:tc>
        <w:tc>
          <w:tcPr>
            <w:tcW w:w="1281" w:type="dxa"/>
            <w:tcBorders>
              <w:top w:val="nil"/>
              <w:left w:val="single" w:sz="8" w:space="0" w:color="auto"/>
              <w:bottom w:val="nil"/>
              <w:right w:val="single" w:sz="8" w:space="0" w:color="auto"/>
            </w:tcBorders>
            <w:noWrap/>
            <w:vAlign w:val="bottom"/>
            <w:hideMark/>
          </w:tcPr>
          <w:p w14:paraId="7035B433" w14:textId="77777777" w:rsidR="003C6287" w:rsidRDefault="003C6287" w:rsidP="00B96CCF">
            <w:pPr>
              <w:spacing w:after="0" w:line="240" w:lineRule="auto"/>
              <w:jc w:val="center"/>
              <w:rPr>
                <w:rFonts w:cs="Times New Roman"/>
                <w:color w:val="000000"/>
                <w:sz w:val="20"/>
                <w:szCs w:val="20"/>
              </w:rPr>
            </w:pPr>
            <w:r>
              <w:rPr>
                <w:rFonts w:cs="Times New Roman"/>
                <w:color w:val="000000"/>
                <w:sz w:val="20"/>
                <w:szCs w:val="20"/>
              </w:rPr>
              <w:t>2.147985599</w:t>
            </w:r>
          </w:p>
        </w:tc>
        <w:tc>
          <w:tcPr>
            <w:tcW w:w="1360" w:type="dxa"/>
            <w:noWrap/>
            <w:vAlign w:val="bottom"/>
            <w:hideMark/>
          </w:tcPr>
          <w:p w14:paraId="574F086E" w14:textId="77777777" w:rsidR="003C6287" w:rsidRDefault="003C6287" w:rsidP="00B96CCF">
            <w:pPr>
              <w:spacing w:after="0" w:line="240" w:lineRule="auto"/>
              <w:jc w:val="center"/>
              <w:rPr>
                <w:rFonts w:cs="Times New Roman"/>
                <w:color w:val="000000"/>
                <w:sz w:val="20"/>
                <w:szCs w:val="20"/>
              </w:rPr>
            </w:pPr>
            <w:r>
              <w:rPr>
                <w:rFonts w:cs="Times New Roman"/>
                <w:color w:val="000000"/>
                <w:sz w:val="20"/>
                <w:szCs w:val="20"/>
              </w:rPr>
              <w:t>3.896207647</w:t>
            </w:r>
          </w:p>
        </w:tc>
        <w:tc>
          <w:tcPr>
            <w:tcW w:w="1591" w:type="dxa"/>
            <w:tcBorders>
              <w:top w:val="nil"/>
              <w:left w:val="single" w:sz="8" w:space="0" w:color="auto"/>
              <w:bottom w:val="nil"/>
              <w:right w:val="single" w:sz="8" w:space="0" w:color="auto"/>
            </w:tcBorders>
            <w:noWrap/>
            <w:vAlign w:val="bottom"/>
            <w:hideMark/>
          </w:tcPr>
          <w:p w14:paraId="0E034033" w14:textId="77777777" w:rsidR="003C6287" w:rsidRDefault="003C6287" w:rsidP="00B96CCF">
            <w:pPr>
              <w:spacing w:after="0" w:line="240" w:lineRule="auto"/>
              <w:jc w:val="center"/>
              <w:rPr>
                <w:rFonts w:cs="Times New Roman"/>
                <w:color w:val="000000"/>
                <w:sz w:val="20"/>
                <w:szCs w:val="20"/>
              </w:rPr>
            </w:pPr>
            <w:r>
              <w:rPr>
                <w:rFonts w:cs="Times New Roman"/>
                <w:color w:val="000000"/>
                <w:sz w:val="20"/>
                <w:szCs w:val="20"/>
              </w:rPr>
              <w:t>4.03519867</w:t>
            </w:r>
          </w:p>
        </w:tc>
        <w:tc>
          <w:tcPr>
            <w:tcW w:w="1382" w:type="dxa"/>
            <w:tcBorders>
              <w:top w:val="nil"/>
              <w:left w:val="nil"/>
              <w:bottom w:val="nil"/>
              <w:right w:val="single" w:sz="8" w:space="0" w:color="auto"/>
            </w:tcBorders>
            <w:noWrap/>
            <w:vAlign w:val="bottom"/>
            <w:hideMark/>
          </w:tcPr>
          <w:p w14:paraId="2DC2AF02" w14:textId="77777777" w:rsidR="003C6287" w:rsidRDefault="003C6287" w:rsidP="00B96CCF">
            <w:pPr>
              <w:spacing w:after="0" w:line="240" w:lineRule="auto"/>
              <w:jc w:val="center"/>
              <w:rPr>
                <w:rFonts w:cs="Times New Roman"/>
                <w:color w:val="000000"/>
                <w:sz w:val="20"/>
                <w:szCs w:val="20"/>
              </w:rPr>
            </w:pPr>
            <w:r>
              <w:rPr>
                <w:rFonts w:cs="Times New Roman"/>
                <w:color w:val="000000"/>
                <w:sz w:val="20"/>
                <w:szCs w:val="20"/>
              </w:rPr>
              <w:t>4.446329983</w:t>
            </w:r>
          </w:p>
        </w:tc>
      </w:tr>
      <w:tr w:rsidR="007C3910" w14:paraId="52C45B1D" w14:textId="77777777" w:rsidTr="007C3910">
        <w:trPr>
          <w:trHeight w:val="610"/>
        </w:trPr>
        <w:tc>
          <w:tcPr>
            <w:tcW w:w="862" w:type="dxa"/>
            <w:tcBorders>
              <w:top w:val="nil"/>
              <w:left w:val="single" w:sz="8" w:space="0" w:color="auto"/>
              <w:bottom w:val="single" w:sz="8" w:space="0" w:color="auto"/>
              <w:right w:val="single" w:sz="8" w:space="0" w:color="auto"/>
            </w:tcBorders>
            <w:noWrap/>
            <w:vAlign w:val="bottom"/>
            <w:hideMark/>
          </w:tcPr>
          <w:p w14:paraId="1A069F18" w14:textId="77777777" w:rsidR="003C6287" w:rsidRPr="00BC6489" w:rsidRDefault="003C6287" w:rsidP="00B96CCF">
            <w:pPr>
              <w:spacing w:after="0" w:line="240" w:lineRule="auto"/>
              <w:rPr>
                <w:rFonts w:cs="Times New Roman"/>
                <w:b/>
                <w:color w:val="000000"/>
                <w:sz w:val="20"/>
                <w:szCs w:val="20"/>
              </w:rPr>
            </w:pPr>
            <w:r w:rsidRPr="00BC6489">
              <w:rPr>
                <w:rFonts w:cs="Times New Roman"/>
                <w:b/>
                <w:color w:val="000000"/>
                <w:sz w:val="20"/>
                <w:szCs w:val="20"/>
              </w:rPr>
              <w:t>Std Dev.</w:t>
            </w:r>
          </w:p>
        </w:tc>
        <w:tc>
          <w:tcPr>
            <w:tcW w:w="1583" w:type="dxa"/>
            <w:tcBorders>
              <w:top w:val="nil"/>
              <w:left w:val="nil"/>
              <w:bottom w:val="single" w:sz="8" w:space="0" w:color="auto"/>
              <w:right w:val="single" w:sz="8" w:space="0" w:color="auto"/>
            </w:tcBorders>
            <w:noWrap/>
            <w:vAlign w:val="bottom"/>
            <w:hideMark/>
          </w:tcPr>
          <w:p w14:paraId="0B1229DF" w14:textId="77777777" w:rsidR="003C6287" w:rsidRDefault="003C6287" w:rsidP="00B96CCF">
            <w:pPr>
              <w:spacing w:after="0" w:line="240" w:lineRule="auto"/>
              <w:jc w:val="center"/>
              <w:rPr>
                <w:rFonts w:cs="Times New Roman"/>
                <w:color w:val="000000"/>
                <w:sz w:val="20"/>
                <w:szCs w:val="20"/>
              </w:rPr>
            </w:pPr>
            <w:r>
              <w:rPr>
                <w:rFonts w:cs="Times New Roman"/>
                <w:color w:val="000000"/>
                <w:sz w:val="20"/>
                <w:szCs w:val="20"/>
              </w:rPr>
              <w:t>0.51004316</w:t>
            </w:r>
          </w:p>
        </w:tc>
        <w:tc>
          <w:tcPr>
            <w:tcW w:w="1260" w:type="dxa"/>
            <w:tcBorders>
              <w:top w:val="nil"/>
              <w:left w:val="nil"/>
              <w:bottom w:val="single" w:sz="8" w:space="0" w:color="auto"/>
              <w:right w:val="nil"/>
            </w:tcBorders>
            <w:noWrap/>
            <w:vAlign w:val="bottom"/>
            <w:hideMark/>
          </w:tcPr>
          <w:p w14:paraId="52DD14CC" w14:textId="77777777" w:rsidR="003C6287" w:rsidRDefault="003C6287" w:rsidP="00B96CCF">
            <w:pPr>
              <w:spacing w:after="0" w:line="240" w:lineRule="auto"/>
              <w:jc w:val="center"/>
              <w:rPr>
                <w:rFonts w:cs="Times New Roman"/>
                <w:color w:val="000000"/>
                <w:sz w:val="20"/>
                <w:szCs w:val="20"/>
              </w:rPr>
            </w:pPr>
            <w:r>
              <w:rPr>
                <w:rFonts w:cs="Times New Roman"/>
                <w:color w:val="000000"/>
                <w:sz w:val="20"/>
                <w:szCs w:val="20"/>
              </w:rPr>
              <w:t>3.942126764</w:t>
            </w:r>
          </w:p>
        </w:tc>
        <w:tc>
          <w:tcPr>
            <w:tcW w:w="1281" w:type="dxa"/>
            <w:tcBorders>
              <w:top w:val="nil"/>
              <w:left w:val="single" w:sz="8" w:space="0" w:color="auto"/>
              <w:bottom w:val="single" w:sz="8" w:space="0" w:color="auto"/>
              <w:right w:val="single" w:sz="8" w:space="0" w:color="auto"/>
            </w:tcBorders>
            <w:noWrap/>
            <w:vAlign w:val="bottom"/>
            <w:hideMark/>
          </w:tcPr>
          <w:p w14:paraId="0673A636" w14:textId="77777777" w:rsidR="003C6287" w:rsidRDefault="003C6287" w:rsidP="00B96CCF">
            <w:pPr>
              <w:spacing w:after="0" w:line="240" w:lineRule="auto"/>
              <w:jc w:val="center"/>
              <w:rPr>
                <w:rFonts w:cs="Times New Roman"/>
                <w:color w:val="000000"/>
                <w:sz w:val="20"/>
                <w:szCs w:val="20"/>
              </w:rPr>
            </w:pPr>
            <w:r>
              <w:rPr>
                <w:rFonts w:cs="Times New Roman"/>
                <w:color w:val="000000"/>
                <w:sz w:val="20"/>
                <w:szCs w:val="20"/>
              </w:rPr>
              <w:t>0.190830865</w:t>
            </w:r>
          </w:p>
        </w:tc>
        <w:tc>
          <w:tcPr>
            <w:tcW w:w="1360" w:type="dxa"/>
            <w:tcBorders>
              <w:top w:val="nil"/>
              <w:left w:val="nil"/>
              <w:bottom w:val="single" w:sz="8" w:space="0" w:color="auto"/>
              <w:right w:val="nil"/>
            </w:tcBorders>
            <w:noWrap/>
            <w:vAlign w:val="bottom"/>
            <w:hideMark/>
          </w:tcPr>
          <w:p w14:paraId="1DBC1FC4" w14:textId="77777777" w:rsidR="003C6287" w:rsidRDefault="003C6287" w:rsidP="00B96CCF">
            <w:pPr>
              <w:spacing w:after="0" w:line="240" w:lineRule="auto"/>
              <w:jc w:val="center"/>
              <w:rPr>
                <w:rFonts w:cs="Times New Roman"/>
                <w:color w:val="000000"/>
                <w:sz w:val="20"/>
                <w:szCs w:val="20"/>
              </w:rPr>
            </w:pPr>
            <w:r>
              <w:rPr>
                <w:rFonts w:cs="Times New Roman"/>
                <w:color w:val="000000"/>
                <w:sz w:val="20"/>
                <w:szCs w:val="20"/>
              </w:rPr>
              <w:t>1.322265372</w:t>
            </w:r>
          </w:p>
        </w:tc>
        <w:tc>
          <w:tcPr>
            <w:tcW w:w="1591" w:type="dxa"/>
            <w:tcBorders>
              <w:top w:val="nil"/>
              <w:left w:val="single" w:sz="8" w:space="0" w:color="auto"/>
              <w:bottom w:val="single" w:sz="8" w:space="0" w:color="auto"/>
              <w:right w:val="single" w:sz="8" w:space="0" w:color="auto"/>
            </w:tcBorders>
            <w:noWrap/>
            <w:vAlign w:val="bottom"/>
            <w:hideMark/>
          </w:tcPr>
          <w:p w14:paraId="551B53E1" w14:textId="77777777" w:rsidR="003C6287" w:rsidRDefault="003C6287" w:rsidP="00B96CCF">
            <w:pPr>
              <w:spacing w:after="0" w:line="240" w:lineRule="auto"/>
              <w:jc w:val="center"/>
              <w:rPr>
                <w:rFonts w:cs="Times New Roman"/>
                <w:color w:val="000000"/>
                <w:sz w:val="20"/>
                <w:szCs w:val="20"/>
              </w:rPr>
            </w:pPr>
            <w:r>
              <w:rPr>
                <w:rFonts w:cs="Times New Roman"/>
                <w:color w:val="000000"/>
                <w:sz w:val="20"/>
                <w:szCs w:val="20"/>
              </w:rPr>
              <w:t>1.356173616</w:t>
            </w:r>
          </w:p>
        </w:tc>
        <w:tc>
          <w:tcPr>
            <w:tcW w:w="1382" w:type="dxa"/>
            <w:tcBorders>
              <w:top w:val="nil"/>
              <w:left w:val="nil"/>
              <w:bottom w:val="single" w:sz="8" w:space="0" w:color="auto"/>
              <w:right w:val="single" w:sz="8" w:space="0" w:color="auto"/>
            </w:tcBorders>
            <w:noWrap/>
            <w:vAlign w:val="bottom"/>
            <w:hideMark/>
          </w:tcPr>
          <w:p w14:paraId="146DC8FD" w14:textId="77777777" w:rsidR="003C6287" w:rsidRDefault="003C6287" w:rsidP="00B96CCF">
            <w:pPr>
              <w:spacing w:after="0" w:line="240" w:lineRule="auto"/>
              <w:jc w:val="center"/>
              <w:rPr>
                <w:rFonts w:cs="Times New Roman"/>
                <w:color w:val="000000"/>
                <w:sz w:val="20"/>
                <w:szCs w:val="20"/>
              </w:rPr>
            </w:pPr>
            <w:r>
              <w:rPr>
                <w:rFonts w:cs="Times New Roman"/>
                <w:color w:val="000000"/>
                <w:sz w:val="20"/>
                <w:szCs w:val="20"/>
              </w:rPr>
              <w:t>1.580766816</w:t>
            </w:r>
          </w:p>
        </w:tc>
      </w:tr>
    </w:tbl>
    <w:p w14:paraId="51E85322" w14:textId="77777777" w:rsidR="003C6287" w:rsidRDefault="003C6287" w:rsidP="003C6287"/>
    <w:p w14:paraId="58CA12E5" w14:textId="77777777" w:rsidR="00C13026" w:rsidRDefault="00C13026" w:rsidP="003C6287"/>
    <w:p w14:paraId="5B43C956" w14:textId="77777777" w:rsidR="00C13026" w:rsidRDefault="00C13026" w:rsidP="003C6287"/>
    <w:p w14:paraId="528FC288" w14:textId="77777777" w:rsidR="00C13026" w:rsidRDefault="00C13026" w:rsidP="003C6287"/>
    <w:p w14:paraId="7026B086" w14:textId="77777777" w:rsidR="00C13026" w:rsidRDefault="00C13026" w:rsidP="003C6287"/>
    <w:p w14:paraId="174EEBB5" w14:textId="77777777" w:rsidR="003C6287" w:rsidRDefault="003C6287" w:rsidP="003C6287">
      <w:pPr>
        <w:pStyle w:val="Caption"/>
        <w:keepNext/>
      </w:pPr>
      <w:r>
        <w:lastRenderedPageBreak/>
        <w:t xml:space="preserve">Table </w:t>
      </w:r>
      <w:r w:rsidR="00EC34E3">
        <w:fldChar w:fldCharType="begin"/>
      </w:r>
      <w:r w:rsidR="00EC34E3">
        <w:instrText xml:space="preserve"> SEQ Table \* ARABIC </w:instrText>
      </w:r>
      <w:r w:rsidR="00EC34E3">
        <w:fldChar w:fldCharType="separate"/>
      </w:r>
      <w:r w:rsidR="00B0578D">
        <w:rPr>
          <w:noProof/>
        </w:rPr>
        <w:t>11</w:t>
      </w:r>
      <w:r w:rsidR="00EC34E3">
        <w:rPr>
          <w:noProof/>
        </w:rPr>
        <w:fldChar w:fldCharType="end"/>
      </w:r>
      <w:r>
        <w:t xml:space="preserve"> Portfolio Risk Estimates – Service (weights: </w:t>
      </w:r>
      <w:r w:rsidRPr="00C10490">
        <w:t>Infosys</w:t>
      </w:r>
      <w:r>
        <w:t xml:space="preserve"> = .25, </w:t>
      </w:r>
      <w:r w:rsidRPr="00C10490">
        <w:t>Adani Ports</w:t>
      </w:r>
      <w:r>
        <w:t xml:space="preserve"> = .25, </w:t>
      </w:r>
      <w:r w:rsidRPr="00C10490">
        <w:t>Axis Bank</w:t>
      </w:r>
      <w:r>
        <w:t xml:space="preserve"> = .25 &amp; </w:t>
      </w:r>
      <w:r w:rsidRPr="00C10490">
        <w:t>Bharti Airtel</w:t>
      </w:r>
      <w:r>
        <w:t xml:space="preserve"> = .25)</w:t>
      </w:r>
    </w:p>
    <w:tbl>
      <w:tblPr>
        <w:tblW w:w="9465" w:type="dxa"/>
        <w:tblInd w:w="93" w:type="dxa"/>
        <w:tblLook w:val="04A0" w:firstRow="1" w:lastRow="0" w:firstColumn="1" w:lastColumn="0" w:noHBand="0" w:noVBand="1"/>
      </w:tblPr>
      <w:tblGrid>
        <w:gridCol w:w="906"/>
        <w:gridCol w:w="1601"/>
        <w:gridCol w:w="1281"/>
        <w:gridCol w:w="1281"/>
        <w:gridCol w:w="1426"/>
        <w:gridCol w:w="1620"/>
        <w:gridCol w:w="1350"/>
      </w:tblGrid>
      <w:tr w:rsidR="00876C49" w14:paraId="26B77E95" w14:textId="77777777" w:rsidTr="007C3910">
        <w:trPr>
          <w:trHeight w:val="609"/>
        </w:trPr>
        <w:tc>
          <w:tcPr>
            <w:tcW w:w="906" w:type="dxa"/>
            <w:tcBorders>
              <w:top w:val="single" w:sz="8" w:space="0" w:color="auto"/>
              <w:left w:val="single" w:sz="8" w:space="0" w:color="auto"/>
              <w:bottom w:val="single" w:sz="8" w:space="0" w:color="auto"/>
              <w:right w:val="single" w:sz="8" w:space="0" w:color="auto"/>
            </w:tcBorders>
            <w:noWrap/>
            <w:vAlign w:val="bottom"/>
            <w:hideMark/>
          </w:tcPr>
          <w:p w14:paraId="49B54F4D" w14:textId="77777777" w:rsidR="003C6287" w:rsidRDefault="003C6287" w:rsidP="00B96CCF">
            <w:pPr>
              <w:spacing w:after="0" w:line="240" w:lineRule="auto"/>
              <w:jc w:val="center"/>
              <w:rPr>
                <w:rFonts w:cs="Times New Roman"/>
                <w:b/>
                <w:bCs/>
                <w:sz w:val="20"/>
                <w:szCs w:val="20"/>
              </w:rPr>
            </w:pPr>
            <w:r>
              <w:rPr>
                <w:rFonts w:cs="Times New Roman"/>
                <w:b/>
                <w:bCs/>
                <w:sz w:val="20"/>
                <w:szCs w:val="20"/>
              </w:rPr>
              <w:t> </w:t>
            </w:r>
          </w:p>
        </w:tc>
        <w:tc>
          <w:tcPr>
            <w:tcW w:w="1601" w:type="dxa"/>
            <w:tcBorders>
              <w:top w:val="single" w:sz="8" w:space="0" w:color="auto"/>
              <w:left w:val="nil"/>
              <w:bottom w:val="single" w:sz="8" w:space="0" w:color="auto"/>
              <w:right w:val="single" w:sz="8" w:space="0" w:color="auto"/>
            </w:tcBorders>
            <w:noWrap/>
            <w:vAlign w:val="bottom"/>
            <w:hideMark/>
          </w:tcPr>
          <w:p w14:paraId="4BB020ED" w14:textId="77777777" w:rsidR="003C6287" w:rsidRDefault="003C6287" w:rsidP="00B96CCF">
            <w:pPr>
              <w:spacing w:after="0" w:line="240" w:lineRule="auto"/>
              <w:jc w:val="center"/>
              <w:rPr>
                <w:rFonts w:cs="Times New Roman"/>
                <w:b/>
                <w:bCs/>
                <w:sz w:val="20"/>
                <w:szCs w:val="20"/>
              </w:rPr>
            </w:pPr>
            <w:r>
              <w:rPr>
                <w:rFonts w:cs="Times New Roman"/>
                <w:b/>
                <w:bCs/>
                <w:sz w:val="20"/>
                <w:szCs w:val="20"/>
              </w:rPr>
              <w:t>Relative Spread</w:t>
            </w:r>
          </w:p>
        </w:tc>
        <w:tc>
          <w:tcPr>
            <w:tcW w:w="1281" w:type="dxa"/>
            <w:tcBorders>
              <w:top w:val="single" w:sz="8" w:space="0" w:color="auto"/>
              <w:left w:val="nil"/>
              <w:bottom w:val="single" w:sz="8" w:space="0" w:color="auto"/>
              <w:right w:val="nil"/>
            </w:tcBorders>
            <w:noWrap/>
            <w:vAlign w:val="bottom"/>
            <w:hideMark/>
          </w:tcPr>
          <w:p w14:paraId="3EEC09C7" w14:textId="77777777" w:rsidR="003C6287" w:rsidRDefault="003C6287" w:rsidP="00B96CCF">
            <w:pPr>
              <w:spacing w:after="0" w:line="240" w:lineRule="auto"/>
              <w:jc w:val="center"/>
              <w:rPr>
                <w:rFonts w:cs="Times New Roman"/>
                <w:b/>
                <w:bCs/>
                <w:sz w:val="20"/>
                <w:szCs w:val="20"/>
              </w:rPr>
            </w:pPr>
            <w:r>
              <w:rPr>
                <w:rFonts w:cs="Times New Roman"/>
                <w:b/>
                <w:bCs/>
                <w:sz w:val="20"/>
                <w:szCs w:val="20"/>
              </w:rPr>
              <w:t>Return</w:t>
            </w:r>
          </w:p>
        </w:tc>
        <w:tc>
          <w:tcPr>
            <w:tcW w:w="1281" w:type="dxa"/>
            <w:tcBorders>
              <w:top w:val="single" w:sz="8" w:space="0" w:color="auto"/>
              <w:left w:val="single" w:sz="8" w:space="0" w:color="auto"/>
              <w:bottom w:val="single" w:sz="8" w:space="0" w:color="auto"/>
              <w:right w:val="single" w:sz="8" w:space="0" w:color="auto"/>
            </w:tcBorders>
            <w:noWrap/>
            <w:vAlign w:val="bottom"/>
            <w:hideMark/>
          </w:tcPr>
          <w:p w14:paraId="003FDD6E" w14:textId="77777777" w:rsidR="003C6287" w:rsidRDefault="003C6287" w:rsidP="00B96CCF">
            <w:pPr>
              <w:spacing w:after="0" w:line="240" w:lineRule="auto"/>
              <w:jc w:val="center"/>
              <w:rPr>
                <w:rFonts w:cs="Times New Roman"/>
                <w:b/>
                <w:bCs/>
                <w:sz w:val="20"/>
                <w:szCs w:val="20"/>
              </w:rPr>
            </w:pPr>
            <w:r>
              <w:rPr>
                <w:rFonts w:cs="Times New Roman"/>
                <w:b/>
                <w:bCs/>
                <w:sz w:val="20"/>
                <w:szCs w:val="20"/>
              </w:rPr>
              <w:t>Skewness(S)</w:t>
            </w:r>
          </w:p>
        </w:tc>
        <w:tc>
          <w:tcPr>
            <w:tcW w:w="1426" w:type="dxa"/>
            <w:tcBorders>
              <w:top w:val="single" w:sz="8" w:space="0" w:color="auto"/>
              <w:left w:val="nil"/>
              <w:bottom w:val="single" w:sz="8" w:space="0" w:color="auto"/>
              <w:right w:val="nil"/>
            </w:tcBorders>
            <w:noWrap/>
            <w:vAlign w:val="bottom"/>
            <w:hideMark/>
          </w:tcPr>
          <w:p w14:paraId="2D1E790A" w14:textId="77777777" w:rsidR="003C6287" w:rsidRDefault="003C6287" w:rsidP="00B96CCF">
            <w:pPr>
              <w:spacing w:after="0" w:line="240" w:lineRule="auto"/>
              <w:jc w:val="center"/>
              <w:rPr>
                <w:rFonts w:cs="Times New Roman"/>
                <w:b/>
                <w:bCs/>
                <w:sz w:val="20"/>
                <w:szCs w:val="20"/>
              </w:rPr>
            </w:pPr>
            <w:r>
              <w:rPr>
                <w:rFonts w:cs="Times New Roman"/>
                <w:b/>
                <w:bCs/>
                <w:sz w:val="20"/>
                <w:szCs w:val="20"/>
              </w:rPr>
              <w:t>Kurtosis(S)</w:t>
            </w:r>
          </w:p>
        </w:tc>
        <w:tc>
          <w:tcPr>
            <w:tcW w:w="1620" w:type="dxa"/>
            <w:tcBorders>
              <w:top w:val="single" w:sz="8" w:space="0" w:color="auto"/>
              <w:left w:val="single" w:sz="8" w:space="0" w:color="auto"/>
              <w:bottom w:val="single" w:sz="8" w:space="0" w:color="auto"/>
              <w:right w:val="single" w:sz="8" w:space="0" w:color="auto"/>
            </w:tcBorders>
            <w:noWrap/>
            <w:vAlign w:val="bottom"/>
            <w:hideMark/>
          </w:tcPr>
          <w:p w14:paraId="05163155" w14:textId="77777777" w:rsidR="003C6287" w:rsidRDefault="003C6287" w:rsidP="00B96CCF">
            <w:pPr>
              <w:spacing w:after="0" w:line="240" w:lineRule="auto"/>
              <w:jc w:val="center"/>
              <w:rPr>
                <w:rFonts w:cs="Times New Roman"/>
                <w:b/>
                <w:bCs/>
                <w:sz w:val="20"/>
                <w:szCs w:val="20"/>
              </w:rPr>
            </w:pPr>
            <w:r>
              <w:rPr>
                <w:rFonts w:cs="Times New Roman"/>
                <w:b/>
                <w:bCs/>
                <w:sz w:val="20"/>
                <w:szCs w:val="20"/>
              </w:rPr>
              <w:t>Skewness (R)</w:t>
            </w:r>
          </w:p>
        </w:tc>
        <w:tc>
          <w:tcPr>
            <w:tcW w:w="1350" w:type="dxa"/>
            <w:tcBorders>
              <w:top w:val="single" w:sz="8" w:space="0" w:color="auto"/>
              <w:left w:val="nil"/>
              <w:bottom w:val="single" w:sz="8" w:space="0" w:color="auto"/>
              <w:right w:val="single" w:sz="8" w:space="0" w:color="auto"/>
            </w:tcBorders>
            <w:noWrap/>
            <w:vAlign w:val="bottom"/>
            <w:hideMark/>
          </w:tcPr>
          <w:p w14:paraId="3F6F2A53" w14:textId="77777777" w:rsidR="003C6287" w:rsidRDefault="003C6287" w:rsidP="00B96CCF">
            <w:pPr>
              <w:spacing w:after="0" w:line="240" w:lineRule="auto"/>
              <w:jc w:val="center"/>
              <w:rPr>
                <w:rFonts w:cs="Times New Roman"/>
                <w:b/>
                <w:bCs/>
                <w:sz w:val="20"/>
                <w:szCs w:val="20"/>
              </w:rPr>
            </w:pPr>
            <w:r>
              <w:rPr>
                <w:rFonts w:cs="Times New Roman"/>
                <w:b/>
                <w:bCs/>
                <w:sz w:val="20"/>
                <w:szCs w:val="20"/>
              </w:rPr>
              <w:t>Kurtosis (R)</w:t>
            </w:r>
          </w:p>
        </w:tc>
      </w:tr>
      <w:tr w:rsidR="00876C49" w14:paraId="09F1715C" w14:textId="77777777" w:rsidTr="007C3910">
        <w:trPr>
          <w:trHeight w:val="578"/>
        </w:trPr>
        <w:tc>
          <w:tcPr>
            <w:tcW w:w="906" w:type="dxa"/>
            <w:tcBorders>
              <w:top w:val="nil"/>
              <w:left w:val="single" w:sz="8" w:space="0" w:color="auto"/>
              <w:bottom w:val="nil"/>
              <w:right w:val="single" w:sz="8" w:space="0" w:color="auto"/>
            </w:tcBorders>
            <w:noWrap/>
            <w:vAlign w:val="bottom"/>
            <w:hideMark/>
          </w:tcPr>
          <w:p w14:paraId="687FD818" w14:textId="77777777" w:rsidR="003C6287" w:rsidRDefault="003C6287" w:rsidP="00B96CCF">
            <w:pPr>
              <w:spacing w:after="0" w:line="240" w:lineRule="auto"/>
              <w:rPr>
                <w:rFonts w:cs="Times New Roman"/>
                <w:b/>
                <w:bCs/>
                <w:sz w:val="20"/>
                <w:szCs w:val="20"/>
              </w:rPr>
            </w:pPr>
            <w:r>
              <w:rPr>
                <w:rFonts w:cs="Times New Roman"/>
                <w:b/>
                <w:bCs/>
                <w:sz w:val="20"/>
                <w:szCs w:val="20"/>
              </w:rPr>
              <w:t>Mean</w:t>
            </w:r>
          </w:p>
        </w:tc>
        <w:tc>
          <w:tcPr>
            <w:tcW w:w="1601" w:type="dxa"/>
            <w:tcBorders>
              <w:top w:val="nil"/>
              <w:left w:val="nil"/>
              <w:bottom w:val="nil"/>
              <w:right w:val="single" w:sz="8" w:space="0" w:color="auto"/>
            </w:tcBorders>
            <w:noWrap/>
            <w:vAlign w:val="bottom"/>
            <w:hideMark/>
          </w:tcPr>
          <w:p w14:paraId="0B91F2E1" w14:textId="77777777" w:rsidR="003C6287" w:rsidRPr="00BC6489" w:rsidRDefault="003C6287" w:rsidP="00B96CCF">
            <w:pPr>
              <w:spacing w:after="0" w:line="240" w:lineRule="auto"/>
              <w:jc w:val="center"/>
              <w:rPr>
                <w:rFonts w:cs="Times New Roman"/>
                <w:bCs/>
                <w:sz w:val="20"/>
                <w:szCs w:val="20"/>
              </w:rPr>
            </w:pPr>
            <w:r w:rsidRPr="00BC6489">
              <w:rPr>
                <w:rFonts w:cs="Times New Roman"/>
                <w:bCs/>
                <w:sz w:val="20"/>
                <w:szCs w:val="20"/>
              </w:rPr>
              <w:t>0.0741</w:t>
            </w:r>
          </w:p>
        </w:tc>
        <w:tc>
          <w:tcPr>
            <w:tcW w:w="1281" w:type="dxa"/>
            <w:noWrap/>
            <w:vAlign w:val="bottom"/>
            <w:hideMark/>
          </w:tcPr>
          <w:p w14:paraId="791F5343" w14:textId="77777777" w:rsidR="003C6287" w:rsidRPr="00BC6489" w:rsidRDefault="003C6287" w:rsidP="00B96CCF">
            <w:pPr>
              <w:spacing w:after="0" w:line="240" w:lineRule="auto"/>
              <w:jc w:val="center"/>
              <w:rPr>
                <w:rFonts w:cs="Times New Roman"/>
                <w:bCs/>
                <w:sz w:val="20"/>
                <w:szCs w:val="20"/>
              </w:rPr>
            </w:pPr>
            <w:r w:rsidRPr="00BC6489">
              <w:rPr>
                <w:rFonts w:cs="Times New Roman"/>
                <w:bCs/>
                <w:sz w:val="20"/>
                <w:szCs w:val="20"/>
              </w:rPr>
              <w:t>0.000435111</w:t>
            </w:r>
          </w:p>
        </w:tc>
        <w:tc>
          <w:tcPr>
            <w:tcW w:w="1281" w:type="dxa"/>
            <w:tcBorders>
              <w:top w:val="nil"/>
              <w:left w:val="single" w:sz="8" w:space="0" w:color="auto"/>
              <w:bottom w:val="nil"/>
              <w:right w:val="single" w:sz="8" w:space="0" w:color="auto"/>
            </w:tcBorders>
            <w:noWrap/>
            <w:vAlign w:val="bottom"/>
            <w:hideMark/>
          </w:tcPr>
          <w:p w14:paraId="41CA3404" w14:textId="77777777" w:rsidR="003C6287" w:rsidRPr="00BC6489" w:rsidRDefault="003C6287" w:rsidP="00B96CCF">
            <w:pPr>
              <w:spacing w:after="0" w:line="240" w:lineRule="auto"/>
              <w:jc w:val="center"/>
              <w:rPr>
                <w:rFonts w:cs="Times New Roman"/>
                <w:bCs/>
                <w:sz w:val="20"/>
                <w:szCs w:val="20"/>
              </w:rPr>
            </w:pPr>
            <w:r w:rsidRPr="00BC6489">
              <w:rPr>
                <w:rFonts w:cs="Times New Roman"/>
                <w:bCs/>
                <w:sz w:val="20"/>
                <w:szCs w:val="20"/>
              </w:rPr>
              <w:t>1.714800637</w:t>
            </w:r>
          </w:p>
        </w:tc>
        <w:tc>
          <w:tcPr>
            <w:tcW w:w="1426" w:type="dxa"/>
            <w:noWrap/>
            <w:vAlign w:val="bottom"/>
            <w:hideMark/>
          </w:tcPr>
          <w:p w14:paraId="053A4EE7" w14:textId="77777777" w:rsidR="003C6287" w:rsidRPr="00BC6489" w:rsidRDefault="003C6287" w:rsidP="00B96CCF">
            <w:pPr>
              <w:spacing w:after="0" w:line="240" w:lineRule="auto"/>
              <w:jc w:val="center"/>
              <w:rPr>
                <w:rFonts w:cs="Times New Roman"/>
                <w:bCs/>
                <w:sz w:val="20"/>
                <w:szCs w:val="20"/>
              </w:rPr>
            </w:pPr>
            <w:r w:rsidRPr="00BC6489">
              <w:rPr>
                <w:rFonts w:cs="Times New Roman"/>
                <w:bCs/>
                <w:sz w:val="20"/>
                <w:szCs w:val="20"/>
              </w:rPr>
              <w:t>6.503649642</w:t>
            </w:r>
          </w:p>
        </w:tc>
        <w:tc>
          <w:tcPr>
            <w:tcW w:w="1620" w:type="dxa"/>
            <w:tcBorders>
              <w:top w:val="nil"/>
              <w:left w:val="single" w:sz="8" w:space="0" w:color="auto"/>
              <w:bottom w:val="nil"/>
              <w:right w:val="single" w:sz="8" w:space="0" w:color="auto"/>
            </w:tcBorders>
            <w:noWrap/>
            <w:vAlign w:val="bottom"/>
            <w:hideMark/>
          </w:tcPr>
          <w:p w14:paraId="28F1B867" w14:textId="77777777" w:rsidR="003C6287" w:rsidRPr="00BC6489" w:rsidRDefault="003C6287" w:rsidP="00B96CCF">
            <w:pPr>
              <w:spacing w:after="0" w:line="240" w:lineRule="auto"/>
              <w:jc w:val="center"/>
              <w:rPr>
                <w:rFonts w:cs="Times New Roman"/>
                <w:bCs/>
                <w:sz w:val="20"/>
                <w:szCs w:val="20"/>
              </w:rPr>
            </w:pPr>
            <w:r w:rsidRPr="00BC6489">
              <w:rPr>
                <w:rFonts w:cs="Times New Roman"/>
                <w:bCs/>
                <w:sz w:val="20"/>
                <w:szCs w:val="20"/>
              </w:rPr>
              <w:t>-0.653438834</w:t>
            </w:r>
          </w:p>
        </w:tc>
        <w:tc>
          <w:tcPr>
            <w:tcW w:w="1350" w:type="dxa"/>
            <w:tcBorders>
              <w:top w:val="nil"/>
              <w:left w:val="nil"/>
              <w:bottom w:val="nil"/>
              <w:right w:val="single" w:sz="8" w:space="0" w:color="auto"/>
            </w:tcBorders>
            <w:noWrap/>
            <w:vAlign w:val="bottom"/>
            <w:hideMark/>
          </w:tcPr>
          <w:p w14:paraId="5C3C2201" w14:textId="77777777" w:rsidR="003C6287" w:rsidRPr="00BC6489" w:rsidRDefault="003C6287" w:rsidP="00B96CCF">
            <w:pPr>
              <w:spacing w:after="0" w:line="240" w:lineRule="auto"/>
              <w:jc w:val="center"/>
              <w:rPr>
                <w:rFonts w:cs="Times New Roman"/>
                <w:bCs/>
                <w:sz w:val="20"/>
                <w:szCs w:val="20"/>
              </w:rPr>
            </w:pPr>
            <w:r w:rsidRPr="00BC6489">
              <w:rPr>
                <w:rFonts w:cs="Times New Roman"/>
                <w:bCs/>
                <w:sz w:val="20"/>
                <w:szCs w:val="20"/>
              </w:rPr>
              <w:t>5.888855817</w:t>
            </w:r>
          </w:p>
        </w:tc>
      </w:tr>
      <w:tr w:rsidR="00876C49" w14:paraId="6325BEA8" w14:textId="77777777" w:rsidTr="007C3910">
        <w:trPr>
          <w:trHeight w:val="578"/>
        </w:trPr>
        <w:tc>
          <w:tcPr>
            <w:tcW w:w="906" w:type="dxa"/>
            <w:tcBorders>
              <w:top w:val="nil"/>
              <w:left w:val="single" w:sz="8" w:space="0" w:color="auto"/>
              <w:bottom w:val="nil"/>
              <w:right w:val="single" w:sz="8" w:space="0" w:color="auto"/>
            </w:tcBorders>
            <w:noWrap/>
            <w:vAlign w:val="bottom"/>
            <w:hideMark/>
          </w:tcPr>
          <w:p w14:paraId="0E96869B" w14:textId="77777777" w:rsidR="003C6287" w:rsidRDefault="003C6287" w:rsidP="00B96CCF">
            <w:pPr>
              <w:spacing w:after="0" w:line="240" w:lineRule="auto"/>
              <w:rPr>
                <w:rFonts w:cs="Times New Roman"/>
                <w:b/>
                <w:bCs/>
                <w:sz w:val="20"/>
                <w:szCs w:val="20"/>
              </w:rPr>
            </w:pPr>
            <w:r>
              <w:rPr>
                <w:rFonts w:cs="Times New Roman"/>
                <w:b/>
                <w:bCs/>
                <w:sz w:val="20"/>
                <w:szCs w:val="20"/>
              </w:rPr>
              <w:t>Median</w:t>
            </w:r>
          </w:p>
        </w:tc>
        <w:tc>
          <w:tcPr>
            <w:tcW w:w="1601" w:type="dxa"/>
            <w:tcBorders>
              <w:top w:val="nil"/>
              <w:left w:val="nil"/>
              <w:bottom w:val="nil"/>
              <w:right w:val="single" w:sz="8" w:space="0" w:color="auto"/>
            </w:tcBorders>
            <w:noWrap/>
            <w:vAlign w:val="bottom"/>
            <w:hideMark/>
          </w:tcPr>
          <w:p w14:paraId="3FB693EB" w14:textId="77777777" w:rsidR="003C6287" w:rsidRPr="00BC6489" w:rsidRDefault="003C6287" w:rsidP="00B96CCF">
            <w:pPr>
              <w:spacing w:after="0" w:line="240" w:lineRule="auto"/>
              <w:jc w:val="center"/>
              <w:rPr>
                <w:rFonts w:cs="Times New Roman"/>
                <w:bCs/>
                <w:sz w:val="20"/>
                <w:szCs w:val="20"/>
              </w:rPr>
            </w:pPr>
            <w:r w:rsidRPr="00BC6489">
              <w:rPr>
                <w:rFonts w:cs="Times New Roman"/>
                <w:bCs/>
                <w:sz w:val="20"/>
                <w:szCs w:val="20"/>
              </w:rPr>
              <w:t>0.06701</w:t>
            </w:r>
          </w:p>
        </w:tc>
        <w:tc>
          <w:tcPr>
            <w:tcW w:w="1281" w:type="dxa"/>
            <w:noWrap/>
            <w:vAlign w:val="bottom"/>
            <w:hideMark/>
          </w:tcPr>
          <w:p w14:paraId="5A556D45" w14:textId="77777777" w:rsidR="003C6287" w:rsidRPr="00BC6489" w:rsidRDefault="003C6287" w:rsidP="00B96CCF">
            <w:pPr>
              <w:spacing w:after="0" w:line="240" w:lineRule="auto"/>
              <w:jc w:val="center"/>
              <w:rPr>
                <w:rFonts w:cs="Times New Roman"/>
                <w:bCs/>
                <w:sz w:val="20"/>
                <w:szCs w:val="20"/>
              </w:rPr>
            </w:pPr>
            <w:r w:rsidRPr="00BC6489">
              <w:rPr>
                <w:rFonts w:cs="Times New Roman"/>
                <w:bCs/>
                <w:sz w:val="20"/>
                <w:szCs w:val="20"/>
              </w:rPr>
              <w:t>0.000322182</w:t>
            </w:r>
          </w:p>
        </w:tc>
        <w:tc>
          <w:tcPr>
            <w:tcW w:w="1281" w:type="dxa"/>
            <w:tcBorders>
              <w:top w:val="nil"/>
              <w:left w:val="single" w:sz="8" w:space="0" w:color="auto"/>
              <w:bottom w:val="nil"/>
              <w:right w:val="single" w:sz="8" w:space="0" w:color="auto"/>
            </w:tcBorders>
            <w:noWrap/>
            <w:vAlign w:val="bottom"/>
            <w:hideMark/>
          </w:tcPr>
          <w:p w14:paraId="1A4DD42C" w14:textId="77777777" w:rsidR="003C6287" w:rsidRPr="00BC6489" w:rsidRDefault="003C6287" w:rsidP="00B96CCF">
            <w:pPr>
              <w:spacing w:after="0" w:line="240" w:lineRule="auto"/>
              <w:jc w:val="center"/>
              <w:rPr>
                <w:rFonts w:cs="Times New Roman"/>
                <w:bCs/>
                <w:sz w:val="20"/>
                <w:szCs w:val="20"/>
              </w:rPr>
            </w:pPr>
            <w:r w:rsidRPr="00BC6489">
              <w:rPr>
                <w:rFonts w:cs="Times New Roman"/>
                <w:bCs/>
                <w:sz w:val="20"/>
                <w:szCs w:val="20"/>
              </w:rPr>
              <w:t>1.710293617</w:t>
            </w:r>
          </w:p>
        </w:tc>
        <w:tc>
          <w:tcPr>
            <w:tcW w:w="1426" w:type="dxa"/>
            <w:noWrap/>
            <w:vAlign w:val="bottom"/>
            <w:hideMark/>
          </w:tcPr>
          <w:p w14:paraId="36D1693D" w14:textId="77777777" w:rsidR="003C6287" w:rsidRPr="00BC6489" w:rsidRDefault="003C6287" w:rsidP="00B96CCF">
            <w:pPr>
              <w:spacing w:after="0" w:line="240" w:lineRule="auto"/>
              <w:jc w:val="center"/>
              <w:rPr>
                <w:rFonts w:cs="Times New Roman"/>
                <w:bCs/>
                <w:sz w:val="20"/>
                <w:szCs w:val="20"/>
              </w:rPr>
            </w:pPr>
            <w:r w:rsidRPr="00BC6489">
              <w:rPr>
                <w:rFonts w:cs="Times New Roman"/>
                <w:bCs/>
                <w:sz w:val="20"/>
                <w:szCs w:val="20"/>
              </w:rPr>
              <w:t>7.150128066</w:t>
            </w:r>
          </w:p>
        </w:tc>
        <w:tc>
          <w:tcPr>
            <w:tcW w:w="1620" w:type="dxa"/>
            <w:tcBorders>
              <w:top w:val="nil"/>
              <w:left w:val="single" w:sz="8" w:space="0" w:color="auto"/>
              <w:bottom w:val="nil"/>
              <w:right w:val="single" w:sz="8" w:space="0" w:color="auto"/>
            </w:tcBorders>
            <w:noWrap/>
            <w:vAlign w:val="bottom"/>
            <w:hideMark/>
          </w:tcPr>
          <w:p w14:paraId="1ABF070E" w14:textId="77777777" w:rsidR="003C6287" w:rsidRPr="00BC6489" w:rsidRDefault="003C6287" w:rsidP="00B96CCF">
            <w:pPr>
              <w:spacing w:after="0" w:line="240" w:lineRule="auto"/>
              <w:jc w:val="center"/>
              <w:rPr>
                <w:rFonts w:cs="Times New Roman"/>
                <w:bCs/>
                <w:sz w:val="20"/>
                <w:szCs w:val="20"/>
              </w:rPr>
            </w:pPr>
            <w:r w:rsidRPr="00BC6489">
              <w:rPr>
                <w:rFonts w:cs="Times New Roman"/>
                <w:bCs/>
                <w:sz w:val="20"/>
                <w:szCs w:val="20"/>
              </w:rPr>
              <w:t>-0.400893165</w:t>
            </w:r>
          </w:p>
        </w:tc>
        <w:tc>
          <w:tcPr>
            <w:tcW w:w="1350" w:type="dxa"/>
            <w:tcBorders>
              <w:top w:val="nil"/>
              <w:left w:val="nil"/>
              <w:bottom w:val="nil"/>
              <w:right w:val="single" w:sz="8" w:space="0" w:color="auto"/>
            </w:tcBorders>
            <w:noWrap/>
            <w:vAlign w:val="bottom"/>
            <w:hideMark/>
          </w:tcPr>
          <w:p w14:paraId="2D7E58E9" w14:textId="77777777" w:rsidR="003C6287" w:rsidRPr="00BC6489" w:rsidRDefault="003C6287" w:rsidP="00B96CCF">
            <w:pPr>
              <w:spacing w:after="0" w:line="240" w:lineRule="auto"/>
              <w:jc w:val="center"/>
              <w:rPr>
                <w:rFonts w:cs="Times New Roman"/>
                <w:bCs/>
                <w:sz w:val="20"/>
                <w:szCs w:val="20"/>
              </w:rPr>
            </w:pPr>
            <w:r w:rsidRPr="00BC6489">
              <w:rPr>
                <w:rFonts w:cs="Times New Roman"/>
                <w:bCs/>
                <w:sz w:val="20"/>
                <w:szCs w:val="20"/>
              </w:rPr>
              <w:t>1.650917704</w:t>
            </w:r>
          </w:p>
        </w:tc>
      </w:tr>
      <w:tr w:rsidR="00876C49" w14:paraId="5BB7606F" w14:textId="77777777" w:rsidTr="007C3910">
        <w:trPr>
          <w:trHeight w:val="578"/>
        </w:trPr>
        <w:tc>
          <w:tcPr>
            <w:tcW w:w="906" w:type="dxa"/>
            <w:tcBorders>
              <w:top w:val="nil"/>
              <w:left w:val="single" w:sz="8" w:space="0" w:color="auto"/>
              <w:bottom w:val="nil"/>
              <w:right w:val="single" w:sz="8" w:space="0" w:color="auto"/>
            </w:tcBorders>
            <w:noWrap/>
            <w:vAlign w:val="bottom"/>
            <w:hideMark/>
          </w:tcPr>
          <w:p w14:paraId="3A100EF8" w14:textId="77777777" w:rsidR="003C6287" w:rsidRDefault="003C6287" w:rsidP="00B96CCF">
            <w:pPr>
              <w:spacing w:after="0" w:line="240" w:lineRule="auto"/>
              <w:rPr>
                <w:rFonts w:cs="Times New Roman"/>
                <w:b/>
                <w:bCs/>
                <w:sz w:val="20"/>
                <w:szCs w:val="20"/>
              </w:rPr>
            </w:pPr>
            <w:r>
              <w:rPr>
                <w:rFonts w:cs="Times New Roman"/>
                <w:b/>
                <w:bCs/>
                <w:sz w:val="20"/>
                <w:szCs w:val="20"/>
              </w:rPr>
              <w:t>Std Dev.</w:t>
            </w:r>
          </w:p>
        </w:tc>
        <w:tc>
          <w:tcPr>
            <w:tcW w:w="1601" w:type="dxa"/>
            <w:tcBorders>
              <w:top w:val="nil"/>
              <w:left w:val="nil"/>
              <w:bottom w:val="nil"/>
              <w:right w:val="single" w:sz="8" w:space="0" w:color="auto"/>
            </w:tcBorders>
            <w:noWrap/>
            <w:vAlign w:val="bottom"/>
            <w:hideMark/>
          </w:tcPr>
          <w:p w14:paraId="151B1511" w14:textId="77777777" w:rsidR="003C6287" w:rsidRPr="00BC6489" w:rsidRDefault="003C6287" w:rsidP="00B96CCF">
            <w:pPr>
              <w:spacing w:after="0" w:line="240" w:lineRule="auto"/>
              <w:jc w:val="center"/>
              <w:rPr>
                <w:rFonts w:cs="Times New Roman"/>
                <w:bCs/>
                <w:sz w:val="20"/>
                <w:szCs w:val="20"/>
              </w:rPr>
            </w:pPr>
            <w:r w:rsidRPr="00BC6489">
              <w:rPr>
                <w:rFonts w:cs="Times New Roman"/>
                <w:bCs/>
                <w:sz w:val="20"/>
                <w:szCs w:val="20"/>
              </w:rPr>
              <w:t>0.03893</w:t>
            </w:r>
          </w:p>
        </w:tc>
        <w:tc>
          <w:tcPr>
            <w:tcW w:w="1281" w:type="dxa"/>
            <w:noWrap/>
            <w:vAlign w:val="bottom"/>
            <w:hideMark/>
          </w:tcPr>
          <w:p w14:paraId="4B03DFE7" w14:textId="77777777" w:rsidR="003C6287" w:rsidRPr="00BC6489" w:rsidRDefault="003C6287" w:rsidP="00B96CCF">
            <w:pPr>
              <w:spacing w:after="0" w:line="240" w:lineRule="auto"/>
              <w:jc w:val="center"/>
              <w:rPr>
                <w:rFonts w:cs="Times New Roman"/>
                <w:bCs/>
                <w:sz w:val="20"/>
                <w:szCs w:val="20"/>
              </w:rPr>
            </w:pPr>
            <w:r w:rsidRPr="00BC6489">
              <w:rPr>
                <w:rFonts w:cs="Times New Roman"/>
                <w:bCs/>
                <w:sz w:val="20"/>
                <w:szCs w:val="20"/>
              </w:rPr>
              <w:t>0.013166059</w:t>
            </w:r>
          </w:p>
        </w:tc>
        <w:tc>
          <w:tcPr>
            <w:tcW w:w="1281" w:type="dxa"/>
            <w:tcBorders>
              <w:top w:val="nil"/>
              <w:left w:val="single" w:sz="8" w:space="0" w:color="auto"/>
              <w:bottom w:val="nil"/>
              <w:right w:val="single" w:sz="8" w:space="0" w:color="auto"/>
            </w:tcBorders>
            <w:noWrap/>
            <w:vAlign w:val="bottom"/>
            <w:hideMark/>
          </w:tcPr>
          <w:p w14:paraId="6EB179A1" w14:textId="77777777" w:rsidR="003C6287" w:rsidRPr="00BC6489" w:rsidRDefault="003C6287" w:rsidP="00B96CCF">
            <w:pPr>
              <w:spacing w:after="0" w:line="240" w:lineRule="auto"/>
              <w:jc w:val="center"/>
              <w:rPr>
                <w:rFonts w:cs="Times New Roman"/>
                <w:bCs/>
                <w:sz w:val="20"/>
                <w:szCs w:val="20"/>
              </w:rPr>
            </w:pPr>
            <w:r w:rsidRPr="00BC6489">
              <w:rPr>
                <w:rFonts w:cs="Times New Roman"/>
                <w:bCs/>
                <w:sz w:val="20"/>
                <w:szCs w:val="20"/>
              </w:rPr>
              <w:t>0.689939776</w:t>
            </w:r>
          </w:p>
        </w:tc>
        <w:tc>
          <w:tcPr>
            <w:tcW w:w="1426" w:type="dxa"/>
            <w:noWrap/>
            <w:vAlign w:val="bottom"/>
            <w:hideMark/>
          </w:tcPr>
          <w:p w14:paraId="29941817" w14:textId="77777777" w:rsidR="003C6287" w:rsidRPr="00BC6489" w:rsidRDefault="003C6287" w:rsidP="00B96CCF">
            <w:pPr>
              <w:spacing w:after="0" w:line="240" w:lineRule="auto"/>
              <w:jc w:val="center"/>
              <w:rPr>
                <w:rFonts w:cs="Times New Roman"/>
                <w:bCs/>
                <w:sz w:val="20"/>
                <w:szCs w:val="20"/>
              </w:rPr>
            </w:pPr>
            <w:r w:rsidRPr="00BC6489">
              <w:rPr>
                <w:rFonts w:cs="Times New Roman"/>
                <w:bCs/>
                <w:sz w:val="20"/>
                <w:szCs w:val="20"/>
              </w:rPr>
              <w:t>5.484808131</w:t>
            </w:r>
          </w:p>
        </w:tc>
        <w:tc>
          <w:tcPr>
            <w:tcW w:w="1620" w:type="dxa"/>
            <w:tcBorders>
              <w:top w:val="nil"/>
              <w:left w:val="single" w:sz="8" w:space="0" w:color="auto"/>
              <w:bottom w:val="nil"/>
              <w:right w:val="single" w:sz="8" w:space="0" w:color="auto"/>
            </w:tcBorders>
            <w:noWrap/>
            <w:vAlign w:val="bottom"/>
            <w:hideMark/>
          </w:tcPr>
          <w:p w14:paraId="316CF4E9" w14:textId="77777777" w:rsidR="003C6287" w:rsidRPr="00BC6489" w:rsidRDefault="003C6287" w:rsidP="00B96CCF">
            <w:pPr>
              <w:spacing w:after="0" w:line="240" w:lineRule="auto"/>
              <w:jc w:val="center"/>
              <w:rPr>
                <w:rFonts w:cs="Times New Roman"/>
                <w:bCs/>
                <w:sz w:val="20"/>
                <w:szCs w:val="20"/>
              </w:rPr>
            </w:pPr>
            <w:r w:rsidRPr="00BC6489">
              <w:rPr>
                <w:rFonts w:cs="Times New Roman"/>
                <w:bCs/>
                <w:sz w:val="20"/>
                <w:szCs w:val="20"/>
              </w:rPr>
              <w:t>0.547232875</w:t>
            </w:r>
          </w:p>
        </w:tc>
        <w:tc>
          <w:tcPr>
            <w:tcW w:w="1350" w:type="dxa"/>
            <w:tcBorders>
              <w:top w:val="nil"/>
              <w:left w:val="nil"/>
              <w:bottom w:val="nil"/>
              <w:right w:val="single" w:sz="8" w:space="0" w:color="auto"/>
            </w:tcBorders>
            <w:noWrap/>
            <w:vAlign w:val="bottom"/>
            <w:hideMark/>
          </w:tcPr>
          <w:p w14:paraId="3BFC5E38" w14:textId="77777777" w:rsidR="003C6287" w:rsidRPr="00BC6489" w:rsidRDefault="003C6287" w:rsidP="00B96CCF">
            <w:pPr>
              <w:spacing w:after="0" w:line="240" w:lineRule="auto"/>
              <w:jc w:val="center"/>
              <w:rPr>
                <w:rFonts w:cs="Times New Roman"/>
                <w:bCs/>
                <w:sz w:val="20"/>
                <w:szCs w:val="20"/>
              </w:rPr>
            </w:pPr>
            <w:r w:rsidRPr="00BC6489">
              <w:rPr>
                <w:rFonts w:cs="Times New Roman"/>
                <w:bCs/>
                <w:sz w:val="20"/>
                <w:szCs w:val="20"/>
              </w:rPr>
              <w:t>7.068327307</w:t>
            </w:r>
          </w:p>
        </w:tc>
      </w:tr>
      <w:tr w:rsidR="00876C49" w14:paraId="1C1A8C18" w14:textId="77777777" w:rsidTr="007C3910">
        <w:trPr>
          <w:trHeight w:val="609"/>
        </w:trPr>
        <w:tc>
          <w:tcPr>
            <w:tcW w:w="906" w:type="dxa"/>
            <w:tcBorders>
              <w:top w:val="nil"/>
              <w:left w:val="single" w:sz="8" w:space="0" w:color="auto"/>
              <w:bottom w:val="nil"/>
              <w:right w:val="single" w:sz="8" w:space="0" w:color="auto"/>
            </w:tcBorders>
            <w:noWrap/>
            <w:vAlign w:val="bottom"/>
            <w:hideMark/>
          </w:tcPr>
          <w:p w14:paraId="24FB7737" w14:textId="77777777" w:rsidR="003C6287" w:rsidRDefault="003C6287" w:rsidP="00B96CCF">
            <w:pPr>
              <w:spacing w:after="0" w:line="240" w:lineRule="auto"/>
              <w:rPr>
                <w:rFonts w:cs="Times New Roman"/>
                <w:b/>
                <w:bCs/>
                <w:sz w:val="20"/>
                <w:szCs w:val="20"/>
              </w:rPr>
            </w:pPr>
            <w:r>
              <w:rPr>
                <w:rFonts w:cs="Times New Roman"/>
                <w:b/>
                <w:bCs/>
                <w:sz w:val="20"/>
                <w:szCs w:val="20"/>
              </w:rPr>
              <w:t> </w:t>
            </w:r>
          </w:p>
        </w:tc>
        <w:tc>
          <w:tcPr>
            <w:tcW w:w="1601" w:type="dxa"/>
            <w:tcBorders>
              <w:top w:val="nil"/>
              <w:left w:val="nil"/>
              <w:bottom w:val="nil"/>
              <w:right w:val="single" w:sz="8" w:space="0" w:color="auto"/>
            </w:tcBorders>
            <w:noWrap/>
            <w:vAlign w:val="bottom"/>
            <w:hideMark/>
          </w:tcPr>
          <w:p w14:paraId="5E193A3E" w14:textId="77777777" w:rsidR="003C6287" w:rsidRPr="00BC6489" w:rsidRDefault="003C6287" w:rsidP="00B96CCF">
            <w:pPr>
              <w:spacing w:after="0" w:line="240" w:lineRule="auto"/>
              <w:jc w:val="center"/>
              <w:rPr>
                <w:rFonts w:cs="Times New Roman"/>
                <w:bCs/>
                <w:sz w:val="20"/>
                <w:szCs w:val="20"/>
              </w:rPr>
            </w:pPr>
            <w:r w:rsidRPr="00BC6489">
              <w:rPr>
                <w:rFonts w:cs="Times New Roman"/>
                <w:bCs/>
                <w:sz w:val="20"/>
                <w:szCs w:val="20"/>
              </w:rPr>
              <w:t> </w:t>
            </w:r>
          </w:p>
        </w:tc>
        <w:tc>
          <w:tcPr>
            <w:tcW w:w="1281" w:type="dxa"/>
            <w:noWrap/>
            <w:vAlign w:val="bottom"/>
            <w:hideMark/>
          </w:tcPr>
          <w:p w14:paraId="08DC3E62" w14:textId="77777777" w:rsidR="003C6287" w:rsidRPr="00BC6489" w:rsidRDefault="003C6287" w:rsidP="00B96CCF">
            <w:pPr>
              <w:spacing w:after="0"/>
              <w:rPr>
                <w:rFonts w:asciiTheme="minorHAnsi" w:eastAsiaTheme="minorHAnsi" w:hAnsiTheme="minorHAnsi" w:cs="Times New Roman"/>
              </w:rPr>
            </w:pPr>
          </w:p>
        </w:tc>
        <w:tc>
          <w:tcPr>
            <w:tcW w:w="1281" w:type="dxa"/>
            <w:tcBorders>
              <w:top w:val="nil"/>
              <w:left w:val="single" w:sz="8" w:space="0" w:color="auto"/>
              <w:bottom w:val="nil"/>
              <w:right w:val="single" w:sz="8" w:space="0" w:color="auto"/>
            </w:tcBorders>
            <w:noWrap/>
            <w:vAlign w:val="bottom"/>
            <w:hideMark/>
          </w:tcPr>
          <w:p w14:paraId="0451F1A0" w14:textId="77777777" w:rsidR="003C6287" w:rsidRPr="00BC6489" w:rsidRDefault="003C6287" w:rsidP="00B96CCF">
            <w:pPr>
              <w:spacing w:after="0" w:line="240" w:lineRule="auto"/>
              <w:jc w:val="center"/>
              <w:rPr>
                <w:rFonts w:cs="Times New Roman"/>
                <w:bCs/>
                <w:sz w:val="20"/>
                <w:szCs w:val="20"/>
              </w:rPr>
            </w:pPr>
            <w:r w:rsidRPr="00BC6489">
              <w:rPr>
                <w:rFonts w:cs="Times New Roman"/>
                <w:bCs/>
                <w:sz w:val="20"/>
                <w:szCs w:val="20"/>
              </w:rPr>
              <w:t> </w:t>
            </w:r>
          </w:p>
        </w:tc>
        <w:tc>
          <w:tcPr>
            <w:tcW w:w="1426" w:type="dxa"/>
            <w:noWrap/>
            <w:vAlign w:val="bottom"/>
            <w:hideMark/>
          </w:tcPr>
          <w:p w14:paraId="56AF2731" w14:textId="77777777" w:rsidR="003C6287" w:rsidRPr="00BC6489" w:rsidRDefault="003C6287" w:rsidP="00B96CCF">
            <w:pPr>
              <w:spacing w:after="0"/>
              <w:rPr>
                <w:rFonts w:asciiTheme="minorHAnsi" w:eastAsiaTheme="minorHAnsi" w:hAnsiTheme="minorHAnsi" w:cs="Times New Roman"/>
              </w:rPr>
            </w:pPr>
          </w:p>
        </w:tc>
        <w:tc>
          <w:tcPr>
            <w:tcW w:w="1620" w:type="dxa"/>
            <w:tcBorders>
              <w:top w:val="nil"/>
              <w:left w:val="single" w:sz="8" w:space="0" w:color="auto"/>
              <w:bottom w:val="nil"/>
              <w:right w:val="single" w:sz="8" w:space="0" w:color="auto"/>
            </w:tcBorders>
            <w:noWrap/>
            <w:vAlign w:val="bottom"/>
            <w:hideMark/>
          </w:tcPr>
          <w:p w14:paraId="187F791E" w14:textId="77777777" w:rsidR="003C6287" w:rsidRPr="00BC6489" w:rsidRDefault="003C6287" w:rsidP="00B96CCF">
            <w:pPr>
              <w:spacing w:after="0" w:line="240" w:lineRule="auto"/>
              <w:jc w:val="center"/>
              <w:rPr>
                <w:rFonts w:cs="Times New Roman"/>
                <w:bCs/>
                <w:sz w:val="20"/>
                <w:szCs w:val="20"/>
              </w:rPr>
            </w:pPr>
            <w:r w:rsidRPr="00BC6489">
              <w:rPr>
                <w:rFonts w:cs="Times New Roman"/>
                <w:bCs/>
                <w:sz w:val="20"/>
                <w:szCs w:val="20"/>
              </w:rPr>
              <w:t> </w:t>
            </w:r>
          </w:p>
        </w:tc>
        <w:tc>
          <w:tcPr>
            <w:tcW w:w="1350" w:type="dxa"/>
            <w:tcBorders>
              <w:top w:val="nil"/>
              <w:left w:val="nil"/>
              <w:bottom w:val="nil"/>
              <w:right w:val="single" w:sz="8" w:space="0" w:color="auto"/>
            </w:tcBorders>
            <w:noWrap/>
            <w:vAlign w:val="bottom"/>
            <w:hideMark/>
          </w:tcPr>
          <w:p w14:paraId="6D56201B" w14:textId="77777777" w:rsidR="003C6287" w:rsidRPr="00BC6489" w:rsidRDefault="003C6287" w:rsidP="00B96CCF">
            <w:pPr>
              <w:spacing w:after="0" w:line="240" w:lineRule="auto"/>
              <w:jc w:val="center"/>
              <w:rPr>
                <w:rFonts w:cs="Times New Roman"/>
                <w:bCs/>
                <w:sz w:val="20"/>
                <w:szCs w:val="20"/>
              </w:rPr>
            </w:pPr>
            <w:r w:rsidRPr="00BC6489">
              <w:rPr>
                <w:rFonts w:cs="Times New Roman"/>
                <w:bCs/>
                <w:sz w:val="20"/>
                <w:szCs w:val="20"/>
              </w:rPr>
              <w:t> </w:t>
            </w:r>
          </w:p>
        </w:tc>
      </w:tr>
      <w:tr w:rsidR="00876C49" w14:paraId="0D1898BB" w14:textId="77777777" w:rsidTr="007C3910">
        <w:trPr>
          <w:trHeight w:val="609"/>
        </w:trPr>
        <w:tc>
          <w:tcPr>
            <w:tcW w:w="906" w:type="dxa"/>
            <w:tcBorders>
              <w:top w:val="single" w:sz="8" w:space="0" w:color="auto"/>
              <w:left w:val="single" w:sz="8" w:space="0" w:color="auto"/>
              <w:bottom w:val="single" w:sz="8" w:space="0" w:color="auto"/>
              <w:right w:val="single" w:sz="8" w:space="0" w:color="auto"/>
            </w:tcBorders>
            <w:noWrap/>
            <w:vAlign w:val="bottom"/>
            <w:hideMark/>
          </w:tcPr>
          <w:p w14:paraId="417D37EE" w14:textId="77777777" w:rsidR="003C6287" w:rsidRDefault="003C6287" w:rsidP="00B96CCF">
            <w:pPr>
              <w:spacing w:after="0" w:line="240" w:lineRule="auto"/>
              <w:rPr>
                <w:rFonts w:cs="Times New Roman"/>
                <w:b/>
                <w:bCs/>
                <w:sz w:val="20"/>
                <w:szCs w:val="20"/>
              </w:rPr>
            </w:pPr>
            <w:r>
              <w:rPr>
                <w:rFonts w:cs="Times New Roman"/>
                <w:b/>
                <w:bCs/>
                <w:sz w:val="20"/>
                <w:szCs w:val="20"/>
              </w:rPr>
              <w:t> </w:t>
            </w:r>
          </w:p>
        </w:tc>
        <w:tc>
          <w:tcPr>
            <w:tcW w:w="1601" w:type="dxa"/>
            <w:tcBorders>
              <w:top w:val="single" w:sz="8" w:space="0" w:color="auto"/>
              <w:left w:val="nil"/>
              <w:bottom w:val="single" w:sz="8" w:space="0" w:color="auto"/>
              <w:right w:val="single" w:sz="8" w:space="0" w:color="auto"/>
            </w:tcBorders>
            <w:noWrap/>
            <w:vAlign w:val="bottom"/>
            <w:hideMark/>
          </w:tcPr>
          <w:p w14:paraId="7BD77CAD" w14:textId="77777777" w:rsidR="003C6287" w:rsidRDefault="003C6287" w:rsidP="00B96CCF">
            <w:pPr>
              <w:spacing w:after="0" w:line="240" w:lineRule="auto"/>
              <w:jc w:val="center"/>
              <w:rPr>
                <w:rFonts w:cs="Times New Roman"/>
                <w:b/>
                <w:bCs/>
                <w:sz w:val="20"/>
                <w:szCs w:val="20"/>
              </w:rPr>
            </w:pPr>
            <w:r>
              <w:rPr>
                <w:rFonts w:cs="Times New Roman"/>
                <w:b/>
                <w:bCs/>
                <w:sz w:val="20"/>
                <w:szCs w:val="20"/>
              </w:rPr>
              <w:t>z-alpha(Bangia)</w:t>
            </w:r>
          </w:p>
        </w:tc>
        <w:tc>
          <w:tcPr>
            <w:tcW w:w="1281" w:type="dxa"/>
            <w:tcBorders>
              <w:top w:val="single" w:sz="8" w:space="0" w:color="auto"/>
              <w:left w:val="nil"/>
              <w:bottom w:val="single" w:sz="8" w:space="0" w:color="auto"/>
              <w:right w:val="nil"/>
            </w:tcBorders>
            <w:noWrap/>
            <w:vAlign w:val="bottom"/>
            <w:hideMark/>
          </w:tcPr>
          <w:p w14:paraId="14D6E32D" w14:textId="77777777" w:rsidR="003C6287" w:rsidRDefault="003C6287" w:rsidP="00B96CCF">
            <w:pPr>
              <w:spacing w:after="0" w:line="240" w:lineRule="auto"/>
              <w:jc w:val="center"/>
              <w:rPr>
                <w:rFonts w:cs="Times New Roman"/>
                <w:b/>
                <w:bCs/>
                <w:sz w:val="20"/>
                <w:szCs w:val="20"/>
              </w:rPr>
            </w:pPr>
            <w:r>
              <w:rPr>
                <w:rFonts w:cs="Times New Roman"/>
                <w:b/>
                <w:bCs/>
                <w:sz w:val="20"/>
                <w:szCs w:val="20"/>
              </w:rPr>
              <w:t>z-cornish(S)</w:t>
            </w:r>
          </w:p>
        </w:tc>
        <w:tc>
          <w:tcPr>
            <w:tcW w:w="1281" w:type="dxa"/>
            <w:tcBorders>
              <w:top w:val="single" w:sz="8" w:space="0" w:color="auto"/>
              <w:left w:val="single" w:sz="8" w:space="0" w:color="auto"/>
              <w:bottom w:val="single" w:sz="8" w:space="0" w:color="auto"/>
              <w:right w:val="single" w:sz="8" w:space="0" w:color="auto"/>
            </w:tcBorders>
            <w:noWrap/>
            <w:vAlign w:val="bottom"/>
            <w:hideMark/>
          </w:tcPr>
          <w:p w14:paraId="12D5DF3C" w14:textId="77777777" w:rsidR="003C6287" w:rsidRDefault="003C6287" w:rsidP="00B96CCF">
            <w:pPr>
              <w:spacing w:after="0" w:line="240" w:lineRule="auto"/>
              <w:jc w:val="center"/>
              <w:rPr>
                <w:rFonts w:cs="Times New Roman"/>
                <w:b/>
                <w:bCs/>
                <w:sz w:val="20"/>
                <w:szCs w:val="20"/>
              </w:rPr>
            </w:pPr>
            <w:r>
              <w:rPr>
                <w:rFonts w:cs="Times New Roman"/>
                <w:b/>
                <w:bCs/>
                <w:sz w:val="20"/>
                <w:szCs w:val="20"/>
              </w:rPr>
              <w:t>z-cornish (R)</w:t>
            </w:r>
          </w:p>
        </w:tc>
        <w:tc>
          <w:tcPr>
            <w:tcW w:w="1426" w:type="dxa"/>
            <w:tcBorders>
              <w:top w:val="single" w:sz="8" w:space="0" w:color="auto"/>
              <w:left w:val="nil"/>
              <w:bottom w:val="single" w:sz="8" w:space="0" w:color="auto"/>
              <w:right w:val="nil"/>
            </w:tcBorders>
            <w:noWrap/>
            <w:vAlign w:val="bottom"/>
            <w:hideMark/>
          </w:tcPr>
          <w:p w14:paraId="31E1C8E1" w14:textId="77777777" w:rsidR="003C6287" w:rsidRDefault="003C6287" w:rsidP="00B96CCF">
            <w:pPr>
              <w:spacing w:after="0" w:line="240" w:lineRule="auto"/>
              <w:jc w:val="center"/>
              <w:rPr>
                <w:rFonts w:cs="Times New Roman"/>
                <w:b/>
                <w:bCs/>
                <w:sz w:val="20"/>
                <w:szCs w:val="20"/>
              </w:rPr>
            </w:pPr>
            <w:r>
              <w:rPr>
                <w:rFonts w:cs="Times New Roman"/>
                <w:b/>
                <w:bCs/>
                <w:sz w:val="20"/>
                <w:szCs w:val="20"/>
              </w:rPr>
              <w:t>Price Risk (%)</w:t>
            </w:r>
          </w:p>
        </w:tc>
        <w:tc>
          <w:tcPr>
            <w:tcW w:w="1620" w:type="dxa"/>
            <w:tcBorders>
              <w:top w:val="single" w:sz="8" w:space="0" w:color="auto"/>
              <w:left w:val="single" w:sz="8" w:space="0" w:color="auto"/>
              <w:bottom w:val="single" w:sz="8" w:space="0" w:color="auto"/>
              <w:right w:val="single" w:sz="8" w:space="0" w:color="auto"/>
            </w:tcBorders>
            <w:noWrap/>
            <w:vAlign w:val="bottom"/>
            <w:hideMark/>
          </w:tcPr>
          <w:p w14:paraId="3DE42F8A" w14:textId="77777777" w:rsidR="003C6287" w:rsidRDefault="003C6287" w:rsidP="00B96CCF">
            <w:pPr>
              <w:spacing w:after="0" w:line="240" w:lineRule="auto"/>
              <w:jc w:val="center"/>
              <w:rPr>
                <w:rFonts w:cs="Times New Roman"/>
                <w:b/>
                <w:bCs/>
                <w:sz w:val="20"/>
                <w:szCs w:val="20"/>
              </w:rPr>
            </w:pPr>
            <w:r>
              <w:rPr>
                <w:rFonts w:cs="Times New Roman"/>
                <w:b/>
                <w:bCs/>
                <w:sz w:val="20"/>
                <w:szCs w:val="20"/>
              </w:rPr>
              <w:t xml:space="preserve"> LVaR (Bangia) %</w:t>
            </w:r>
          </w:p>
        </w:tc>
        <w:tc>
          <w:tcPr>
            <w:tcW w:w="1350" w:type="dxa"/>
            <w:tcBorders>
              <w:top w:val="single" w:sz="8" w:space="0" w:color="auto"/>
              <w:left w:val="nil"/>
              <w:bottom w:val="single" w:sz="8" w:space="0" w:color="auto"/>
              <w:right w:val="single" w:sz="8" w:space="0" w:color="auto"/>
            </w:tcBorders>
            <w:noWrap/>
            <w:vAlign w:val="bottom"/>
            <w:hideMark/>
          </w:tcPr>
          <w:p w14:paraId="760085C4" w14:textId="77777777" w:rsidR="003C6287" w:rsidRDefault="003C6287" w:rsidP="00B96CCF">
            <w:pPr>
              <w:spacing w:after="0" w:line="240" w:lineRule="auto"/>
              <w:jc w:val="center"/>
              <w:rPr>
                <w:rFonts w:cs="Times New Roman"/>
                <w:b/>
                <w:bCs/>
                <w:sz w:val="20"/>
                <w:szCs w:val="20"/>
              </w:rPr>
            </w:pPr>
            <w:r w:rsidRPr="00BC6489">
              <w:rPr>
                <w:rFonts w:cs="Times New Roman"/>
                <w:b/>
                <w:bCs/>
                <w:sz w:val="20"/>
                <w:szCs w:val="20"/>
              </w:rPr>
              <w:t>LVaR (</w:t>
            </w:r>
            <w:r>
              <w:rPr>
                <w:rFonts w:cs="Times New Roman"/>
                <w:b/>
                <w:bCs/>
                <w:sz w:val="20"/>
                <w:szCs w:val="20"/>
              </w:rPr>
              <w:t>Modified</w:t>
            </w:r>
            <w:r w:rsidRPr="00BC6489">
              <w:rPr>
                <w:rFonts w:cs="Times New Roman"/>
                <w:b/>
                <w:bCs/>
                <w:sz w:val="20"/>
                <w:szCs w:val="20"/>
              </w:rPr>
              <w:t>) %</w:t>
            </w:r>
          </w:p>
        </w:tc>
      </w:tr>
      <w:tr w:rsidR="00876C49" w14:paraId="62667712" w14:textId="77777777" w:rsidTr="007C3910">
        <w:trPr>
          <w:trHeight w:val="578"/>
        </w:trPr>
        <w:tc>
          <w:tcPr>
            <w:tcW w:w="906" w:type="dxa"/>
            <w:tcBorders>
              <w:top w:val="nil"/>
              <w:left w:val="single" w:sz="8" w:space="0" w:color="auto"/>
              <w:bottom w:val="nil"/>
              <w:right w:val="single" w:sz="8" w:space="0" w:color="auto"/>
            </w:tcBorders>
            <w:noWrap/>
            <w:vAlign w:val="bottom"/>
            <w:hideMark/>
          </w:tcPr>
          <w:p w14:paraId="03A80066" w14:textId="77777777" w:rsidR="003C6287" w:rsidRDefault="003C6287" w:rsidP="00B96CCF">
            <w:pPr>
              <w:spacing w:after="0" w:line="240" w:lineRule="auto"/>
              <w:rPr>
                <w:rFonts w:cs="Times New Roman"/>
                <w:b/>
                <w:bCs/>
                <w:sz w:val="20"/>
                <w:szCs w:val="20"/>
              </w:rPr>
            </w:pPr>
            <w:r>
              <w:rPr>
                <w:rFonts w:cs="Times New Roman"/>
                <w:b/>
                <w:bCs/>
                <w:sz w:val="20"/>
                <w:szCs w:val="20"/>
              </w:rPr>
              <w:t>Mean</w:t>
            </w:r>
          </w:p>
        </w:tc>
        <w:tc>
          <w:tcPr>
            <w:tcW w:w="1601" w:type="dxa"/>
            <w:tcBorders>
              <w:top w:val="nil"/>
              <w:left w:val="nil"/>
              <w:bottom w:val="nil"/>
              <w:right w:val="single" w:sz="8" w:space="0" w:color="auto"/>
            </w:tcBorders>
            <w:noWrap/>
            <w:vAlign w:val="bottom"/>
            <w:hideMark/>
          </w:tcPr>
          <w:p w14:paraId="5F2400F3" w14:textId="77777777" w:rsidR="003C6287" w:rsidRPr="00BC6489" w:rsidRDefault="003C6287" w:rsidP="00B96CCF">
            <w:pPr>
              <w:spacing w:after="0" w:line="240" w:lineRule="auto"/>
              <w:jc w:val="center"/>
              <w:rPr>
                <w:rFonts w:cs="Times New Roman"/>
                <w:bCs/>
                <w:sz w:val="20"/>
                <w:szCs w:val="20"/>
              </w:rPr>
            </w:pPr>
            <w:r w:rsidRPr="00BC6489">
              <w:rPr>
                <w:rFonts w:cs="Times New Roman"/>
                <w:bCs/>
                <w:sz w:val="20"/>
                <w:szCs w:val="20"/>
              </w:rPr>
              <w:t>0.99109</w:t>
            </w:r>
          </w:p>
        </w:tc>
        <w:tc>
          <w:tcPr>
            <w:tcW w:w="1281" w:type="dxa"/>
            <w:noWrap/>
            <w:vAlign w:val="bottom"/>
            <w:hideMark/>
          </w:tcPr>
          <w:p w14:paraId="03455774" w14:textId="77777777" w:rsidR="003C6287" w:rsidRPr="00BC6489" w:rsidRDefault="003C6287" w:rsidP="00B96CCF">
            <w:pPr>
              <w:spacing w:after="0" w:line="240" w:lineRule="auto"/>
              <w:jc w:val="center"/>
              <w:rPr>
                <w:rFonts w:cs="Times New Roman"/>
                <w:bCs/>
                <w:sz w:val="20"/>
                <w:szCs w:val="20"/>
              </w:rPr>
            </w:pPr>
            <w:r w:rsidRPr="00BC6489">
              <w:rPr>
                <w:rFonts w:cs="Times New Roman"/>
                <w:bCs/>
                <w:sz w:val="20"/>
                <w:szCs w:val="20"/>
              </w:rPr>
              <w:t>3.820876166</w:t>
            </w:r>
          </w:p>
        </w:tc>
        <w:tc>
          <w:tcPr>
            <w:tcW w:w="1281" w:type="dxa"/>
            <w:tcBorders>
              <w:top w:val="nil"/>
              <w:left w:val="single" w:sz="8" w:space="0" w:color="auto"/>
              <w:bottom w:val="nil"/>
              <w:right w:val="single" w:sz="8" w:space="0" w:color="auto"/>
            </w:tcBorders>
            <w:noWrap/>
            <w:vAlign w:val="bottom"/>
            <w:hideMark/>
          </w:tcPr>
          <w:p w14:paraId="1638A335" w14:textId="77777777" w:rsidR="003C6287" w:rsidRPr="00BC6489" w:rsidRDefault="003C6287" w:rsidP="00B96CCF">
            <w:pPr>
              <w:spacing w:after="0" w:line="240" w:lineRule="auto"/>
              <w:jc w:val="center"/>
              <w:rPr>
                <w:rFonts w:cs="Times New Roman"/>
                <w:bCs/>
                <w:sz w:val="20"/>
                <w:szCs w:val="20"/>
              </w:rPr>
            </w:pPr>
            <w:r w:rsidRPr="00BC6489">
              <w:rPr>
                <w:rFonts w:cs="Times New Roman"/>
                <w:bCs/>
                <w:sz w:val="20"/>
                <w:szCs w:val="20"/>
              </w:rPr>
              <w:t>2.948796556</w:t>
            </w:r>
          </w:p>
        </w:tc>
        <w:tc>
          <w:tcPr>
            <w:tcW w:w="1426" w:type="dxa"/>
            <w:noWrap/>
            <w:vAlign w:val="bottom"/>
            <w:hideMark/>
          </w:tcPr>
          <w:p w14:paraId="15D9E63A" w14:textId="77777777" w:rsidR="003C6287" w:rsidRPr="00BC6489" w:rsidRDefault="003C6287" w:rsidP="00B96CCF">
            <w:pPr>
              <w:spacing w:after="0" w:line="240" w:lineRule="auto"/>
              <w:jc w:val="center"/>
              <w:rPr>
                <w:rFonts w:cs="Times New Roman"/>
                <w:bCs/>
                <w:sz w:val="20"/>
                <w:szCs w:val="20"/>
              </w:rPr>
            </w:pPr>
            <w:r w:rsidRPr="00BC6489">
              <w:rPr>
                <w:rFonts w:cs="Times New Roman"/>
                <w:bCs/>
                <w:sz w:val="20"/>
                <w:szCs w:val="20"/>
              </w:rPr>
              <w:t>2.807252427</w:t>
            </w:r>
          </w:p>
        </w:tc>
        <w:tc>
          <w:tcPr>
            <w:tcW w:w="1620" w:type="dxa"/>
            <w:tcBorders>
              <w:top w:val="nil"/>
              <w:left w:val="single" w:sz="8" w:space="0" w:color="auto"/>
              <w:bottom w:val="nil"/>
              <w:right w:val="single" w:sz="8" w:space="0" w:color="auto"/>
            </w:tcBorders>
            <w:noWrap/>
            <w:vAlign w:val="bottom"/>
            <w:hideMark/>
          </w:tcPr>
          <w:p w14:paraId="6361EB80" w14:textId="77777777" w:rsidR="003C6287" w:rsidRPr="00BC6489" w:rsidRDefault="003C6287" w:rsidP="00B96CCF">
            <w:pPr>
              <w:spacing w:after="0" w:line="240" w:lineRule="auto"/>
              <w:jc w:val="center"/>
              <w:rPr>
                <w:rFonts w:cs="Times New Roman"/>
                <w:bCs/>
                <w:sz w:val="20"/>
                <w:szCs w:val="20"/>
              </w:rPr>
            </w:pPr>
            <w:r w:rsidRPr="00BC6489">
              <w:rPr>
                <w:rFonts w:cs="Times New Roman"/>
                <w:bCs/>
                <w:sz w:val="20"/>
                <w:szCs w:val="20"/>
              </w:rPr>
              <w:t>2.885473771</w:t>
            </w:r>
          </w:p>
        </w:tc>
        <w:tc>
          <w:tcPr>
            <w:tcW w:w="1350" w:type="dxa"/>
            <w:tcBorders>
              <w:top w:val="nil"/>
              <w:left w:val="nil"/>
              <w:bottom w:val="nil"/>
              <w:right w:val="single" w:sz="8" w:space="0" w:color="auto"/>
            </w:tcBorders>
            <w:noWrap/>
            <w:vAlign w:val="bottom"/>
            <w:hideMark/>
          </w:tcPr>
          <w:p w14:paraId="3E9482B0" w14:textId="77777777" w:rsidR="003C6287" w:rsidRPr="00BC6489" w:rsidRDefault="003C6287" w:rsidP="00B96CCF">
            <w:pPr>
              <w:spacing w:after="0" w:line="240" w:lineRule="auto"/>
              <w:jc w:val="center"/>
              <w:rPr>
                <w:rFonts w:cs="Times New Roman"/>
                <w:bCs/>
                <w:sz w:val="20"/>
                <w:szCs w:val="20"/>
              </w:rPr>
            </w:pPr>
            <w:r w:rsidRPr="00BC6489">
              <w:rPr>
                <w:rFonts w:cs="Times New Roman"/>
                <w:bCs/>
                <w:sz w:val="20"/>
                <w:szCs w:val="20"/>
              </w:rPr>
              <w:t>3.605684819</w:t>
            </w:r>
          </w:p>
        </w:tc>
      </w:tr>
      <w:tr w:rsidR="00876C49" w14:paraId="4B4FFBAE" w14:textId="77777777" w:rsidTr="007C3910">
        <w:trPr>
          <w:trHeight w:val="578"/>
        </w:trPr>
        <w:tc>
          <w:tcPr>
            <w:tcW w:w="906" w:type="dxa"/>
            <w:tcBorders>
              <w:top w:val="nil"/>
              <w:left w:val="single" w:sz="8" w:space="0" w:color="auto"/>
              <w:bottom w:val="nil"/>
              <w:right w:val="single" w:sz="8" w:space="0" w:color="auto"/>
            </w:tcBorders>
            <w:noWrap/>
            <w:vAlign w:val="bottom"/>
            <w:hideMark/>
          </w:tcPr>
          <w:p w14:paraId="0FF2E547" w14:textId="77777777" w:rsidR="003C6287" w:rsidRDefault="003C6287" w:rsidP="00B96CCF">
            <w:pPr>
              <w:spacing w:after="0" w:line="240" w:lineRule="auto"/>
              <w:rPr>
                <w:rFonts w:cs="Times New Roman"/>
                <w:b/>
                <w:bCs/>
                <w:sz w:val="20"/>
                <w:szCs w:val="20"/>
              </w:rPr>
            </w:pPr>
            <w:r>
              <w:rPr>
                <w:rFonts w:cs="Times New Roman"/>
                <w:b/>
                <w:bCs/>
                <w:sz w:val="20"/>
                <w:szCs w:val="20"/>
              </w:rPr>
              <w:t>Median</w:t>
            </w:r>
          </w:p>
        </w:tc>
        <w:tc>
          <w:tcPr>
            <w:tcW w:w="1601" w:type="dxa"/>
            <w:tcBorders>
              <w:top w:val="nil"/>
              <w:left w:val="nil"/>
              <w:bottom w:val="nil"/>
              <w:right w:val="single" w:sz="8" w:space="0" w:color="auto"/>
            </w:tcBorders>
            <w:noWrap/>
            <w:vAlign w:val="bottom"/>
            <w:hideMark/>
          </w:tcPr>
          <w:p w14:paraId="7452924E" w14:textId="77777777" w:rsidR="003C6287" w:rsidRPr="00BC6489" w:rsidRDefault="003C6287" w:rsidP="00B96CCF">
            <w:pPr>
              <w:spacing w:after="0" w:line="240" w:lineRule="auto"/>
              <w:jc w:val="center"/>
              <w:rPr>
                <w:rFonts w:cs="Times New Roman"/>
                <w:bCs/>
                <w:sz w:val="20"/>
                <w:szCs w:val="20"/>
              </w:rPr>
            </w:pPr>
            <w:r w:rsidRPr="00BC6489">
              <w:rPr>
                <w:rFonts w:cs="Times New Roman"/>
                <w:bCs/>
                <w:sz w:val="20"/>
                <w:szCs w:val="20"/>
              </w:rPr>
              <w:t>0.91061</w:t>
            </w:r>
          </w:p>
        </w:tc>
        <w:tc>
          <w:tcPr>
            <w:tcW w:w="1281" w:type="dxa"/>
            <w:noWrap/>
            <w:vAlign w:val="bottom"/>
            <w:hideMark/>
          </w:tcPr>
          <w:p w14:paraId="1EC3BF69" w14:textId="77777777" w:rsidR="003C6287" w:rsidRPr="00BC6489" w:rsidRDefault="003C6287" w:rsidP="00B96CCF">
            <w:pPr>
              <w:spacing w:after="0" w:line="240" w:lineRule="auto"/>
              <w:jc w:val="center"/>
              <w:rPr>
                <w:rFonts w:cs="Times New Roman"/>
                <w:bCs/>
                <w:sz w:val="20"/>
                <w:szCs w:val="20"/>
              </w:rPr>
            </w:pPr>
            <w:r w:rsidRPr="00BC6489">
              <w:rPr>
                <w:rFonts w:cs="Times New Roman"/>
                <w:bCs/>
                <w:sz w:val="20"/>
                <w:szCs w:val="20"/>
              </w:rPr>
              <w:t>3.972776354</w:t>
            </w:r>
          </w:p>
        </w:tc>
        <w:tc>
          <w:tcPr>
            <w:tcW w:w="1281" w:type="dxa"/>
            <w:tcBorders>
              <w:top w:val="nil"/>
              <w:left w:val="single" w:sz="8" w:space="0" w:color="auto"/>
              <w:bottom w:val="nil"/>
              <w:right w:val="single" w:sz="8" w:space="0" w:color="auto"/>
            </w:tcBorders>
            <w:noWrap/>
            <w:vAlign w:val="bottom"/>
            <w:hideMark/>
          </w:tcPr>
          <w:p w14:paraId="5692E966" w14:textId="77777777" w:rsidR="003C6287" w:rsidRPr="00BC6489" w:rsidRDefault="003C6287" w:rsidP="00B96CCF">
            <w:pPr>
              <w:spacing w:after="0" w:line="240" w:lineRule="auto"/>
              <w:jc w:val="center"/>
              <w:rPr>
                <w:rFonts w:cs="Times New Roman"/>
                <w:bCs/>
                <w:sz w:val="20"/>
                <w:szCs w:val="20"/>
              </w:rPr>
            </w:pPr>
            <w:r w:rsidRPr="00BC6489">
              <w:rPr>
                <w:rFonts w:cs="Times New Roman"/>
                <w:bCs/>
                <w:sz w:val="20"/>
                <w:szCs w:val="20"/>
              </w:rPr>
              <w:t>2.371200501</w:t>
            </w:r>
          </w:p>
        </w:tc>
        <w:tc>
          <w:tcPr>
            <w:tcW w:w="1426" w:type="dxa"/>
            <w:noWrap/>
            <w:vAlign w:val="bottom"/>
            <w:hideMark/>
          </w:tcPr>
          <w:p w14:paraId="5D10C81E" w14:textId="77777777" w:rsidR="003C6287" w:rsidRPr="00BC6489" w:rsidRDefault="003C6287" w:rsidP="00B96CCF">
            <w:pPr>
              <w:spacing w:after="0" w:line="240" w:lineRule="auto"/>
              <w:jc w:val="center"/>
              <w:rPr>
                <w:rFonts w:cs="Times New Roman"/>
                <w:bCs/>
                <w:sz w:val="20"/>
                <w:szCs w:val="20"/>
              </w:rPr>
            </w:pPr>
            <w:r w:rsidRPr="00BC6489">
              <w:rPr>
                <w:rFonts w:cs="Times New Roman"/>
                <w:bCs/>
                <w:sz w:val="20"/>
                <w:szCs w:val="20"/>
              </w:rPr>
              <w:t>2.602336958</w:t>
            </w:r>
          </w:p>
        </w:tc>
        <w:tc>
          <w:tcPr>
            <w:tcW w:w="1620" w:type="dxa"/>
            <w:tcBorders>
              <w:top w:val="nil"/>
              <w:left w:val="single" w:sz="8" w:space="0" w:color="auto"/>
              <w:bottom w:val="nil"/>
              <w:right w:val="single" w:sz="8" w:space="0" w:color="auto"/>
            </w:tcBorders>
            <w:noWrap/>
            <w:vAlign w:val="bottom"/>
            <w:hideMark/>
          </w:tcPr>
          <w:p w14:paraId="67DA0D79" w14:textId="77777777" w:rsidR="003C6287" w:rsidRPr="00BC6489" w:rsidRDefault="003C6287" w:rsidP="00B96CCF">
            <w:pPr>
              <w:spacing w:after="0" w:line="240" w:lineRule="auto"/>
              <w:jc w:val="center"/>
              <w:rPr>
                <w:rFonts w:cs="Times New Roman"/>
                <w:bCs/>
                <w:sz w:val="20"/>
                <w:szCs w:val="20"/>
              </w:rPr>
            </w:pPr>
            <w:r w:rsidRPr="00BC6489">
              <w:rPr>
                <w:rFonts w:cs="Times New Roman"/>
                <w:bCs/>
                <w:sz w:val="20"/>
                <w:szCs w:val="20"/>
              </w:rPr>
              <w:t>2.673507938</w:t>
            </w:r>
          </w:p>
        </w:tc>
        <w:tc>
          <w:tcPr>
            <w:tcW w:w="1350" w:type="dxa"/>
            <w:tcBorders>
              <w:top w:val="nil"/>
              <w:left w:val="nil"/>
              <w:bottom w:val="nil"/>
              <w:right w:val="single" w:sz="8" w:space="0" w:color="auto"/>
            </w:tcBorders>
            <w:noWrap/>
            <w:vAlign w:val="bottom"/>
            <w:hideMark/>
          </w:tcPr>
          <w:p w14:paraId="3343CE59" w14:textId="77777777" w:rsidR="003C6287" w:rsidRPr="00BC6489" w:rsidRDefault="003C6287" w:rsidP="00B96CCF">
            <w:pPr>
              <w:spacing w:after="0" w:line="240" w:lineRule="auto"/>
              <w:jc w:val="center"/>
              <w:rPr>
                <w:rFonts w:cs="Times New Roman"/>
                <w:bCs/>
                <w:sz w:val="20"/>
                <w:szCs w:val="20"/>
              </w:rPr>
            </w:pPr>
            <w:r w:rsidRPr="00BC6489">
              <w:rPr>
                <w:rFonts w:cs="Times New Roman"/>
                <w:bCs/>
                <w:sz w:val="20"/>
                <w:szCs w:val="20"/>
              </w:rPr>
              <w:t>3.374473219</w:t>
            </w:r>
          </w:p>
        </w:tc>
      </w:tr>
      <w:tr w:rsidR="00876C49" w14:paraId="77121A66" w14:textId="77777777" w:rsidTr="007C3910">
        <w:trPr>
          <w:trHeight w:val="609"/>
        </w:trPr>
        <w:tc>
          <w:tcPr>
            <w:tcW w:w="906" w:type="dxa"/>
            <w:tcBorders>
              <w:top w:val="nil"/>
              <w:left w:val="single" w:sz="8" w:space="0" w:color="auto"/>
              <w:bottom w:val="single" w:sz="8" w:space="0" w:color="auto"/>
              <w:right w:val="single" w:sz="8" w:space="0" w:color="auto"/>
            </w:tcBorders>
            <w:noWrap/>
            <w:vAlign w:val="bottom"/>
            <w:hideMark/>
          </w:tcPr>
          <w:p w14:paraId="567729C3" w14:textId="77777777" w:rsidR="003C6287" w:rsidRDefault="003C6287" w:rsidP="00B96CCF">
            <w:pPr>
              <w:spacing w:after="0" w:line="240" w:lineRule="auto"/>
              <w:rPr>
                <w:rFonts w:cs="Times New Roman"/>
                <w:b/>
                <w:bCs/>
                <w:sz w:val="20"/>
                <w:szCs w:val="20"/>
              </w:rPr>
            </w:pPr>
            <w:r>
              <w:rPr>
                <w:rFonts w:cs="Times New Roman"/>
                <w:b/>
                <w:bCs/>
                <w:sz w:val="20"/>
                <w:szCs w:val="20"/>
              </w:rPr>
              <w:t>Std Dev.</w:t>
            </w:r>
          </w:p>
        </w:tc>
        <w:tc>
          <w:tcPr>
            <w:tcW w:w="1601" w:type="dxa"/>
            <w:tcBorders>
              <w:top w:val="nil"/>
              <w:left w:val="nil"/>
              <w:bottom w:val="single" w:sz="8" w:space="0" w:color="auto"/>
              <w:right w:val="single" w:sz="8" w:space="0" w:color="auto"/>
            </w:tcBorders>
            <w:noWrap/>
            <w:vAlign w:val="bottom"/>
            <w:hideMark/>
          </w:tcPr>
          <w:p w14:paraId="3489F8BB" w14:textId="77777777" w:rsidR="003C6287" w:rsidRPr="00BC6489" w:rsidRDefault="003C6287" w:rsidP="00B96CCF">
            <w:pPr>
              <w:spacing w:after="0" w:line="240" w:lineRule="auto"/>
              <w:jc w:val="center"/>
              <w:rPr>
                <w:rFonts w:cs="Times New Roman"/>
                <w:bCs/>
                <w:sz w:val="20"/>
                <w:szCs w:val="20"/>
              </w:rPr>
            </w:pPr>
            <w:r w:rsidRPr="00BC6489">
              <w:rPr>
                <w:rFonts w:cs="Times New Roman"/>
                <w:bCs/>
                <w:sz w:val="20"/>
                <w:szCs w:val="20"/>
              </w:rPr>
              <w:t>0.36344</w:t>
            </w:r>
          </w:p>
        </w:tc>
        <w:tc>
          <w:tcPr>
            <w:tcW w:w="1281" w:type="dxa"/>
            <w:tcBorders>
              <w:top w:val="nil"/>
              <w:left w:val="nil"/>
              <w:bottom w:val="single" w:sz="8" w:space="0" w:color="auto"/>
              <w:right w:val="nil"/>
            </w:tcBorders>
            <w:noWrap/>
            <w:vAlign w:val="bottom"/>
            <w:hideMark/>
          </w:tcPr>
          <w:p w14:paraId="2C17DE13" w14:textId="77777777" w:rsidR="003C6287" w:rsidRPr="00BC6489" w:rsidRDefault="003C6287" w:rsidP="00B96CCF">
            <w:pPr>
              <w:spacing w:after="0" w:line="240" w:lineRule="auto"/>
              <w:jc w:val="center"/>
              <w:rPr>
                <w:rFonts w:cs="Times New Roman"/>
                <w:bCs/>
                <w:sz w:val="20"/>
                <w:szCs w:val="20"/>
              </w:rPr>
            </w:pPr>
            <w:r w:rsidRPr="00BC6489">
              <w:rPr>
                <w:rFonts w:cs="Times New Roman"/>
                <w:bCs/>
                <w:sz w:val="20"/>
                <w:szCs w:val="20"/>
              </w:rPr>
              <w:t>0.731215626</w:t>
            </w:r>
          </w:p>
        </w:tc>
        <w:tc>
          <w:tcPr>
            <w:tcW w:w="1281" w:type="dxa"/>
            <w:tcBorders>
              <w:top w:val="nil"/>
              <w:left w:val="single" w:sz="8" w:space="0" w:color="auto"/>
              <w:bottom w:val="single" w:sz="8" w:space="0" w:color="auto"/>
              <w:right w:val="single" w:sz="8" w:space="0" w:color="auto"/>
            </w:tcBorders>
            <w:noWrap/>
            <w:vAlign w:val="bottom"/>
            <w:hideMark/>
          </w:tcPr>
          <w:p w14:paraId="2AAF44F6" w14:textId="77777777" w:rsidR="003C6287" w:rsidRPr="00BC6489" w:rsidRDefault="003C6287" w:rsidP="00B96CCF">
            <w:pPr>
              <w:spacing w:after="0" w:line="240" w:lineRule="auto"/>
              <w:jc w:val="center"/>
              <w:rPr>
                <w:rFonts w:cs="Times New Roman"/>
                <w:bCs/>
                <w:sz w:val="20"/>
                <w:szCs w:val="20"/>
              </w:rPr>
            </w:pPr>
            <w:r w:rsidRPr="00BC6489">
              <w:rPr>
                <w:rFonts w:cs="Times New Roman"/>
                <w:bCs/>
                <w:sz w:val="20"/>
                <w:szCs w:val="20"/>
              </w:rPr>
              <w:t>0.942148285</w:t>
            </w:r>
          </w:p>
        </w:tc>
        <w:tc>
          <w:tcPr>
            <w:tcW w:w="1426" w:type="dxa"/>
            <w:tcBorders>
              <w:top w:val="nil"/>
              <w:left w:val="nil"/>
              <w:bottom w:val="single" w:sz="8" w:space="0" w:color="auto"/>
              <w:right w:val="nil"/>
            </w:tcBorders>
            <w:noWrap/>
            <w:vAlign w:val="bottom"/>
            <w:hideMark/>
          </w:tcPr>
          <w:p w14:paraId="20F564D7" w14:textId="77777777" w:rsidR="003C6287" w:rsidRPr="00BC6489" w:rsidRDefault="003C6287" w:rsidP="00B96CCF">
            <w:pPr>
              <w:spacing w:after="0" w:line="240" w:lineRule="auto"/>
              <w:jc w:val="center"/>
              <w:rPr>
                <w:rFonts w:cs="Times New Roman"/>
                <w:bCs/>
                <w:sz w:val="20"/>
                <w:szCs w:val="20"/>
              </w:rPr>
            </w:pPr>
            <w:r w:rsidRPr="00BC6489">
              <w:rPr>
                <w:rFonts w:cs="Times New Roman"/>
                <w:bCs/>
                <w:sz w:val="20"/>
                <w:szCs w:val="20"/>
              </w:rPr>
              <w:t>1.084436172</w:t>
            </w:r>
          </w:p>
        </w:tc>
        <w:tc>
          <w:tcPr>
            <w:tcW w:w="1620" w:type="dxa"/>
            <w:tcBorders>
              <w:top w:val="nil"/>
              <w:left w:val="single" w:sz="8" w:space="0" w:color="auto"/>
              <w:bottom w:val="single" w:sz="8" w:space="0" w:color="auto"/>
              <w:right w:val="single" w:sz="8" w:space="0" w:color="auto"/>
            </w:tcBorders>
            <w:noWrap/>
            <w:vAlign w:val="bottom"/>
            <w:hideMark/>
          </w:tcPr>
          <w:p w14:paraId="012A4CEC" w14:textId="77777777" w:rsidR="003C6287" w:rsidRPr="00BC6489" w:rsidRDefault="003C6287" w:rsidP="00B96CCF">
            <w:pPr>
              <w:spacing w:after="0" w:line="240" w:lineRule="auto"/>
              <w:jc w:val="center"/>
              <w:rPr>
                <w:rFonts w:cs="Times New Roman"/>
                <w:bCs/>
                <w:sz w:val="20"/>
                <w:szCs w:val="20"/>
              </w:rPr>
            </w:pPr>
            <w:r w:rsidRPr="00BC6489">
              <w:rPr>
                <w:rFonts w:cs="Times New Roman"/>
                <w:bCs/>
                <w:sz w:val="20"/>
                <w:szCs w:val="20"/>
              </w:rPr>
              <w:t>1.0905948</w:t>
            </w:r>
          </w:p>
        </w:tc>
        <w:tc>
          <w:tcPr>
            <w:tcW w:w="1350" w:type="dxa"/>
            <w:tcBorders>
              <w:top w:val="nil"/>
              <w:left w:val="nil"/>
              <w:bottom w:val="single" w:sz="8" w:space="0" w:color="auto"/>
              <w:right w:val="single" w:sz="8" w:space="0" w:color="auto"/>
            </w:tcBorders>
            <w:noWrap/>
            <w:vAlign w:val="bottom"/>
            <w:hideMark/>
          </w:tcPr>
          <w:p w14:paraId="4ED5B1C8" w14:textId="77777777" w:rsidR="003C6287" w:rsidRPr="00BC6489" w:rsidRDefault="003C6287" w:rsidP="00B96CCF">
            <w:pPr>
              <w:spacing w:after="0" w:line="240" w:lineRule="auto"/>
              <w:jc w:val="center"/>
              <w:rPr>
                <w:rFonts w:cs="Times New Roman"/>
                <w:bCs/>
                <w:sz w:val="20"/>
                <w:szCs w:val="20"/>
              </w:rPr>
            </w:pPr>
            <w:r w:rsidRPr="00BC6489">
              <w:rPr>
                <w:rFonts w:cs="Times New Roman"/>
                <w:bCs/>
                <w:sz w:val="20"/>
                <w:szCs w:val="20"/>
              </w:rPr>
              <w:t>1.566669063</w:t>
            </w:r>
          </w:p>
        </w:tc>
      </w:tr>
    </w:tbl>
    <w:p w14:paraId="0C8BB112" w14:textId="77777777" w:rsidR="00C13026" w:rsidRDefault="00C13026" w:rsidP="003C6287">
      <w:pPr>
        <w:pStyle w:val="Caption"/>
        <w:keepNext/>
      </w:pPr>
    </w:p>
    <w:p w14:paraId="6614B64F" w14:textId="77777777" w:rsidR="003C6287" w:rsidRDefault="003C6287" w:rsidP="003C6287">
      <w:pPr>
        <w:pStyle w:val="Caption"/>
        <w:keepNext/>
      </w:pPr>
      <w:r>
        <w:t xml:space="preserve">Table </w:t>
      </w:r>
      <w:r w:rsidR="00EC34E3">
        <w:fldChar w:fldCharType="begin"/>
      </w:r>
      <w:r w:rsidR="00EC34E3">
        <w:instrText xml:space="preserve"> SEQ Table \* ARABIC </w:instrText>
      </w:r>
      <w:r w:rsidR="00EC34E3">
        <w:fldChar w:fldCharType="separate"/>
      </w:r>
      <w:r w:rsidR="00B0578D">
        <w:rPr>
          <w:noProof/>
        </w:rPr>
        <w:t>12</w:t>
      </w:r>
      <w:r w:rsidR="00EC34E3">
        <w:rPr>
          <w:noProof/>
        </w:rPr>
        <w:fldChar w:fldCharType="end"/>
      </w:r>
      <w:r>
        <w:t xml:space="preserve"> Portfolio Risk Estimates – Midcap (weights: </w:t>
      </w:r>
      <w:r w:rsidRPr="00451E13">
        <w:t>Apollo Hospitals</w:t>
      </w:r>
      <w:r>
        <w:t xml:space="preserve"> = .25, </w:t>
      </w:r>
      <w:r w:rsidRPr="00451E13">
        <w:t>DLF</w:t>
      </w:r>
      <w:r>
        <w:t xml:space="preserve"> = .25, </w:t>
      </w:r>
      <w:r w:rsidRPr="00451E13">
        <w:t>Jindal Steel</w:t>
      </w:r>
      <w:r>
        <w:t xml:space="preserve"> = .25 &amp; </w:t>
      </w:r>
      <w:r w:rsidRPr="00451E13">
        <w:t>SUN TV</w:t>
      </w:r>
      <w:r>
        <w:t xml:space="preserve"> = .25)</w:t>
      </w:r>
    </w:p>
    <w:tbl>
      <w:tblPr>
        <w:tblW w:w="9465" w:type="dxa"/>
        <w:tblInd w:w="93" w:type="dxa"/>
        <w:tblLook w:val="04A0" w:firstRow="1" w:lastRow="0" w:firstColumn="1" w:lastColumn="0" w:noHBand="0" w:noVBand="1"/>
      </w:tblPr>
      <w:tblGrid>
        <w:gridCol w:w="1003"/>
        <w:gridCol w:w="1532"/>
        <w:gridCol w:w="1281"/>
        <w:gridCol w:w="1281"/>
        <w:gridCol w:w="1398"/>
        <w:gridCol w:w="1620"/>
        <w:gridCol w:w="1350"/>
      </w:tblGrid>
      <w:tr w:rsidR="00876C49" w14:paraId="0076390C" w14:textId="77777777" w:rsidTr="001A3F55">
        <w:trPr>
          <w:trHeight w:val="618"/>
        </w:trPr>
        <w:tc>
          <w:tcPr>
            <w:tcW w:w="1003" w:type="dxa"/>
            <w:tcBorders>
              <w:top w:val="single" w:sz="8" w:space="0" w:color="auto"/>
              <w:left w:val="single" w:sz="8" w:space="0" w:color="auto"/>
              <w:bottom w:val="single" w:sz="8" w:space="0" w:color="auto"/>
              <w:right w:val="single" w:sz="8" w:space="0" w:color="auto"/>
            </w:tcBorders>
            <w:noWrap/>
            <w:vAlign w:val="bottom"/>
            <w:hideMark/>
          </w:tcPr>
          <w:p w14:paraId="43A2EC6F" w14:textId="77777777" w:rsidR="003C6287" w:rsidRDefault="003C6287" w:rsidP="00B96CCF">
            <w:pPr>
              <w:spacing w:after="0" w:line="240" w:lineRule="auto"/>
              <w:jc w:val="center"/>
              <w:rPr>
                <w:rFonts w:cs="Times New Roman"/>
                <w:b/>
                <w:bCs/>
                <w:sz w:val="20"/>
                <w:szCs w:val="20"/>
              </w:rPr>
            </w:pPr>
            <w:r>
              <w:rPr>
                <w:rFonts w:cs="Times New Roman"/>
                <w:b/>
                <w:bCs/>
                <w:sz w:val="20"/>
                <w:szCs w:val="20"/>
              </w:rPr>
              <w:t> </w:t>
            </w:r>
          </w:p>
        </w:tc>
        <w:tc>
          <w:tcPr>
            <w:tcW w:w="1532" w:type="dxa"/>
            <w:tcBorders>
              <w:top w:val="single" w:sz="8" w:space="0" w:color="auto"/>
              <w:left w:val="nil"/>
              <w:bottom w:val="single" w:sz="8" w:space="0" w:color="auto"/>
              <w:right w:val="single" w:sz="8" w:space="0" w:color="auto"/>
            </w:tcBorders>
            <w:noWrap/>
            <w:vAlign w:val="bottom"/>
            <w:hideMark/>
          </w:tcPr>
          <w:p w14:paraId="5C554234" w14:textId="77777777" w:rsidR="003C6287" w:rsidRDefault="003C6287" w:rsidP="00B96CCF">
            <w:pPr>
              <w:spacing w:after="0" w:line="240" w:lineRule="auto"/>
              <w:jc w:val="center"/>
              <w:rPr>
                <w:rFonts w:cs="Times New Roman"/>
                <w:b/>
                <w:bCs/>
                <w:sz w:val="20"/>
                <w:szCs w:val="20"/>
              </w:rPr>
            </w:pPr>
            <w:r>
              <w:rPr>
                <w:rFonts w:cs="Times New Roman"/>
                <w:b/>
                <w:bCs/>
                <w:sz w:val="20"/>
                <w:szCs w:val="20"/>
              </w:rPr>
              <w:t>Relative Spread</w:t>
            </w:r>
          </w:p>
        </w:tc>
        <w:tc>
          <w:tcPr>
            <w:tcW w:w="1281" w:type="dxa"/>
            <w:tcBorders>
              <w:top w:val="single" w:sz="8" w:space="0" w:color="auto"/>
              <w:left w:val="nil"/>
              <w:bottom w:val="single" w:sz="8" w:space="0" w:color="auto"/>
              <w:right w:val="nil"/>
            </w:tcBorders>
            <w:noWrap/>
            <w:vAlign w:val="bottom"/>
            <w:hideMark/>
          </w:tcPr>
          <w:p w14:paraId="4DD9A399" w14:textId="77777777" w:rsidR="003C6287" w:rsidRDefault="003C6287" w:rsidP="00B96CCF">
            <w:pPr>
              <w:spacing w:after="0" w:line="240" w:lineRule="auto"/>
              <w:jc w:val="center"/>
              <w:rPr>
                <w:rFonts w:cs="Times New Roman"/>
                <w:b/>
                <w:bCs/>
                <w:sz w:val="20"/>
                <w:szCs w:val="20"/>
              </w:rPr>
            </w:pPr>
            <w:r>
              <w:rPr>
                <w:rFonts w:cs="Times New Roman"/>
                <w:b/>
                <w:bCs/>
                <w:sz w:val="20"/>
                <w:szCs w:val="20"/>
              </w:rPr>
              <w:t>Return</w:t>
            </w:r>
          </w:p>
        </w:tc>
        <w:tc>
          <w:tcPr>
            <w:tcW w:w="1281" w:type="dxa"/>
            <w:tcBorders>
              <w:top w:val="single" w:sz="8" w:space="0" w:color="auto"/>
              <w:left w:val="single" w:sz="8" w:space="0" w:color="auto"/>
              <w:bottom w:val="single" w:sz="8" w:space="0" w:color="auto"/>
              <w:right w:val="single" w:sz="8" w:space="0" w:color="auto"/>
            </w:tcBorders>
            <w:noWrap/>
            <w:vAlign w:val="bottom"/>
            <w:hideMark/>
          </w:tcPr>
          <w:p w14:paraId="31661533" w14:textId="77777777" w:rsidR="003C6287" w:rsidRDefault="003C6287" w:rsidP="00B96CCF">
            <w:pPr>
              <w:spacing w:after="0" w:line="240" w:lineRule="auto"/>
              <w:jc w:val="center"/>
              <w:rPr>
                <w:rFonts w:cs="Times New Roman"/>
                <w:b/>
                <w:bCs/>
                <w:sz w:val="20"/>
                <w:szCs w:val="20"/>
              </w:rPr>
            </w:pPr>
            <w:r>
              <w:rPr>
                <w:rFonts w:cs="Times New Roman"/>
                <w:b/>
                <w:bCs/>
                <w:sz w:val="20"/>
                <w:szCs w:val="20"/>
              </w:rPr>
              <w:t>Skewness(S)</w:t>
            </w:r>
          </w:p>
        </w:tc>
        <w:tc>
          <w:tcPr>
            <w:tcW w:w="1398" w:type="dxa"/>
            <w:tcBorders>
              <w:top w:val="single" w:sz="8" w:space="0" w:color="auto"/>
              <w:left w:val="nil"/>
              <w:bottom w:val="single" w:sz="8" w:space="0" w:color="auto"/>
              <w:right w:val="nil"/>
            </w:tcBorders>
            <w:noWrap/>
            <w:vAlign w:val="bottom"/>
            <w:hideMark/>
          </w:tcPr>
          <w:p w14:paraId="34481F98" w14:textId="77777777" w:rsidR="003C6287" w:rsidRDefault="003C6287" w:rsidP="00B96CCF">
            <w:pPr>
              <w:spacing w:after="0" w:line="240" w:lineRule="auto"/>
              <w:jc w:val="center"/>
              <w:rPr>
                <w:rFonts w:cs="Times New Roman"/>
                <w:b/>
                <w:bCs/>
                <w:sz w:val="20"/>
                <w:szCs w:val="20"/>
              </w:rPr>
            </w:pPr>
            <w:r>
              <w:rPr>
                <w:rFonts w:cs="Times New Roman"/>
                <w:b/>
                <w:bCs/>
                <w:sz w:val="20"/>
                <w:szCs w:val="20"/>
              </w:rPr>
              <w:t>Kurtosis(S)</w:t>
            </w:r>
          </w:p>
        </w:tc>
        <w:tc>
          <w:tcPr>
            <w:tcW w:w="1620" w:type="dxa"/>
            <w:tcBorders>
              <w:top w:val="single" w:sz="8" w:space="0" w:color="auto"/>
              <w:left w:val="single" w:sz="8" w:space="0" w:color="auto"/>
              <w:bottom w:val="single" w:sz="8" w:space="0" w:color="auto"/>
              <w:right w:val="single" w:sz="8" w:space="0" w:color="auto"/>
            </w:tcBorders>
            <w:noWrap/>
            <w:vAlign w:val="bottom"/>
            <w:hideMark/>
          </w:tcPr>
          <w:p w14:paraId="4DF0CA6F" w14:textId="77777777" w:rsidR="003C6287" w:rsidRDefault="003C6287" w:rsidP="00B96CCF">
            <w:pPr>
              <w:spacing w:after="0" w:line="240" w:lineRule="auto"/>
              <w:jc w:val="center"/>
              <w:rPr>
                <w:rFonts w:cs="Times New Roman"/>
                <w:b/>
                <w:bCs/>
                <w:sz w:val="20"/>
                <w:szCs w:val="20"/>
              </w:rPr>
            </w:pPr>
            <w:r>
              <w:rPr>
                <w:rFonts w:cs="Times New Roman"/>
                <w:b/>
                <w:bCs/>
                <w:sz w:val="20"/>
                <w:szCs w:val="20"/>
              </w:rPr>
              <w:t>Skewness (R)</w:t>
            </w:r>
          </w:p>
        </w:tc>
        <w:tc>
          <w:tcPr>
            <w:tcW w:w="1350" w:type="dxa"/>
            <w:tcBorders>
              <w:top w:val="single" w:sz="8" w:space="0" w:color="auto"/>
              <w:left w:val="nil"/>
              <w:bottom w:val="single" w:sz="8" w:space="0" w:color="auto"/>
              <w:right w:val="single" w:sz="8" w:space="0" w:color="auto"/>
            </w:tcBorders>
            <w:noWrap/>
            <w:vAlign w:val="bottom"/>
            <w:hideMark/>
          </w:tcPr>
          <w:p w14:paraId="2992D15A" w14:textId="77777777" w:rsidR="003C6287" w:rsidRDefault="003C6287" w:rsidP="00B96CCF">
            <w:pPr>
              <w:spacing w:after="0" w:line="240" w:lineRule="auto"/>
              <w:jc w:val="center"/>
              <w:rPr>
                <w:rFonts w:cs="Times New Roman"/>
                <w:b/>
                <w:bCs/>
                <w:sz w:val="20"/>
                <w:szCs w:val="20"/>
              </w:rPr>
            </w:pPr>
            <w:r>
              <w:rPr>
                <w:rFonts w:cs="Times New Roman"/>
                <w:b/>
                <w:bCs/>
                <w:sz w:val="20"/>
                <w:szCs w:val="20"/>
              </w:rPr>
              <w:t>Kurtosis (R)</w:t>
            </w:r>
          </w:p>
        </w:tc>
      </w:tr>
      <w:tr w:rsidR="00876C49" w14:paraId="05582694" w14:textId="77777777" w:rsidTr="001A3F55">
        <w:trPr>
          <w:trHeight w:val="588"/>
        </w:trPr>
        <w:tc>
          <w:tcPr>
            <w:tcW w:w="1003" w:type="dxa"/>
            <w:tcBorders>
              <w:top w:val="nil"/>
              <w:left w:val="single" w:sz="8" w:space="0" w:color="auto"/>
              <w:bottom w:val="nil"/>
              <w:right w:val="single" w:sz="8" w:space="0" w:color="auto"/>
            </w:tcBorders>
            <w:noWrap/>
            <w:vAlign w:val="bottom"/>
            <w:hideMark/>
          </w:tcPr>
          <w:p w14:paraId="5277428C" w14:textId="77777777" w:rsidR="003C6287" w:rsidRDefault="003C6287" w:rsidP="00B96CCF">
            <w:pPr>
              <w:spacing w:after="0" w:line="240" w:lineRule="auto"/>
              <w:rPr>
                <w:rFonts w:cs="Times New Roman"/>
                <w:b/>
                <w:bCs/>
                <w:sz w:val="20"/>
                <w:szCs w:val="20"/>
              </w:rPr>
            </w:pPr>
            <w:r>
              <w:rPr>
                <w:rFonts w:cs="Times New Roman"/>
                <w:b/>
                <w:bCs/>
                <w:sz w:val="20"/>
                <w:szCs w:val="20"/>
              </w:rPr>
              <w:t>Mean</w:t>
            </w:r>
          </w:p>
        </w:tc>
        <w:tc>
          <w:tcPr>
            <w:tcW w:w="1532" w:type="dxa"/>
            <w:tcBorders>
              <w:top w:val="nil"/>
              <w:left w:val="nil"/>
              <w:bottom w:val="nil"/>
              <w:right w:val="single" w:sz="8" w:space="0" w:color="auto"/>
            </w:tcBorders>
            <w:noWrap/>
            <w:vAlign w:val="bottom"/>
            <w:hideMark/>
          </w:tcPr>
          <w:p w14:paraId="4440CFC0" w14:textId="77777777" w:rsidR="003C6287" w:rsidRPr="00BC6489" w:rsidRDefault="003C6287" w:rsidP="00B96CCF">
            <w:pPr>
              <w:spacing w:after="0" w:line="240" w:lineRule="auto"/>
              <w:jc w:val="center"/>
              <w:rPr>
                <w:rFonts w:cs="Times New Roman"/>
                <w:bCs/>
                <w:sz w:val="20"/>
                <w:szCs w:val="20"/>
              </w:rPr>
            </w:pPr>
            <w:r w:rsidRPr="00BC6489">
              <w:rPr>
                <w:rFonts w:cs="Times New Roman"/>
                <w:bCs/>
                <w:sz w:val="20"/>
                <w:szCs w:val="20"/>
              </w:rPr>
              <w:t>0.146051035</w:t>
            </w:r>
          </w:p>
        </w:tc>
        <w:tc>
          <w:tcPr>
            <w:tcW w:w="1281" w:type="dxa"/>
            <w:noWrap/>
            <w:vAlign w:val="bottom"/>
            <w:hideMark/>
          </w:tcPr>
          <w:p w14:paraId="056EC45B" w14:textId="77777777" w:rsidR="003C6287" w:rsidRPr="00BC6489" w:rsidRDefault="003C6287" w:rsidP="00B96CCF">
            <w:pPr>
              <w:spacing w:after="0" w:line="240" w:lineRule="auto"/>
              <w:jc w:val="center"/>
              <w:rPr>
                <w:rFonts w:cs="Times New Roman"/>
                <w:bCs/>
                <w:sz w:val="20"/>
                <w:szCs w:val="20"/>
              </w:rPr>
            </w:pPr>
            <w:r w:rsidRPr="00BC6489">
              <w:rPr>
                <w:rFonts w:cs="Times New Roman"/>
                <w:bCs/>
                <w:sz w:val="20"/>
                <w:szCs w:val="20"/>
              </w:rPr>
              <w:t>-7.761E-06</w:t>
            </w:r>
          </w:p>
        </w:tc>
        <w:tc>
          <w:tcPr>
            <w:tcW w:w="1281" w:type="dxa"/>
            <w:tcBorders>
              <w:top w:val="nil"/>
              <w:left w:val="single" w:sz="8" w:space="0" w:color="auto"/>
              <w:bottom w:val="nil"/>
              <w:right w:val="single" w:sz="8" w:space="0" w:color="auto"/>
            </w:tcBorders>
            <w:noWrap/>
            <w:vAlign w:val="bottom"/>
            <w:hideMark/>
          </w:tcPr>
          <w:p w14:paraId="056F951A" w14:textId="77777777" w:rsidR="003C6287" w:rsidRPr="00BC6489" w:rsidRDefault="003C6287" w:rsidP="00B96CCF">
            <w:pPr>
              <w:spacing w:after="0" w:line="240" w:lineRule="auto"/>
              <w:jc w:val="center"/>
              <w:rPr>
                <w:rFonts w:cs="Times New Roman"/>
                <w:bCs/>
                <w:sz w:val="20"/>
                <w:szCs w:val="20"/>
              </w:rPr>
            </w:pPr>
            <w:r w:rsidRPr="00BC6489">
              <w:rPr>
                <w:rFonts w:cs="Times New Roman"/>
                <w:bCs/>
                <w:sz w:val="20"/>
                <w:szCs w:val="20"/>
              </w:rPr>
              <w:t>1.489623316</w:t>
            </w:r>
          </w:p>
        </w:tc>
        <w:tc>
          <w:tcPr>
            <w:tcW w:w="1398" w:type="dxa"/>
            <w:noWrap/>
            <w:vAlign w:val="bottom"/>
            <w:hideMark/>
          </w:tcPr>
          <w:p w14:paraId="24B7C935" w14:textId="77777777" w:rsidR="003C6287" w:rsidRPr="00BC6489" w:rsidRDefault="003C6287" w:rsidP="00B96CCF">
            <w:pPr>
              <w:spacing w:after="0" w:line="240" w:lineRule="auto"/>
              <w:jc w:val="center"/>
              <w:rPr>
                <w:rFonts w:cs="Times New Roman"/>
                <w:bCs/>
                <w:sz w:val="20"/>
                <w:szCs w:val="20"/>
              </w:rPr>
            </w:pPr>
            <w:r w:rsidRPr="00BC6489">
              <w:rPr>
                <w:rFonts w:cs="Times New Roman"/>
                <w:bCs/>
                <w:sz w:val="20"/>
                <w:szCs w:val="20"/>
              </w:rPr>
              <w:t>3.54335582</w:t>
            </w:r>
          </w:p>
        </w:tc>
        <w:tc>
          <w:tcPr>
            <w:tcW w:w="1620" w:type="dxa"/>
            <w:tcBorders>
              <w:top w:val="nil"/>
              <w:left w:val="single" w:sz="8" w:space="0" w:color="auto"/>
              <w:bottom w:val="nil"/>
              <w:right w:val="single" w:sz="8" w:space="0" w:color="auto"/>
            </w:tcBorders>
            <w:noWrap/>
            <w:vAlign w:val="bottom"/>
            <w:hideMark/>
          </w:tcPr>
          <w:p w14:paraId="39AECA06" w14:textId="77777777" w:rsidR="003C6287" w:rsidRPr="00BC6489" w:rsidRDefault="003C6287" w:rsidP="00B96CCF">
            <w:pPr>
              <w:spacing w:after="0" w:line="240" w:lineRule="auto"/>
              <w:jc w:val="center"/>
              <w:rPr>
                <w:rFonts w:cs="Times New Roman"/>
                <w:bCs/>
                <w:sz w:val="20"/>
                <w:szCs w:val="20"/>
              </w:rPr>
            </w:pPr>
            <w:r w:rsidRPr="00BC6489">
              <w:rPr>
                <w:rFonts w:cs="Times New Roman"/>
                <w:bCs/>
                <w:sz w:val="20"/>
                <w:szCs w:val="20"/>
              </w:rPr>
              <w:t>-0.140138502</w:t>
            </w:r>
          </w:p>
        </w:tc>
        <w:tc>
          <w:tcPr>
            <w:tcW w:w="1350" w:type="dxa"/>
            <w:tcBorders>
              <w:top w:val="nil"/>
              <w:left w:val="nil"/>
              <w:bottom w:val="nil"/>
              <w:right w:val="single" w:sz="8" w:space="0" w:color="auto"/>
            </w:tcBorders>
            <w:noWrap/>
            <w:vAlign w:val="bottom"/>
            <w:hideMark/>
          </w:tcPr>
          <w:p w14:paraId="018924DF" w14:textId="77777777" w:rsidR="003C6287" w:rsidRPr="00BC6489" w:rsidRDefault="003C6287" w:rsidP="00B96CCF">
            <w:pPr>
              <w:spacing w:after="0" w:line="240" w:lineRule="auto"/>
              <w:jc w:val="center"/>
              <w:rPr>
                <w:rFonts w:cs="Times New Roman"/>
                <w:bCs/>
                <w:sz w:val="20"/>
                <w:szCs w:val="20"/>
              </w:rPr>
            </w:pPr>
            <w:r w:rsidRPr="00BC6489">
              <w:rPr>
                <w:rFonts w:cs="Times New Roman"/>
                <w:bCs/>
                <w:sz w:val="20"/>
                <w:szCs w:val="20"/>
              </w:rPr>
              <w:t>1.39654264</w:t>
            </w:r>
          </w:p>
        </w:tc>
      </w:tr>
      <w:tr w:rsidR="00876C49" w14:paraId="6EDB6E05" w14:textId="77777777" w:rsidTr="001A3F55">
        <w:trPr>
          <w:trHeight w:val="588"/>
        </w:trPr>
        <w:tc>
          <w:tcPr>
            <w:tcW w:w="1003" w:type="dxa"/>
            <w:tcBorders>
              <w:top w:val="nil"/>
              <w:left w:val="single" w:sz="8" w:space="0" w:color="auto"/>
              <w:bottom w:val="nil"/>
              <w:right w:val="single" w:sz="8" w:space="0" w:color="auto"/>
            </w:tcBorders>
            <w:noWrap/>
            <w:vAlign w:val="bottom"/>
            <w:hideMark/>
          </w:tcPr>
          <w:p w14:paraId="21CCABA6" w14:textId="77777777" w:rsidR="003C6287" w:rsidRDefault="003C6287" w:rsidP="00B96CCF">
            <w:pPr>
              <w:spacing w:after="0" w:line="240" w:lineRule="auto"/>
              <w:rPr>
                <w:rFonts w:cs="Times New Roman"/>
                <w:b/>
                <w:bCs/>
                <w:sz w:val="20"/>
                <w:szCs w:val="20"/>
              </w:rPr>
            </w:pPr>
            <w:r>
              <w:rPr>
                <w:rFonts w:cs="Times New Roman"/>
                <w:b/>
                <w:bCs/>
                <w:sz w:val="20"/>
                <w:szCs w:val="20"/>
              </w:rPr>
              <w:t>Median</w:t>
            </w:r>
          </w:p>
        </w:tc>
        <w:tc>
          <w:tcPr>
            <w:tcW w:w="1532" w:type="dxa"/>
            <w:tcBorders>
              <w:top w:val="nil"/>
              <w:left w:val="nil"/>
              <w:bottom w:val="nil"/>
              <w:right w:val="single" w:sz="8" w:space="0" w:color="auto"/>
            </w:tcBorders>
            <w:noWrap/>
            <w:vAlign w:val="bottom"/>
            <w:hideMark/>
          </w:tcPr>
          <w:p w14:paraId="43E1C0E6" w14:textId="77777777" w:rsidR="003C6287" w:rsidRPr="00BC6489" w:rsidRDefault="003C6287" w:rsidP="00B96CCF">
            <w:pPr>
              <w:spacing w:after="0" w:line="240" w:lineRule="auto"/>
              <w:jc w:val="center"/>
              <w:rPr>
                <w:rFonts w:cs="Times New Roman"/>
                <w:bCs/>
                <w:sz w:val="20"/>
                <w:szCs w:val="20"/>
              </w:rPr>
            </w:pPr>
            <w:r w:rsidRPr="00BC6489">
              <w:rPr>
                <w:rFonts w:cs="Times New Roman"/>
                <w:bCs/>
                <w:sz w:val="20"/>
                <w:szCs w:val="20"/>
              </w:rPr>
              <w:t>0.129639101</w:t>
            </w:r>
          </w:p>
        </w:tc>
        <w:tc>
          <w:tcPr>
            <w:tcW w:w="1281" w:type="dxa"/>
            <w:noWrap/>
            <w:vAlign w:val="bottom"/>
            <w:hideMark/>
          </w:tcPr>
          <w:p w14:paraId="46B21DF2" w14:textId="77777777" w:rsidR="003C6287" w:rsidRPr="00BC6489" w:rsidRDefault="003C6287" w:rsidP="00B96CCF">
            <w:pPr>
              <w:spacing w:after="0" w:line="240" w:lineRule="auto"/>
              <w:jc w:val="center"/>
              <w:rPr>
                <w:rFonts w:cs="Times New Roman"/>
                <w:bCs/>
                <w:sz w:val="20"/>
                <w:szCs w:val="20"/>
              </w:rPr>
            </w:pPr>
            <w:r w:rsidRPr="00BC6489">
              <w:rPr>
                <w:rFonts w:cs="Times New Roman"/>
                <w:bCs/>
                <w:sz w:val="20"/>
                <w:szCs w:val="20"/>
              </w:rPr>
              <w:t>0.00036725</w:t>
            </w:r>
          </w:p>
        </w:tc>
        <w:tc>
          <w:tcPr>
            <w:tcW w:w="1281" w:type="dxa"/>
            <w:tcBorders>
              <w:top w:val="nil"/>
              <w:left w:val="single" w:sz="8" w:space="0" w:color="auto"/>
              <w:bottom w:val="nil"/>
              <w:right w:val="single" w:sz="8" w:space="0" w:color="auto"/>
            </w:tcBorders>
            <w:noWrap/>
            <w:vAlign w:val="bottom"/>
            <w:hideMark/>
          </w:tcPr>
          <w:p w14:paraId="3A339BBD" w14:textId="77777777" w:rsidR="003C6287" w:rsidRPr="00BC6489" w:rsidRDefault="003C6287" w:rsidP="00B96CCF">
            <w:pPr>
              <w:spacing w:after="0" w:line="240" w:lineRule="auto"/>
              <w:jc w:val="center"/>
              <w:rPr>
                <w:rFonts w:cs="Times New Roman"/>
                <w:bCs/>
                <w:sz w:val="20"/>
                <w:szCs w:val="20"/>
              </w:rPr>
            </w:pPr>
            <w:r w:rsidRPr="00BC6489">
              <w:rPr>
                <w:rFonts w:cs="Times New Roman"/>
                <w:bCs/>
                <w:sz w:val="20"/>
                <w:szCs w:val="20"/>
              </w:rPr>
              <w:t>1.410208357</w:t>
            </w:r>
          </w:p>
        </w:tc>
        <w:tc>
          <w:tcPr>
            <w:tcW w:w="1398" w:type="dxa"/>
            <w:noWrap/>
            <w:vAlign w:val="bottom"/>
            <w:hideMark/>
          </w:tcPr>
          <w:p w14:paraId="68EA7ECB" w14:textId="77777777" w:rsidR="003C6287" w:rsidRPr="00BC6489" w:rsidRDefault="003C6287" w:rsidP="00B96CCF">
            <w:pPr>
              <w:spacing w:after="0" w:line="240" w:lineRule="auto"/>
              <w:jc w:val="center"/>
              <w:rPr>
                <w:rFonts w:cs="Times New Roman"/>
                <w:bCs/>
                <w:sz w:val="20"/>
                <w:szCs w:val="20"/>
              </w:rPr>
            </w:pPr>
            <w:r w:rsidRPr="00BC6489">
              <w:rPr>
                <w:rFonts w:cs="Times New Roman"/>
                <w:bCs/>
                <w:sz w:val="20"/>
                <w:szCs w:val="20"/>
              </w:rPr>
              <w:t>3.253552569</w:t>
            </w:r>
          </w:p>
        </w:tc>
        <w:tc>
          <w:tcPr>
            <w:tcW w:w="1620" w:type="dxa"/>
            <w:tcBorders>
              <w:top w:val="nil"/>
              <w:left w:val="single" w:sz="8" w:space="0" w:color="auto"/>
              <w:bottom w:val="nil"/>
              <w:right w:val="single" w:sz="8" w:space="0" w:color="auto"/>
            </w:tcBorders>
            <w:noWrap/>
            <w:vAlign w:val="bottom"/>
            <w:hideMark/>
          </w:tcPr>
          <w:p w14:paraId="070F297C" w14:textId="77777777" w:rsidR="003C6287" w:rsidRPr="00BC6489" w:rsidRDefault="003C6287" w:rsidP="00B96CCF">
            <w:pPr>
              <w:spacing w:after="0" w:line="240" w:lineRule="auto"/>
              <w:jc w:val="center"/>
              <w:rPr>
                <w:rFonts w:cs="Times New Roman"/>
                <w:bCs/>
                <w:sz w:val="20"/>
                <w:szCs w:val="20"/>
              </w:rPr>
            </w:pPr>
            <w:r w:rsidRPr="00BC6489">
              <w:rPr>
                <w:rFonts w:cs="Times New Roman"/>
                <w:bCs/>
                <w:sz w:val="20"/>
                <w:szCs w:val="20"/>
              </w:rPr>
              <w:t>-0.134623322</w:t>
            </w:r>
          </w:p>
        </w:tc>
        <w:tc>
          <w:tcPr>
            <w:tcW w:w="1350" w:type="dxa"/>
            <w:tcBorders>
              <w:top w:val="nil"/>
              <w:left w:val="nil"/>
              <w:bottom w:val="nil"/>
              <w:right w:val="single" w:sz="8" w:space="0" w:color="auto"/>
            </w:tcBorders>
            <w:noWrap/>
            <w:vAlign w:val="bottom"/>
            <w:hideMark/>
          </w:tcPr>
          <w:p w14:paraId="6BB73790" w14:textId="77777777" w:rsidR="003C6287" w:rsidRPr="00BC6489" w:rsidRDefault="003C6287" w:rsidP="00B96CCF">
            <w:pPr>
              <w:spacing w:after="0" w:line="240" w:lineRule="auto"/>
              <w:jc w:val="center"/>
              <w:rPr>
                <w:rFonts w:cs="Times New Roman"/>
                <w:bCs/>
                <w:sz w:val="20"/>
                <w:szCs w:val="20"/>
              </w:rPr>
            </w:pPr>
            <w:r w:rsidRPr="00BC6489">
              <w:rPr>
                <w:rFonts w:cs="Times New Roman"/>
                <w:bCs/>
                <w:sz w:val="20"/>
                <w:szCs w:val="20"/>
              </w:rPr>
              <w:t>1.52654544</w:t>
            </w:r>
          </w:p>
        </w:tc>
      </w:tr>
      <w:tr w:rsidR="00876C49" w14:paraId="016129E0" w14:textId="77777777" w:rsidTr="001A3F55">
        <w:trPr>
          <w:trHeight w:val="588"/>
        </w:trPr>
        <w:tc>
          <w:tcPr>
            <w:tcW w:w="1003" w:type="dxa"/>
            <w:tcBorders>
              <w:top w:val="nil"/>
              <w:left w:val="single" w:sz="8" w:space="0" w:color="auto"/>
              <w:bottom w:val="nil"/>
              <w:right w:val="single" w:sz="8" w:space="0" w:color="auto"/>
            </w:tcBorders>
            <w:noWrap/>
            <w:vAlign w:val="bottom"/>
            <w:hideMark/>
          </w:tcPr>
          <w:p w14:paraId="7318A66E" w14:textId="77777777" w:rsidR="003C6287" w:rsidRDefault="003C6287" w:rsidP="00B96CCF">
            <w:pPr>
              <w:spacing w:after="0" w:line="240" w:lineRule="auto"/>
              <w:rPr>
                <w:rFonts w:cs="Times New Roman"/>
                <w:b/>
                <w:bCs/>
                <w:sz w:val="20"/>
                <w:szCs w:val="20"/>
              </w:rPr>
            </w:pPr>
            <w:r>
              <w:rPr>
                <w:rFonts w:cs="Times New Roman"/>
                <w:b/>
                <w:bCs/>
                <w:sz w:val="20"/>
                <w:szCs w:val="20"/>
              </w:rPr>
              <w:t>Std Dev.</w:t>
            </w:r>
          </w:p>
        </w:tc>
        <w:tc>
          <w:tcPr>
            <w:tcW w:w="1532" w:type="dxa"/>
            <w:tcBorders>
              <w:top w:val="nil"/>
              <w:left w:val="nil"/>
              <w:bottom w:val="nil"/>
              <w:right w:val="single" w:sz="8" w:space="0" w:color="auto"/>
            </w:tcBorders>
            <w:noWrap/>
            <w:vAlign w:val="bottom"/>
            <w:hideMark/>
          </w:tcPr>
          <w:p w14:paraId="13B5CA77" w14:textId="77777777" w:rsidR="003C6287" w:rsidRPr="00BC6489" w:rsidRDefault="003C6287" w:rsidP="00B96CCF">
            <w:pPr>
              <w:spacing w:after="0" w:line="240" w:lineRule="auto"/>
              <w:jc w:val="center"/>
              <w:rPr>
                <w:rFonts w:cs="Times New Roman"/>
                <w:bCs/>
                <w:sz w:val="20"/>
                <w:szCs w:val="20"/>
              </w:rPr>
            </w:pPr>
            <w:r w:rsidRPr="00BC6489">
              <w:rPr>
                <w:rFonts w:cs="Times New Roman"/>
                <w:bCs/>
                <w:sz w:val="20"/>
                <w:szCs w:val="20"/>
              </w:rPr>
              <w:t>0.082192034</w:t>
            </w:r>
          </w:p>
        </w:tc>
        <w:tc>
          <w:tcPr>
            <w:tcW w:w="1281" w:type="dxa"/>
            <w:noWrap/>
            <w:vAlign w:val="bottom"/>
            <w:hideMark/>
          </w:tcPr>
          <w:p w14:paraId="4024FE7D" w14:textId="77777777" w:rsidR="003C6287" w:rsidRPr="00BC6489" w:rsidRDefault="003C6287" w:rsidP="00B96CCF">
            <w:pPr>
              <w:spacing w:after="0" w:line="240" w:lineRule="auto"/>
              <w:jc w:val="center"/>
              <w:rPr>
                <w:rFonts w:cs="Times New Roman"/>
                <w:bCs/>
                <w:sz w:val="20"/>
                <w:szCs w:val="20"/>
              </w:rPr>
            </w:pPr>
            <w:r w:rsidRPr="00BC6489">
              <w:rPr>
                <w:rFonts w:cs="Times New Roman"/>
                <w:bCs/>
                <w:sz w:val="20"/>
                <w:szCs w:val="20"/>
              </w:rPr>
              <w:t>0.015546717</w:t>
            </w:r>
          </w:p>
        </w:tc>
        <w:tc>
          <w:tcPr>
            <w:tcW w:w="1281" w:type="dxa"/>
            <w:tcBorders>
              <w:top w:val="nil"/>
              <w:left w:val="single" w:sz="8" w:space="0" w:color="auto"/>
              <w:bottom w:val="nil"/>
              <w:right w:val="single" w:sz="8" w:space="0" w:color="auto"/>
            </w:tcBorders>
            <w:noWrap/>
            <w:vAlign w:val="bottom"/>
            <w:hideMark/>
          </w:tcPr>
          <w:p w14:paraId="6643D148" w14:textId="77777777" w:rsidR="003C6287" w:rsidRPr="00BC6489" w:rsidRDefault="003C6287" w:rsidP="00B96CCF">
            <w:pPr>
              <w:spacing w:after="0" w:line="240" w:lineRule="auto"/>
              <w:jc w:val="center"/>
              <w:rPr>
                <w:rFonts w:cs="Times New Roman"/>
                <w:bCs/>
                <w:sz w:val="20"/>
                <w:szCs w:val="20"/>
              </w:rPr>
            </w:pPr>
            <w:r w:rsidRPr="00BC6489">
              <w:rPr>
                <w:rFonts w:cs="Times New Roman"/>
                <w:bCs/>
                <w:sz w:val="20"/>
                <w:szCs w:val="20"/>
              </w:rPr>
              <w:t>0.290370656</w:t>
            </w:r>
          </w:p>
        </w:tc>
        <w:tc>
          <w:tcPr>
            <w:tcW w:w="1398" w:type="dxa"/>
            <w:noWrap/>
            <w:vAlign w:val="bottom"/>
            <w:hideMark/>
          </w:tcPr>
          <w:p w14:paraId="52C0A91F" w14:textId="77777777" w:rsidR="003C6287" w:rsidRPr="00BC6489" w:rsidRDefault="003C6287" w:rsidP="00B96CCF">
            <w:pPr>
              <w:spacing w:after="0" w:line="240" w:lineRule="auto"/>
              <w:jc w:val="center"/>
              <w:rPr>
                <w:rFonts w:cs="Times New Roman"/>
                <w:bCs/>
                <w:sz w:val="20"/>
                <w:szCs w:val="20"/>
              </w:rPr>
            </w:pPr>
            <w:r w:rsidRPr="00BC6489">
              <w:rPr>
                <w:rFonts w:cs="Times New Roman"/>
                <w:bCs/>
                <w:sz w:val="20"/>
                <w:szCs w:val="20"/>
              </w:rPr>
              <w:t>1.609695564</w:t>
            </w:r>
          </w:p>
        </w:tc>
        <w:tc>
          <w:tcPr>
            <w:tcW w:w="1620" w:type="dxa"/>
            <w:tcBorders>
              <w:top w:val="nil"/>
              <w:left w:val="single" w:sz="8" w:space="0" w:color="auto"/>
              <w:bottom w:val="nil"/>
              <w:right w:val="single" w:sz="8" w:space="0" w:color="auto"/>
            </w:tcBorders>
            <w:noWrap/>
            <w:vAlign w:val="bottom"/>
            <w:hideMark/>
          </w:tcPr>
          <w:p w14:paraId="4424EEAA" w14:textId="77777777" w:rsidR="003C6287" w:rsidRPr="00BC6489" w:rsidRDefault="003C6287" w:rsidP="00B96CCF">
            <w:pPr>
              <w:spacing w:after="0" w:line="240" w:lineRule="auto"/>
              <w:jc w:val="center"/>
              <w:rPr>
                <w:rFonts w:cs="Times New Roman"/>
                <w:bCs/>
                <w:sz w:val="20"/>
                <w:szCs w:val="20"/>
              </w:rPr>
            </w:pPr>
            <w:r w:rsidRPr="00BC6489">
              <w:rPr>
                <w:rFonts w:cs="Times New Roman"/>
                <w:bCs/>
                <w:sz w:val="20"/>
                <w:szCs w:val="20"/>
              </w:rPr>
              <w:t>0.247151212</w:t>
            </w:r>
          </w:p>
        </w:tc>
        <w:tc>
          <w:tcPr>
            <w:tcW w:w="1350" w:type="dxa"/>
            <w:tcBorders>
              <w:top w:val="nil"/>
              <w:left w:val="nil"/>
              <w:bottom w:val="nil"/>
              <w:right w:val="single" w:sz="8" w:space="0" w:color="auto"/>
            </w:tcBorders>
            <w:noWrap/>
            <w:vAlign w:val="bottom"/>
            <w:hideMark/>
          </w:tcPr>
          <w:p w14:paraId="57E4D8E2" w14:textId="77777777" w:rsidR="003C6287" w:rsidRPr="00BC6489" w:rsidRDefault="003C6287" w:rsidP="00B96CCF">
            <w:pPr>
              <w:spacing w:after="0" w:line="240" w:lineRule="auto"/>
              <w:jc w:val="center"/>
              <w:rPr>
                <w:rFonts w:cs="Times New Roman"/>
                <w:bCs/>
                <w:sz w:val="20"/>
                <w:szCs w:val="20"/>
              </w:rPr>
            </w:pPr>
            <w:r w:rsidRPr="00BC6489">
              <w:rPr>
                <w:rFonts w:cs="Times New Roman"/>
                <w:bCs/>
                <w:sz w:val="20"/>
                <w:szCs w:val="20"/>
              </w:rPr>
              <w:t>0.640799716</w:t>
            </w:r>
          </w:p>
        </w:tc>
      </w:tr>
      <w:tr w:rsidR="00876C49" w14:paraId="5DA322A7" w14:textId="77777777" w:rsidTr="001A3F55">
        <w:trPr>
          <w:trHeight w:val="618"/>
        </w:trPr>
        <w:tc>
          <w:tcPr>
            <w:tcW w:w="1003" w:type="dxa"/>
            <w:tcBorders>
              <w:top w:val="nil"/>
              <w:left w:val="single" w:sz="8" w:space="0" w:color="auto"/>
              <w:bottom w:val="nil"/>
              <w:right w:val="single" w:sz="8" w:space="0" w:color="auto"/>
            </w:tcBorders>
            <w:noWrap/>
            <w:vAlign w:val="bottom"/>
            <w:hideMark/>
          </w:tcPr>
          <w:p w14:paraId="07902CB4" w14:textId="77777777" w:rsidR="003C6287" w:rsidRDefault="003C6287" w:rsidP="00B96CCF">
            <w:pPr>
              <w:spacing w:after="0" w:line="240" w:lineRule="auto"/>
              <w:rPr>
                <w:rFonts w:cs="Times New Roman"/>
                <w:b/>
                <w:bCs/>
                <w:sz w:val="20"/>
                <w:szCs w:val="20"/>
              </w:rPr>
            </w:pPr>
            <w:r>
              <w:rPr>
                <w:rFonts w:cs="Times New Roman"/>
                <w:b/>
                <w:bCs/>
                <w:sz w:val="20"/>
                <w:szCs w:val="20"/>
              </w:rPr>
              <w:t> </w:t>
            </w:r>
          </w:p>
        </w:tc>
        <w:tc>
          <w:tcPr>
            <w:tcW w:w="1532" w:type="dxa"/>
            <w:tcBorders>
              <w:top w:val="nil"/>
              <w:left w:val="nil"/>
              <w:bottom w:val="nil"/>
              <w:right w:val="single" w:sz="8" w:space="0" w:color="auto"/>
            </w:tcBorders>
            <w:noWrap/>
            <w:vAlign w:val="bottom"/>
            <w:hideMark/>
          </w:tcPr>
          <w:p w14:paraId="410F9CF4" w14:textId="77777777" w:rsidR="003C6287" w:rsidRPr="00BC6489" w:rsidRDefault="003C6287" w:rsidP="00B96CCF">
            <w:pPr>
              <w:spacing w:after="0" w:line="240" w:lineRule="auto"/>
              <w:jc w:val="center"/>
              <w:rPr>
                <w:rFonts w:cs="Times New Roman"/>
                <w:bCs/>
                <w:sz w:val="20"/>
                <w:szCs w:val="20"/>
              </w:rPr>
            </w:pPr>
            <w:r w:rsidRPr="00BC6489">
              <w:rPr>
                <w:rFonts w:cs="Times New Roman"/>
                <w:bCs/>
                <w:sz w:val="20"/>
                <w:szCs w:val="20"/>
              </w:rPr>
              <w:t> </w:t>
            </w:r>
          </w:p>
        </w:tc>
        <w:tc>
          <w:tcPr>
            <w:tcW w:w="1281" w:type="dxa"/>
            <w:noWrap/>
            <w:vAlign w:val="bottom"/>
            <w:hideMark/>
          </w:tcPr>
          <w:p w14:paraId="0F051E63" w14:textId="77777777" w:rsidR="003C6287" w:rsidRPr="00BC6489" w:rsidRDefault="003C6287" w:rsidP="00B96CCF">
            <w:pPr>
              <w:spacing w:after="0"/>
              <w:rPr>
                <w:rFonts w:asciiTheme="minorHAnsi" w:eastAsiaTheme="minorHAnsi" w:hAnsiTheme="minorHAnsi" w:cs="Times New Roman"/>
              </w:rPr>
            </w:pPr>
          </w:p>
        </w:tc>
        <w:tc>
          <w:tcPr>
            <w:tcW w:w="1281" w:type="dxa"/>
            <w:tcBorders>
              <w:top w:val="nil"/>
              <w:left w:val="single" w:sz="8" w:space="0" w:color="auto"/>
              <w:bottom w:val="nil"/>
              <w:right w:val="single" w:sz="8" w:space="0" w:color="auto"/>
            </w:tcBorders>
            <w:noWrap/>
            <w:vAlign w:val="bottom"/>
            <w:hideMark/>
          </w:tcPr>
          <w:p w14:paraId="526B80C0" w14:textId="77777777" w:rsidR="003C6287" w:rsidRPr="00BC6489" w:rsidRDefault="003C6287" w:rsidP="00B96CCF">
            <w:pPr>
              <w:spacing w:after="0" w:line="240" w:lineRule="auto"/>
              <w:jc w:val="center"/>
              <w:rPr>
                <w:rFonts w:cs="Times New Roman"/>
                <w:bCs/>
                <w:sz w:val="20"/>
                <w:szCs w:val="20"/>
              </w:rPr>
            </w:pPr>
            <w:r w:rsidRPr="00BC6489">
              <w:rPr>
                <w:rFonts w:cs="Times New Roman"/>
                <w:bCs/>
                <w:sz w:val="20"/>
                <w:szCs w:val="20"/>
              </w:rPr>
              <w:t> </w:t>
            </w:r>
          </w:p>
        </w:tc>
        <w:tc>
          <w:tcPr>
            <w:tcW w:w="1398" w:type="dxa"/>
            <w:noWrap/>
            <w:vAlign w:val="bottom"/>
            <w:hideMark/>
          </w:tcPr>
          <w:p w14:paraId="013715DA" w14:textId="77777777" w:rsidR="003C6287" w:rsidRPr="00BC6489" w:rsidRDefault="003C6287" w:rsidP="00B96CCF">
            <w:pPr>
              <w:spacing w:after="0"/>
              <w:rPr>
                <w:rFonts w:asciiTheme="minorHAnsi" w:eastAsiaTheme="minorHAnsi" w:hAnsiTheme="minorHAnsi" w:cs="Times New Roman"/>
              </w:rPr>
            </w:pPr>
          </w:p>
        </w:tc>
        <w:tc>
          <w:tcPr>
            <w:tcW w:w="1620" w:type="dxa"/>
            <w:tcBorders>
              <w:top w:val="nil"/>
              <w:left w:val="single" w:sz="8" w:space="0" w:color="auto"/>
              <w:bottom w:val="nil"/>
              <w:right w:val="single" w:sz="8" w:space="0" w:color="auto"/>
            </w:tcBorders>
            <w:noWrap/>
            <w:vAlign w:val="bottom"/>
            <w:hideMark/>
          </w:tcPr>
          <w:p w14:paraId="394E0657" w14:textId="77777777" w:rsidR="003C6287" w:rsidRPr="00BC6489" w:rsidRDefault="003C6287" w:rsidP="00B96CCF">
            <w:pPr>
              <w:spacing w:after="0" w:line="240" w:lineRule="auto"/>
              <w:jc w:val="center"/>
              <w:rPr>
                <w:rFonts w:cs="Times New Roman"/>
                <w:bCs/>
                <w:sz w:val="20"/>
                <w:szCs w:val="20"/>
              </w:rPr>
            </w:pPr>
            <w:r w:rsidRPr="00BC6489">
              <w:rPr>
                <w:rFonts w:cs="Times New Roman"/>
                <w:bCs/>
                <w:sz w:val="20"/>
                <w:szCs w:val="20"/>
              </w:rPr>
              <w:t> </w:t>
            </w:r>
          </w:p>
        </w:tc>
        <w:tc>
          <w:tcPr>
            <w:tcW w:w="1350" w:type="dxa"/>
            <w:tcBorders>
              <w:top w:val="nil"/>
              <w:left w:val="nil"/>
              <w:bottom w:val="nil"/>
              <w:right w:val="single" w:sz="8" w:space="0" w:color="auto"/>
            </w:tcBorders>
            <w:noWrap/>
            <w:vAlign w:val="bottom"/>
            <w:hideMark/>
          </w:tcPr>
          <w:p w14:paraId="01560FA7" w14:textId="77777777" w:rsidR="003C6287" w:rsidRPr="00BC6489" w:rsidRDefault="003C6287" w:rsidP="00B96CCF">
            <w:pPr>
              <w:spacing w:after="0" w:line="240" w:lineRule="auto"/>
              <w:jc w:val="center"/>
              <w:rPr>
                <w:rFonts w:cs="Times New Roman"/>
                <w:bCs/>
                <w:sz w:val="20"/>
                <w:szCs w:val="20"/>
              </w:rPr>
            </w:pPr>
            <w:r w:rsidRPr="00BC6489">
              <w:rPr>
                <w:rFonts w:cs="Times New Roman"/>
                <w:bCs/>
                <w:sz w:val="20"/>
                <w:szCs w:val="20"/>
              </w:rPr>
              <w:t> </w:t>
            </w:r>
          </w:p>
        </w:tc>
      </w:tr>
      <w:tr w:rsidR="00876C49" w14:paraId="6FD863FF" w14:textId="77777777" w:rsidTr="001A3F55">
        <w:trPr>
          <w:trHeight w:val="618"/>
        </w:trPr>
        <w:tc>
          <w:tcPr>
            <w:tcW w:w="1003" w:type="dxa"/>
            <w:tcBorders>
              <w:top w:val="single" w:sz="8" w:space="0" w:color="auto"/>
              <w:left w:val="single" w:sz="8" w:space="0" w:color="auto"/>
              <w:bottom w:val="single" w:sz="8" w:space="0" w:color="auto"/>
              <w:right w:val="single" w:sz="8" w:space="0" w:color="auto"/>
            </w:tcBorders>
            <w:noWrap/>
            <w:vAlign w:val="bottom"/>
            <w:hideMark/>
          </w:tcPr>
          <w:p w14:paraId="56754838" w14:textId="77777777" w:rsidR="003C6287" w:rsidRDefault="003C6287" w:rsidP="00B96CCF">
            <w:pPr>
              <w:spacing w:after="0" w:line="240" w:lineRule="auto"/>
              <w:rPr>
                <w:rFonts w:cs="Times New Roman"/>
                <w:b/>
                <w:bCs/>
                <w:sz w:val="20"/>
                <w:szCs w:val="20"/>
              </w:rPr>
            </w:pPr>
            <w:r>
              <w:rPr>
                <w:rFonts w:cs="Times New Roman"/>
                <w:b/>
                <w:bCs/>
                <w:sz w:val="20"/>
                <w:szCs w:val="20"/>
              </w:rPr>
              <w:t> </w:t>
            </w:r>
          </w:p>
        </w:tc>
        <w:tc>
          <w:tcPr>
            <w:tcW w:w="1532" w:type="dxa"/>
            <w:tcBorders>
              <w:top w:val="single" w:sz="8" w:space="0" w:color="auto"/>
              <w:left w:val="nil"/>
              <w:bottom w:val="single" w:sz="8" w:space="0" w:color="auto"/>
              <w:right w:val="single" w:sz="8" w:space="0" w:color="auto"/>
            </w:tcBorders>
            <w:noWrap/>
            <w:vAlign w:val="bottom"/>
            <w:hideMark/>
          </w:tcPr>
          <w:p w14:paraId="6C6072B2" w14:textId="77777777" w:rsidR="003C6287" w:rsidRDefault="003C6287" w:rsidP="00B96CCF">
            <w:pPr>
              <w:spacing w:after="0" w:line="240" w:lineRule="auto"/>
              <w:jc w:val="center"/>
              <w:rPr>
                <w:rFonts w:cs="Times New Roman"/>
                <w:b/>
                <w:bCs/>
                <w:sz w:val="20"/>
                <w:szCs w:val="20"/>
              </w:rPr>
            </w:pPr>
            <w:r>
              <w:rPr>
                <w:rFonts w:cs="Times New Roman"/>
                <w:b/>
                <w:bCs/>
                <w:sz w:val="20"/>
                <w:szCs w:val="20"/>
              </w:rPr>
              <w:t>z-alpha(Bangia)</w:t>
            </w:r>
          </w:p>
        </w:tc>
        <w:tc>
          <w:tcPr>
            <w:tcW w:w="1281" w:type="dxa"/>
            <w:tcBorders>
              <w:top w:val="single" w:sz="8" w:space="0" w:color="auto"/>
              <w:left w:val="nil"/>
              <w:bottom w:val="single" w:sz="8" w:space="0" w:color="auto"/>
              <w:right w:val="nil"/>
            </w:tcBorders>
            <w:noWrap/>
            <w:vAlign w:val="bottom"/>
            <w:hideMark/>
          </w:tcPr>
          <w:p w14:paraId="4B1CF526" w14:textId="77777777" w:rsidR="003C6287" w:rsidRDefault="003C6287" w:rsidP="00B96CCF">
            <w:pPr>
              <w:spacing w:after="0" w:line="240" w:lineRule="auto"/>
              <w:jc w:val="center"/>
              <w:rPr>
                <w:rFonts w:cs="Times New Roman"/>
                <w:b/>
                <w:bCs/>
                <w:sz w:val="20"/>
                <w:szCs w:val="20"/>
              </w:rPr>
            </w:pPr>
            <w:r>
              <w:rPr>
                <w:rFonts w:cs="Times New Roman"/>
                <w:b/>
                <w:bCs/>
                <w:sz w:val="20"/>
                <w:szCs w:val="20"/>
              </w:rPr>
              <w:t>z-cornish(S)</w:t>
            </w:r>
          </w:p>
        </w:tc>
        <w:tc>
          <w:tcPr>
            <w:tcW w:w="1281" w:type="dxa"/>
            <w:tcBorders>
              <w:top w:val="single" w:sz="8" w:space="0" w:color="auto"/>
              <w:left w:val="single" w:sz="8" w:space="0" w:color="auto"/>
              <w:bottom w:val="single" w:sz="8" w:space="0" w:color="auto"/>
              <w:right w:val="single" w:sz="8" w:space="0" w:color="auto"/>
            </w:tcBorders>
            <w:noWrap/>
            <w:vAlign w:val="bottom"/>
            <w:hideMark/>
          </w:tcPr>
          <w:p w14:paraId="30F58E98" w14:textId="77777777" w:rsidR="003C6287" w:rsidRDefault="003C6287" w:rsidP="00B96CCF">
            <w:pPr>
              <w:spacing w:after="0" w:line="240" w:lineRule="auto"/>
              <w:jc w:val="center"/>
              <w:rPr>
                <w:rFonts w:cs="Times New Roman"/>
                <w:b/>
                <w:bCs/>
                <w:sz w:val="20"/>
                <w:szCs w:val="20"/>
              </w:rPr>
            </w:pPr>
            <w:r>
              <w:rPr>
                <w:rFonts w:cs="Times New Roman"/>
                <w:b/>
                <w:bCs/>
                <w:sz w:val="20"/>
                <w:szCs w:val="20"/>
              </w:rPr>
              <w:t>z-cornish (R)</w:t>
            </w:r>
          </w:p>
        </w:tc>
        <w:tc>
          <w:tcPr>
            <w:tcW w:w="1398" w:type="dxa"/>
            <w:tcBorders>
              <w:top w:val="single" w:sz="8" w:space="0" w:color="auto"/>
              <w:left w:val="nil"/>
              <w:bottom w:val="single" w:sz="8" w:space="0" w:color="auto"/>
              <w:right w:val="nil"/>
            </w:tcBorders>
            <w:noWrap/>
            <w:vAlign w:val="bottom"/>
            <w:hideMark/>
          </w:tcPr>
          <w:p w14:paraId="576C2440" w14:textId="77777777" w:rsidR="003C6287" w:rsidRDefault="003C6287" w:rsidP="00B96CCF">
            <w:pPr>
              <w:spacing w:after="0" w:line="240" w:lineRule="auto"/>
              <w:jc w:val="center"/>
              <w:rPr>
                <w:rFonts w:cs="Times New Roman"/>
                <w:b/>
                <w:bCs/>
                <w:sz w:val="20"/>
                <w:szCs w:val="20"/>
              </w:rPr>
            </w:pPr>
            <w:r>
              <w:rPr>
                <w:rFonts w:cs="Times New Roman"/>
                <w:b/>
                <w:bCs/>
                <w:sz w:val="20"/>
                <w:szCs w:val="20"/>
              </w:rPr>
              <w:t>Price Risk (%)</w:t>
            </w:r>
          </w:p>
        </w:tc>
        <w:tc>
          <w:tcPr>
            <w:tcW w:w="1620" w:type="dxa"/>
            <w:tcBorders>
              <w:top w:val="single" w:sz="8" w:space="0" w:color="auto"/>
              <w:left w:val="single" w:sz="8" w:space="0" w:color="auto"/>
              <w:bottom w:val="single" w:sz="8" w:space="0" w:color="auto"/>
              <w:right w:val="single" w:sz="8" w:space="0" w:color="auto"/>
            </w:tcBorders>
            <w:noWrap/>
            <w:vAlign w:val="bottom"/>
            <w:hideMark/>
          </w:tcPr>
          <w:p w14:paraId="6AB78C94" w14:textId="77777777" w:rsidR="003C6287" w:rsidRDefault="003C6287" w:rsidP="00B96CCF">
            <w:pPr>
              <w:spacing w:after="0" w:line="240" w:lineRule="auto"/>
              <w:jc w:val="center"/>
              <w:rPr>
                <w:rFonts w:cs="Times New Roman"/>
                <w:b/>
                <w:bCs/>
                <w:sz w:val="20"/>
                <w:szCs w:val="20"/>
              </w:rPr>
            </w:pPr>
            <w:r>
              <w:rPr>
                <w:rFonts w:cs="Times New Roman"/>
                <w:b/>
                <w:bCs/>
                <w:sz w:val="20"/>
                <w:szCs w:val="20"/>
              </w:rPr>
              <w:t xml:space="preserve"> LVaR (Bangia) %</w:t>
            </w:r>
          </w:p>
        </w:tc>
        <w:tc>
          <w:tcPr>
            <w:tcW w:w="1350" w:type="dxa"/>
            <w:tcBorders>
              <w:top w:val="single" w:sz="8" w:space="0" w:color="auto"/>
              <w:left w:val="nil"/>
              <w:bottom w:val="single" w:sz="8" w:space="0" w:color="auto"/>
              <w:right w:val="single" w:sz="8" w:space="0" w:color="auto"/>
            </w:tcBorders>
            <w:noWrap/>
            <w:vAlign w:val="bottom"/>
            <w:hideMark/>
          </w:tcPr>
          <w:p w14:paraId="1E990819" w14:textId="77777777" w:rsidR="003C6287" w:rsidRDefault="003C6287" w:rsidP="00B96CCF">
            <w:pPr>
              <w:spacing w:after="0" w:line="240" w:lineRule="auto"/>
              <w:jc w:val="center"/>
              <w:rPr>
                <w:rFonts w:cs="Times New Roman"/>
                <w:b/>
                <w:bCs/>
                <w:sz w:val="20"/>
                <w:szCs w:val="20"/>
              </w:rPr>
            </w:pPr>
            <w:r w:rsidRPr="00BC6489">
              <w:rPr>
                <w:rFonts w:cs="Times New Roman"/>
                <w:b/>
                <w:bCs/>
                <w:sz w:val="20"/>
                <w:szCs w:val="20"/>
              </w:rPr>
              <w:t>LVaR (</w:t>
            </w:r>
            <w:r>
              <w:rPr>
                <w:rFonts w:cs="Times New Roman"/>
                <w:b/>
                <w:bCs/>
                <w:sz w:val="20"/>
                <w:szCs w:val="20"/>
              </w:rPr>
              <w:t>Modified</w:t>
            </w:r>
            <w:r w:rsidRPr="00BC6489">
              <w:rPr>
                <w:rFonts w:cs="Times New Roman"/>
                <w:b/>
                <w:bCs/>
                <w:sz w:val="20"/>
                <w:szCs w:val="20"/>
              </w:rPr>
              <w:t>) %</w:t>
            </w:r>
          </w:p>
        </w:tc>
      </w:tr>
      <w:tr w:rsidR="00876C49" w14:paraId="1BF47B09" w14:textId="77777777" w:rsidTr="001A3F55">
        <w:trPr>
          <w:trHeight w:val="588"/>
        </w:trPr>
        <w:tc>
          <w:tcPr>
            <w:tcW w:w="1003" w:type="dxa"/>
            <w:tcBorders>
              <w:top w:val="nil"/>
              <w:left w:val="single" w:sz="8" w:space="0" w:color="auto"/>
              <w:bottom w:val="nil"/>
              <w:right w:val="single" w:sz="8" w:space="0" w:color="auto"/>
            </w:tcBorders>
            <w:noWrap/>
            <w:vAlign w:val="bottom"/>
            <w:hideMark/>
          </w:tcPr>
          <w:p w14:paraId="5B812153" w14:textId="77777777" w:rsidR="003C6287" w:rsidRDefault="003C6287" w:rsidP="00B96CCF">
            <w:pPr>
              <w:spacing w:after="0" w:line="240" w:lineRule="auto"/>
              <w:rPr>
                <w:rFonts w:cs="Times New Roman"/>
                <w:b/>
                <w:bCs/>
                <w:sz w:val="20"/>
                <w:szCs w:val="20"/>
              </w:rPr>
            </w:pPr>
            <w:r>
              <w:rPr>
                <w:rFonts w:cs="Times New Roman"/>
                <w:b/>
                <w:bCs/>
                <w:sz w:val="20"/>
                <w:szCs w:val="20"/>
              </w:rPr>
              <w:t>Mean</w:t>
            </w:r>
          </w:p>
        </w:tc>
        <w:tc>
          <w:tcPr>
            <w:tcW w:w="1532" w:type="dxa"/>
            <w:tcBorders>
              <w:top w:val="nil"/>
              <w:left w:val="nil"/>
              <w:bottom w:val="nil"/>
              <w:right w:val="single" w:sz="8" w:space="0" w:color="auto"/>
            </w:tcBorders>
            <w:noWrap/>
            <w:vAlign w:val="bottom"/>
            <w:hideMark/>
          </w:tcPr>
          <w:p w14:paraId="03E85861" w14:textId="77777777" w:rsidR="003C6287" w:rsidRPr="00BC6489" w:rsidRDefault="003C6287" w:rsidP="00B96CCF">
            <w:pPr>
              <w:spacing w:after="0" w:line="240" w:lineRule="auto"/>
              <w:jc w:val="center"/>
              <w:rPr>
                <w:rFonts w:cs="Times New Roman"/>
                <w:bCs/>
                <w:sz w:val="20"/>
                <w:szCs w:val="20"/>
              </w:rPr>
            </w:pPr>
            <w:r w:rsidRPr="00BC6489">
              <w:rPr>
                <w:rFonts w:cs="Times New Roman"/>
                <w:bCs/>
                <w:sz w:val="20"/>
                <w:szCs w:val="20"/>
              </w:rPr>
              <w:t>0.997695483</w:t>
            </w:r>
          </w:p>
        </w:tc>
        <w:tc>
          <w:tcPr>
            <w:tcW w:w="1281" w:type="dxa"/>
            <w:noWrap/>
            <w:vAlign w:val="bottom"/>
            <w:hideMark/>
          </w:tcPr>
          <w:p w14:paraId="039331F2" w14:textId="77777777" w:rsidR="003C6287" w:rsidRPr="00BC6489" w:rsidRDefault="003C6287" w:rsidP="00B96CCF">
            <w:pPr>
              <w:spacing w:after="0" w:line="240" w:lineRule="auto"/>
              <w:jc w:val="center"/>
              <w:rPr>
                <w:rFonts w:cs="Times New Roman"/>
                <w:bCs/>
                <w:sz w:val="20"/>
                <w:szCs w:val="20"/>
              </w:rPr>
            </w:pPr>
            <w:r w:rsidRPr="00BC6489">
              <w:rPr>
                <w:rFonts w:cs="Times New Roman"/>
                <w:bCs/>
                <w:sz w:val="20"/>
                <w:szCs w:val="20"/>
              </w:rPr>
              <w:t>3.382423285</w:t>
            </w:r>
          </w:p>
        </w:tc>
        <w:tc>
          <w:tcPr>
            <w:tcW w:w="1281" w:type="dxa"/>
            <w:tcBorders>
              <w:top w:val="nil"/>
              <w:left w:val="single" w:sz="8" w:space="0" w:color="auto"/>
              <w:bottom w:val="nil"/>
              <w:right w:val="single" w:sz="8" w:space="0" w:color="auto"/>
            </w:tcBorders>
            <w:noWrap/>
            <w:vAlign w:val="bottom"/>
            <w:hideMark/>
          </w:tcPr>
          <w:p w14:paraId="40EFC6F0" w14:textId="77777777" w:rsidR="003C6287" w:rsidRPr="00BC6489" w:rsidRDefault="003C6287" w:rsidP="00B96CCF">
            <w:pPr>
              <w:spacing w:after="0" w:line="240" w:lineRule="auto"/>
              <w:jc w:val="center"/>
              <w:rPr>
                <w:rFonts w:cs="Times New Roman"/>
                <w:bCs/>
                <w:sz w:val="20"/>
                <w:szCs w:val="20"/>
              </w:rPr>
            </w:pPr>
            <w:r w:rsidRPr="00BC6489">
              <w:rPr>
                <w:rFonts w:cs="Times New Roman"/>
                <w:bCs/>
                <w:sz w:val="20"/>
                <w:szCs w:val="20"/>
              </w:rPr>
              <w:t>2.519277212</w:t>
            </w:r>
          </w:p>
        </w:tc>
        <w:tc>
          <w:tcPr>
            <w:tcW w:w="1398" w:type="dxa"/>
            <w:noWrap/>
            <w:vAlign w:val="bottom"/>
            <w:hideMark/>
          </w:tcPr>
          <w:p w14:paraId="49AFBD9A" w14:textId="77777777" w:rsidR="003C6287" w:rsidRPr="00BC6489" w:rsidRDefault="003C6287" w:rsidP="00B96CCF">
            <w:pPr>
              <w:spacing w:after="0" w:line="240" w:lineRule="auto"/>
              <w:jc w:val="center"/>
              <w:rPr>
                <w:rFonts w:cs="Times New Roman"/>
                <w:bCs/>
                <w:sz w:val="20"/>
                <w:szCs w:val="20"/>
              </w:rPr>
            </w:pPr>
            <w:r w:rsidRPr="00BC6489">
              <w:rPr>
                <w:rFonts w:cs="Times New Roman"/>
                <w:bCs/>
                <w:sz w:val="20"/>
                <w:szCs w:val="20"/>
              </w:rPr>
              <w:t>3.350106665</w:t>
            </w:r>
          </w:p>
        </w:tc>
        <w:tc>
          <w:tcPr>
            <w:tcW w:w="1620" w:type="dxa"/>
            <w:tcBorders>
              <w:top w:val="nil"/>
              <w:left w:val="single" w:sz="8" w:space="0" w:color="auto"/>
              <w:bottom w:val="nil"/>
              <w:right w:val="single" w:sz="8" w:space="0" w:color="auto"/>
            </w:tcBorders>
            <w:noWrap/>
            <w:vAlign w:val="bottom"/>
            <w:hideMark/>
          </w:tcPr>
          <w:p w14:paraId="7609A3AB" w14:textId="77777777" w:rsidR="003C6287" w:rsidRPr="00BC6489" w:rsidRDefault="003C6287" w:rsidP="00B96CCF">
            <w:pPr>
              <w:spacing w:after="0" w:line="240" w:lineRule="auto"/>
              <w:jc w:val="center"/>
              <w:rPr>
                <w:rFonts w:cs="Times New Roman"/>
                <w:bCs/>
                <w:sz w:val="20"/>
                <w:szCs w:val="20"/>
              </w:rPr>
            </w:pPr>
            <w:r w:rsidRPr="00BC6489">
              <w:rPr>
                <w:rFonts w:cs="Times New Roman"/>
                <w:bCs/>
                <w:sz w:val="20"/>
                <w:szCs w:val="20"/>
              </w:rPr>
              <w:t>3.504348381</w:t>
            </w:r>
          </w:p>
        </w:tc>
        <w:tc>
          <w:tcPr>
            <w:tcW w:w="1350" w:type="dxa"/>
            <w:tcBorders>
              <w:top w:val="nil"/>
              <w:left w:val="nil"/>
              <w:bottom w:val="nil"/>
              <w:right w:val="single" w:sz="8" w:space="0" w:color="auto"/>
            </w:tcBorders>
            <w:noWrap/>
            <w:vAlign w:val="bottom"/>
            <w:hideMark/>
          </w:tcPr>
          <w:p w14:paraId="6AD8D872" w14:textId="77777777" w:rsidR="003C6287" w:rsidRPr="00BC6489" w:rsidRDefault="003C6287" w:rsidP="00B96CCF">
            <w:pPr>
              <w:spacing w:after="0" w:line="240" w:lineRule="auto"/>
              <w:jc w:val="center"/>
              <w:rPr>
                <w:rFonts w:cs="Times New Roman"/>
                <w:bCs/>
                <w:sz w:val="20"/>
                <w:szCs w:val="20"/>
              </w:rPr>
            </w:pPr>
            <w:r w:rsidRPr="00BC6489">
              <w:rPr>
                <w:rFonts w:cs="Times New Roman"/>
                <w:bCs/>
                <w:sz w:val="20"/>
                <w:szCs w:val="20"/>
              </w:rPr>
              <w:t>3.958999614</w:t>
            </w:r>
          </w:p>
        </w:tc>
      </w:tr>
      <w:tr w:rsidR="00876C49" w14:paraId="695433DA" w14:textId="77777777" w:rsidTr="001A3F55">
        <w:trPr>
          <w:trHeight w:val="588"/>
        </w:trPr>
        <w:tc>
          <w:tcPr>
            <w:tcW w:w="1003" w:type="dxa"/>
            <w:tcBorders>
              <w:top w:val="nil"/>
              <w:left w:val="single" w:sz="8" w:space="0" w:color="auto"/>
              <w:bottom w:val="nil"/>
              <w:right w:val="single" w:sz="8" w:space="0" w:color="auto"/>
            </w:tcBorders>
            <w:noWrap/>
            <w:vAlign w:val="bottom"/>
            <w:hideMark/>
          </w:tcPr>
          <w:p w14:paraId="0D20D839" w14:textId="77777777" w:rsidR="003C6287" w:rsidRDefault="003C6287" w:rsidP="00B96CCF">
            <w:pPr>
              <w:spacing w:after="0" w:line="240" w:lineRule="auto"/>
              <w:rPr>
                <w:rFonts w:cs="Times New Roman"/>
                <w:b/>
                <w:bCs/>
                <w:sz w:val="20"/>
                <w:szCs w:val="20"/>
              </w:rPr>
            </w:pPr>
            <w:r>
              <w:rPr>
                <w:rFonts w:cs="Times New Roman"/>
                <w:b/>
                <w:bCs/>
                <w:sz w:val="20"/>
                <w:szCs w:val="20"/>
              </w:rPr>
              <w:t>Median</w:t>
            </w:r>
          </w:p>
        </w:tc>
        <w:tc>
          <w:tcPr>
            <w:tcW w:w="1532" w:type="dxa"/>
            <w:tcBorders>
              <w:top w:val="nil"/>
              <w:left w:val="nil"/>
              <w:bottom w:val="nil"/>
              <w:right w:val="single" w:sz="8" w:space="0" w:color="auto"/>
            </w:tcBorders>
            <w:noWrap/>
            <w:vAlign w:val="bottom"/>
            <w:hideMark/>
          </w:tcPr>
          <w:p w14:paraId="4013AEEA" w14:textId="77777777" w:rsidR="003C6287" w:rsidRPr="00BC6489" w:rsidRDefault="003C6287" w:rsidP="00B96CCF">
            <w:pPr>
              <w:spacing w:after="0" w:line="240" w:lineRule="auto"/>
              <w:jc w:val="center"/>
              <w:rPr>
                <w:rFonts w:cs="Times New Roman"/>
                <w:bCs/>
                <w:sz w:val="20"/>
                <w:szCs w:val="20"/>
              </w:rPr>
            </w:pPr>
            <w:r w:rsidRPr="00BC6489">
              <w:rPr>
                <w:rFonts w:cs="Times New Roman"/>
                <w:bCs/>
                <w:sz w:val="20"/>
                <w:szCs w:val="20"/>
              </w:rPr>
              <w:t>0.937836913</w:t>
            </w:r>
          </w:p>
        </w:tc>
        <w:tc>
          <w:tcPr>
            <w:tcW w:w="1281" w:type="dxa"/>
            <w:noWrap/>
            <w:vAlign w:val="bottom"/>
            <w:hideMark/>
          </w:tcPr>
          <w:p w14:paraId="4E2A274A" w14:textId="77777777" w:rsidR="003C6287" w:rsidRPr="00BC6489" w:rsidRDefault="003C6287" w:rsidP="00B96CCF">
            <w:pPr>
              <w:spacing w:after="0" w:line="240" w:lineRule="auto"/>
              <w:jc w:val="center"/>
              <w:rPr>
                <w:rFonts w:cs="Times New Roman"/>
                <w:bCs/>
                <w:sz w:val="20"/>
                <w:szCs w:val="20"/>
              </w:rPr>
            </w:pPr>
            <w:r w:rsidRPr="00BC6489">
              <w:rPr>
                <w:rFonts w:cs="Times New Roman"/>
                <w:bCs/>
                <w:sz w:val="20"/>
                <w:szCs w:val="20"/>
              </w:rPr>
              <w:t>3.362695885</w:t>
            </w:r>
          </w:p>
        </w:tc>
        <w:tc>
          <w:tcPr>
            <w:tcW w:w="1281" w:type="dxa"/>
            <w:tcBorders>
              <w:top w:val="nil"/>
              <w:left w:val="single" w:sz="8" w:space="0" w:color="auto"/>
              <w:bottom w:val="nil"/>
              <w:right w:val="single" w:sz="8" w:space="0" w:color="auto"/>
            </w:tcBorders>
            <w:noWrap/>
            <w:vAlign w:val="bottom"/>
            <w:hideMark/>
          </w:tcPr>
          <w:p w14:paraId="42322B62" w14:textId="77777777" w:rsidR="003C6287" w:rsidRPr="00BC6489" w:rsidRDefault="003C6287" w:rsidP="00B96CCF">
            <w:pPr>
              <w:spacing w:after="0" w:line="240" w:lineRule="auto"/>
              <w:jc w:val="center"/>
              <w:rPr>
                <w:rFonts w:cs="Times New Roman"/>
                <w:bCs/>
                <w:sz w:val="20"/>
                <w:szCs w:val="20"/>
              </w:rPr>
            </w:pPr>
            <w:r w:rsidRPr="00BC6489">
              <w:rPr>
                <w:rFonts w:cs="Times New Roman"/>
                <w:bCs/>
                <w:sz w:val="20"/>
                <w:szCs w:val="20"/>
              </w:rPr>
              <w:t>2.524618869</w:t>
            </w:r>
          </w:p>
        </w:tc>
        <w:tc>
          <w:tcPr>
            <w:tcW w:w="1398" w:type="dxa"/>
            <w:noWrap/>
            <w:vAlign w:val="bottom"/>
            <w:hideMark/>
          </w:tcPr>
          <w:p w14:paraId="19B71EDA" w14:textId="77777777" w:rsidR="003C6287" w:rsidRPr="00BC6489" w:rsidRDefault="003C6287" w:rsidP="00B96CCF">
            <w:pPr>
              <w:spacing w:after="0" w:line="240" w:lineRule="auto"/>
              <w:jc w:val="center"/>
              <w:rPr>
                <w:rFonts w:cs="Times New Roman"/>
                <w:bCs/>
                <w:sz w:val="20"/>
                <w:szCs w:val="20"/>
              </w:rPr>
            </w:pPr>
            <w:r w:rsidRPr="00BC6489">
              <w:rPr>
                <w:rFonts w:cs="Times New Roman"/>
                <w:bCs/>
                <w:sz w:val="20"/>
                <w:szCs w:val="20"/>
              </w:rPr>
              <w:t>3.08827959</w:t>
            </w:r>
          </w:p>
        </w:tc>
        <w:tc>
          <w:tcPr>
            <w:tcW w:w="1620" w:type="dxa"/>
            <w:tcBorders>
              <w:top w:val="nil"/>
              <w:left w:val="single" w:sz="8" w:space="0" w:color="auto"/>
              <w:bottom w:val="nil"/>
              <w:right w:val="single" w:sz="8" w:space="0" w:color="auto"/>
            </w:tcBorders>
            <w:noWrap/>
            <w:vAlign w:val="bottom"/>
            <w:hideMark/>
          </w:tcPr>
          <w:p w14:paraId="21275947" w14:textId="77777777" w:rsidR="003C6287" w:rsidRPr="00BC6489" w:rsidRDefault="003C6287" w:rsidP="00B96CCF">
            <w:pPr>
              <w:spacing w:after="0" w:line="240" w:lineRule="auto"/>
              <w:jc w:val="center"/>
              <w:rPr>
                <w:rFonts w:cs="Times New Roman"/>
                <w:bCs/>
                <w:sz w:val="20"/>
                <w:szCs w:val="20"/>
              </w:rPr>
            </w:pPr>
            <w:r w:rsidRPr="00BC6489">
              <w:rPr>
                <w:rFonts w:cs="Times New Roman"/>
                <w:bCs/>
                <w:sz w:val="20"/>
                <w:szCs w:val="20"/>
              </w:rPr>
              <w:t>3.247171337</w:t>
            </w:r>
          </w:p>
        </w:tc>
        <w:tc>
          <w:tcPr>
            <w:tcW w:w="1350" w:type="dxa"/>
            <w:tcBorders>
              <w:top w:val="nil"/>
              <w:left w:val="nil"/>
              <w:bottom w:val="nil"/>
              <w:right w:val="single" w:sz="8" w:space="0" w:color="auto"/>
            </w:tcBorders>
            <w:noWrap/>
            <w:vAlign w:val="bottom"/>
            <w:hideMark/>
          </w:tcPr>
          <w:p w14:paraId="7D98C897" w14:textId="77777777" w:rsidR="003C6287" w:rsidRPr="00BC6489" w:rsidRDefault="003C6287" w:rsidP="00B96CCF">
            <w:pPr>
              <w:spacing w:after="0" w:line="240" w:lineRule="auto"/>
              <w:jc w:val="center"/>
              <w:rPr>
                <w:rFonts w:cs="Times New Roman"/>
                <w:bCs/>
                <w:sz w:val="20"/>
                <w:szCs w:val="20"/>
              </w:rPr>
            </w:pPr>
            <w:r w:rsidRPr="00BC6489">
              <w:rPr>
                <w:rFonts w:cs="Times New Roman"/>
                <w:bCs/>
                <w:sz w:val="20"/>
                <w:szCs w:val="20"/>
              </w:rPr>
              <w:t>3.615072742</w:t>
            </w:r>
          </w:p>
        </w:tc>
      </w:tr>
      <w:tr w:rsidR="00876C49" w14:paraId="12365613" w14:textId="77777777" w:rsidTr="001A3F55">
        <w:trPr>
          <w:trHeight w:val="618"/>
        </w:trPr>
        <w:tc>
          <w:tcPr>
            <w:tcW w:w="1003" w:type="dxa"/>
            <w:tcBorders>
              <w:top w:val="nil"/>
              <w:left w:val="single" w:sz="8" w:space="0" w:color="auto"/>
              <w:bottom w:val="single" w:sz="8" w:space="0" w:color="auto"/>
              <w:right w:val="single" w:sz="8" w:space="0" w:color="auto"/>
            </w:tcBorders>
            <w:noWrap/>
            <w:vAlign w:val="bottom"/>
            <w:hideMark/>
          </w:tcPr>
          <w:p w14:paraId="5E561AB8" w14:textId="77777777" w:rsidR="003C6287" w:rsidRDefault="003C6287" w:rsidP="00B96CCF">
            <w:pPr>
              <w:spacing w:after="0" w:line="240" w:lineRule="auto"/>
              <w:rPr>
                <w:rFonts w:cs="Times New Roman"/>
                <w:b/>
                <w:bCs/>
                <w:sz w:val="20"/>
                <w:szCs w:val="20"/>
              </w:rPr>
            </w:pPr>
            <w:r>
              <w:rPr>
                <w:rFonts w:cs="Times New Roman"/>
                <w:b/>
                <w:bCs/>
                <w:sz w:val="20"/>
                <w:szCs w:val="20"/>
              </w:rPr>
              <w:t>Std Dev.</w:t>
            </w:r>
          </w:p>
        </w:tc>
        <w:tc>
          <w:tcPr>
            <w:tcW w:w="1532" w:type="dxa"/>
            <w:tcBorders>
              <w:top w:val="nil"/>
              <w:left w:val="nil"/>
              <w:bottom w:val="single" w:sz="8" w:space="0" w:color="auto"/>
              <w:right w:val="single" w:sz="8" w:space="0" w:color="auto"/>
            </w:tcBorders>
            <w:noWrap/>
            <w:vAlign w:val="bottom"/>
            <w:hideMark/>
          </w:tcPr>
          <w:p w14:paraId="284BED98" w14:textId="77777777" w:rsidR="003C6287" w:rsidRPr="00BC6489" w:rsidRDefault="003C6287" w:rsidP="00B96CCF">
            <w:pPr>
              <w:spacing w:after="0" w:line="240" w:lineRule="auto"/>
              <w:jc w:val="center"/>
              <w:rPr>
                <w:rFonts w:cs="Times New Roman"/>
                <w:bCs/>
                <w:sz w:val="20"/>
                <w:szCs w:val="20"/>
              </w:rPr>
            </w:pPr>
            <w:r w:rsidRPr="00BC6489">
              <w:rPr>
                <w:rFonts w:cs="Times New Roman"/>
                <w:bCs/>
                <w:sz w:val="20"/>
                <w:szCs w:val="20"/>
              </w:rPr>
              <w:t>0.357524515</w:t>
            </w:r>
          </w:p>
        </w:tc>
        <w:tc>
          <w:tcPr>
            <w:tcW w:w="1281" w:type="dxa"/>
            <w:tcBorders>
              <w:top w:val="nil"/>
              <w:left w:val="nil"/>
              <w:bottom w:val="single" w:sz="8" w:space="0" w:color="auto"/>
              <w:right w:val="nil"/>
            </w:tcBorders>
            <w:noWrap/>
            <w:vAlign w:val="bottom"/>
            <w:hideMark/>
          </w:tcPr>
          <w:p w14:paraId="03E6B784" w14:textId="77777777" w:rsidR="003C6287" w:rsidRPr="00BC6489" w:rsidRDefault="003C6287" w:rsidP="00B96CCF">
            <w:pPr>
              <w:spacing w:after="0" w:line="240" w:lineRule="auto"/>
              <w:jc w:val="center"/>
              <w:rPr>
                <w:rFonts w:cs="Times New Roman"/>
                <w:bCs/>
                <w:sz w:val="20"/>
                <w:szCs w:val="20"/>
              </w:rPr>
            </w:pPr>
            <w:r w:rsidRPr="00BC6489">
              <w:rPr>
                <w:rFonts w:cs="Times New Roman"/>
                <w:bCs/>
                <w:sz w:val="20"/>
                <w:szCs w:val="20"/>
              </w:rPr>
              <w:t>0.251430845</w:t>
            </w:r>
          </w:p>
        </w:tc>
        <w:tc>
          <w:tcPr>
            <w:tcW w:w="1281" w:type="dxa"/>
            <w:tcBorders>
              <w:top w:val="nil"/>
              <w:left w:val="single" w:sz="8" w:space="0" w:color="auto"/>
              <w:bottom w:val="single" w:sz="8" w:space="0" w:color="auto"/>
              <w:right w:val="single" w:sz="8" w:space="0" w:color="auto"/>
            </w:tcBorders>
            <w:noWrap/>
            <w:vAlign w:val="bottom"/>
            <w:hideMark/>
          </w:tcPr>
          <w:p w14:paraId="451AE785" w14:textId="77777777" w:rsidR="003C6287" w:rsidRPr="00BC6489" w:rsidRDefault="003C6287" w:rsidP="00B96CCF">
            <w:pPr>
              <w:spacing w:after="0" w:line="240" w:lineRule="auto"/>
              <w:jc w:val="center"/>
              <w:rPr>
                <w:rFonts w:cs="Times New Roman"/>
                <w:bCs/>
                <w:sz w:val="20"/>
                <w:szCs w:val="20"/>
              </w:rPr>
            </w:pPr>
            <w:r w:rsidRPr="00BC6489">
              <w:rPr>
                <w:rFonts w:cs="Times New Roman"/>
                <w:bCs/>
                <w:sz w:val="20"/>
                <w:szCs w:val="20"/>
              </w:rPr>
              <w:t>0.207740312</w:t>
            </w:r>
          </w:p>
        </w:tc>
        <w:tc>
          <w:tcPr>
            <w:tcW w:w="1398" w:type="dxa"/>
            <w:tcBorders>
              <w:top w:val="nil"/>
              <w:left w:val="nil"/>
              <w:bottom w:val="single" w:sz="8" w:space="0" w:color="auto"/>
              <w:right w:val="nil"/>
            </w:tcBorders>
            <w:noWrap/>
            <w:vAlign w:val="bottom"/>
            <w:hideMark/>
          </w:tcPr>
          <w:p w14:paraId="3430A55F" w14:textId="77777777" w:rsidR="003C6287" w:rsidRPr="00BC6489" w:rsidRDefault="003C6287" w:rsidP="00B96CCF">
            <w:pPr>
              <w:spacing w:after="0" w:line="240" w:lineRule="auto"/>
              <w:jc w:val="center"/>
              <w:rPr>
                <w:rFonts w:cs="Times New Roman"/>
                <w:bCs/>
                <w:sz w:val="20"/>
                <w:szCs w:val="20"/>
              </w:rPr>
            </w:pPr>
            <w:r w:rsidRPr="00BC6489">
              <w:rPr>
                <w:rFonts w:cs="Times New Roman"/>
                <w:bCs/>
                <w:sz w:val="20"/>
                <w:szCs w:val="20"/>
              </w:rPr>
              <w:t>1.137948206</w:t>
            </w:r>
          </w:p>
        </w:tc>
        <w:tc>
          <w:tcPr>
            <w:tcW w:w="1620" w:type="dxa"/>
            <w:tcBorders>
              <w:top w:val="nil"/>
              <w:left w:val="single" w:sz="8" w:space="0" w:color="auto"/>
              <w:bottom w:val="single" w:sz="8" w:space="0" w:color="auto"/>
              <w:right w:val="single" w:sz="8" w:space="0" w:color="auto"/>
            </w:tcBorders>
            <w:noWrap/>
            <w:vAlign w:val="bottom"/>
            <w:hideMark/>
          </w:tcPr>
          <w:p w14:paraId="4944EF00" w14:textId="77777777" w:rsidR="003C6287" w:rsidRPr="00BC6489" w:rsidRDefault="003C6287" w:rsidP="00B96CCF">
            <w:pPr>
              <w:spacing w:after="0" w:line="240" w:lineRule="auto"/>
              <w:jc w:val="center"/>
              <w:rPr>
                <w:rFonts w:cs="Times New Roman"/>
                <w:bCs/>
                <w:sz w:val="20"/>
                <w:szCs w:val="20"/>
              </w:rPr>
            </w:pPr>
            <w:r w:rsidRPr="00BC6489">
              <w:rPr>
                <w:rFonts w:cs="Times New Roman"/>
                <w:bCs/>
                <w:sz w:val="20"/>
                <w:szCs w:val="20"/>
              </w:rPr>
              <w:t>1.149147036</w:t>
            </w:r>
          </w:p>
        </w:tc>
        <w:tc>
          <w:tcPr>
            <w:tcW w:w="1350" w:type="dxa"/>
            <w:tcBorders>
              <w:top w:val="nil"/>
              <w:left w:val="nil"/>
              <w:bottom w:val="single" w:sz="8" w:space="0" w:color="auto"/>
              <w:right w:val="single" w:sz="8" w:space="0" w:color="auto"/>
            </w:tcBorders>
            <w:noWrap/>
            <w:vAlign w:val="bottom"/>
            <w:hideMark/>
          </w:tcPr>
          <w:p w14:paraId="7491A365" w14:textId="77777777" w:rsidR="003C6287" w:rsidRPr="00BC6489" w:rsidRDefault="003C6287" w:rsidP="00B96CCF">
            <w:pPr>
              <w:spacing w:after="0" w:line="240" w:lineRule="auto"/>
              <w:jc w:val="center"/>
              <w:rPr>
                <w:rFonts w:cs="Times New Roman"/>
                <w:bCs/>
                <w:sz w:val="20"/>
                <w:szCs w:val="20"/>
              </w:rPr>
            </w:pPr>
            <w:r w:rsidRPr="00BC6489">
              <w:rPr>
                <w:rFonts w:cs="Times New Roman"/>
                <w:bCs/>
                <w:sz w:val="20"/>
                <w:szCs w:val="20"/>
              </w:rPr>
              <w:t>1.400492434</w:t>
            </w:r>
          </w:p>
        </w:tc>
      </w:tr>
    </w:tbl>
    <w:p w14:paraId="4990DE75" w14:textId="77777777" w:rsidR="003C6287" w:rsidRDefault="003C6287" w:rsidP="003C6287">
      <w:pPr>
        <w:spacing w:after="0" w:line="240" w:lineRule="auto"/>
        <w:rPr>
          <w:rFonts w:cs="Times New Roman"/>
          <w:b/>
          <w:bCs/>
          <w:sz w:val="20"/>
          <w:szCs w:val="20"/>
        </w:rPr>
      </w:pPr>
    </w:p>
    <w:p w14:paraId="55B31A40" w14:textId="77777777" w:rsidR="003C6287" w:rsidRDefault="003C6287" w:rsidP="003C6287">
      <w:pPr>
        <w:pStyle w:val="Caption"/>
        <w:keepNext/>
      </w:pPr>
      <w:r>
        <w:lastRenderedPageBreak/>
        <w:t xml:space="preserve">Table </w:t>
      </w:r>
      <w:r w:rsidR="00EC34E3">
        <w:fldChar w:fldCharType="begin"/>
      </w:r>
      <w:r w:rsidR="00EC34E3">
        <w:instrText xml:space="preserve"> SEQ Table \* ARABIC </w:instrText>
      </w:r>
      <w:r w:rsidR="00EC34E3">
        <w:fldChar w:fldCharType="separate"/>
      </w:r>
      <w:r w:rsidR="00B0578D">
        <w:rPr>
          <w:noProof/>
        </w:rPr>
        <w:t>13</w:t>
      </w:r>
      <w:r w:rsidR="00EC34E3">
        <w:rPr>
          <w:noProof/>
        </w:rPr>
        <w:fldChar w:fldCharType="end"/>
      </w:r>
      <w:r>
        <w:t xml:space="preserve"> Portfolio Risk Estimates – Smallcap (weights: </w:t>
      </w:r>
      <w:r w:rsidRPr="00451E13">
        <w:t>Bombay Dyeing</w:t>
      </w:r>
      <w:r>
        <w:t xml:space="preserve"> = .25, </w:t>
      </w:r>
      <w:r w:rsidRPr="00451E13">
        <w:t>Escorts</w:t>
      </w:r>
      <w:r>
        <w:t xml:space="preserve"> = .25, </w:t>
      </w:r>
      <w:r w:rsidRPr="00451E13">
        <w:t>Chambal Fertilizers</w:t>
      </w:r>
      <w:r>
        <w:t xml:space="preserve"> = .25 &amp; </w:t>
      </w:r>
      <w:r w:rsidRPr="00451E13">
        <w:t>Gujarat Fluorochemicals</w:t>
      </w:r>
      <w:r>
        <w:t xml:space="preserve"> = .25)</w:t>
      </w:r>
    </w:p>
    <w:tbl>
      <w:tblPr>
        <w:tblW w:w="9555" w:type="dxa"/>
        <w:tblInd w:w="93" w:type="dxa"/>
        <w:tblLook w:val="04A0" w:firstRow="1" w:lastRow="0" w:firstColumn="1" w:lastColumn="0" w:noHBand="0" w:noVBand="1"/>
      </w:tblPr>
      <w:tblGrid>
        <w:gridCol w:w="1005"/>
        <w:gridCol w:w="1530"/>
        <w:gridCol w:w="1281"/>
        <w:gridCol w:w="1350"/>
        <w:gridCol w:w="1440"/>
        <w:gridCol w:w="1599"/>
        <w:gridCol w:w="1350"/>
      </w:tblGrid>
      <w:tr w:rsidR="003C6287" w14:paraId="36986DDB" w14:textId="77777777" w:rsidTr="003A0389">
        <w:trPr>
          <w:trHeight w:val="660"/>
        </w:trPr>
        <w:tc>
          <w:tcPr>
            <w:tcW w:w="1005" w:type="dxa"/>
            <w:tcBorders>
              <w:top w:val="single" w:sz="8" w:space="0" w:color="auto"/>
              <w:left w:val="single" w:sz="8" w:space="0" w:color="auto"/>
              <w:bottom w:val="single" w:sz="8" w:space="0" w:color="auto"/>
              <w:right w:val="single" w:sz="8" w:space="0" w:color="auto"/>
            </w:tcBorders>
            <w:noWrap/>
            <w:vAlign w:val="bottom"/>
            <w:hideMark/>
          </w:tcPr>
          <w:p w14:paraId="5302EABB" w14:textId="77777777" w:rsidR="003C6287" w:rsidRDefault="003C6287" w:rsidP="00B96CCF">
            <w:pPr>
              <w:spacing w:after="0" w:line="240" w:lineRule="auto"/>
              <w:jc w:val="center"/>
              <w:rPr>
                <w:rFonts w:cs="Times New Roman"/>
                <w:b/>
                <w:bCs/>
                <w:sz w:val="20"/>
                <w:szCs w:val="20"/>
              </w:rPr>
            </w:pPr>
            <w:r>
              <w:rPr>
                <w:rFonts w:cs="Times New Roman"/>
                <w:b/>
                <w:bCs/>
                <w:sz w:val="20"/>
                <w:szCs w:val="20"/>
              </w:rPr>
              <w:t> </w:t>
            </w:r>
          </w:p>
        </w:tc>
        <w:tc>
          <w:tcPr>
            <w:tcW w:w="1530" w:type="dxa"/>
            <w:tcBorders>
              <w:top w:val="single" w:sz="8" w:space="0" w:color="auto"/>
              <w:left w:val="nil"/>
              <w:bottom w:val="single" w:sz="8" w:space="0" w:color="auto"/>
              <w:right w:val="single" w:sz="8" w:space="0" w:color="auto"/>
            </w:tcBorders>
            <w:noWrap/>
            <w:vAlign w:val="bottom"/>
            <w:hideMark/>
          </w:tcPr>
          <w:p w14:paraId="31F3EDD6" w14:textId="77777777" w:rsidR="003C6287" w:rsidRDefault="003C6287" w:rsidP="00B96CCF">
            <w:pPr>
              <w:spacing w:after="0" w:line="240" w:lineRule="auto"/>
              <w:jc w:val="center"/>
              <w:rPr>
                <w:rFonts w:cs="Times New Roman"/>
                <w:b/>
                <w:bCs/>
                <w:sz w:val="20"/>
                <w:szCs w:val="20"/>
              </w:rPr>
            </w:pPr>
            <w:r>
              <w:rPr>
                <w:rFonts w:cs="Times New Roman"/>
                <w:b/>
                <w:bCs/>
                <w:sz w:val="20"/>
                <w:szCs w:val="20"/>
              </w:rPr>
              <w:t>Relative Spread</w:t>
            </w:r>
          </w:p>
        </w:tc>
        <w:tc>
          <w:tcPr>
            <w:tcW w:w="1281" w:type="dxa"/>
            <w:tcBorders>
              <w:top w:val="single" w:sz="8" w:space="0" w:color="auto"/>
              <w:left w:val="nil"/>
              <w:bottom w:val="single" w:sz="8" w:space="0" w:color="auto"/>
              <w:right w:val="nil"/>
            </w:tcBorders>
            <w:noWrap/>
            <w:vAlign w:val="bottom"/>
            <w:hideMark/>
          </w:tcPr>
          <w:p w14:paraId="75F805C7" w14:textId="77777777" w:rsidR="003C6287" w:rsidRDefault="003C6287" w:rsidP="00B96CCF">
            <w:pPr>
              <w:spacing w:after="0" w:line="240" w:lineRule="auto"/>
              <w:jc w:val="center"/>
              <w:rPr>
                <w:rFonts w:cs="Times New Roman"/>
                <w:b/>
                <w:bCs/>
                <w:sz w:val="20"/>
                <w:szCs w:val="20"/>
              </w:rPr>
            </w:pPr>
            <w:r>
              <w:rPr>
                <w:rFonts w:cs="Times New Roman"/>
                <w:b/>
                <w:bCs/>
                <w:sz w:val="20"/>
                <w:szCs w:val="20"/>
              </w:rPr>
              <w:t>Return</w:t>
            </w:r>
          </w:p>
        </w:tc>
        <w:tc>
          <w:tcPr>
            <w:tcW w:w="1350" w:type="dxa"/>
            <w:tcBorders>
              <w:top w:val="single" w:sz="8" w:space="0" w:color="auto"/>
              <w:left w:val="single" w:sz="8" w:space="0" w:color="auto"/>
              <w:bottom w:val="single" w:sz="8" w:space="0" w:color="auto"/>
              <w:right w:val="single" w:sz="8" w:space="0" w:color="auto"/>
            </w:tcBorders>
            <w:noWrap/>
            <w:vAlign w:val="bottom"/>
            <w:hideMark/>
          </w:tcPr>
          <w:p w14:paraId="470297BB" w14:textId="77777777" w:rsidR="003C6287" w:rsidRDefault="003C6287" w:rsidP="00B96CCF">
            <w:pPr>
              <w:spacing w:after="0" w:line="240" w:lineRule="auto"/>
              <w:jc w:val="center"/>
              <w:rPr>
                <w:rFonts w:cs="Times New Roman"/>
                <w:b/>
                <w:bCs/>
                <w:sz w:val="20"/>
                <w:szCs w:val="20"/>
              </w:rPr>
            </w:pPr>
            <w:r>
              <w:rPr>
                <w:rFonts w:cs="Times New Roman"/>
                <w:b/>
                <w:bCs/>
                <w:sz w:val="20"/>
                <w:szCs w:val="20"/>
              </w:rPr>
              <w:t>Skewness(S)</w:t>
            </w:r>
          </w:p>
        </w:tc>
        <w:tc>
          <w:tcPr>
            <w:tcW w:w="1440" w:type="dxa"/>
            <w:tcBorders>
              <w:top w:val="single" w:sz="8" w:space="0" w:color="auto"/>
              <w:left w:val="nil"/>
              <w:bottom w:val="single" w:sz="8" w:space="0" w:color="auto"/>
              <w:right w:val="nil"/>
            </w:tcBorders>
            <w:noWrap/>
            <w:vAlign w:val="bottom"/>
            <w:hideMark/>
          </w:tcPr>
          <w:p w14:paraId="4983C543" w14:textId="77777777" w:rsidR="003C6287" w:rsidRDefault="003C6287" w:rsidP="00B96CCF">
            <w:pPr>
              <w:spacing w:after="0" w:line="240" w:lineRule="auto"/>
              <w:jc w:val="center"/>
              <w:rPr>
                <w:rFonts w:cs="Times New Roman"/>
                <w:b/>
                <w:bCs/>
                <w:sz w:val="20"/>
                <w:szCs w:val="20"/>
              </w:rPr>
            </w:pPr>
            <w:r>
              <w:rPr>
                <w:rFonts w:cs="Times New Roman"/>
                <w:b/>
                <w:bCs/>
                <w:sz w:val="20"/>
                <w:szCs w:val="20"/>
              </w:rPr>
              <w:t>Kurtosis(S)</w:t>
            </w:r>
          </w:p>
        </w:tc>
        <w:tc>
          <w:tcPr>
            <w:tcW w:w="1599" w:type="dxa"/>
            <w:tcBorders>
              <w:top w:val="single" w:sz="8" w:space="0" w:color="auto"/>
              <w:left w:val="single" w:sz="8" w:space="0" w:color="auto"/>
              <w:bottom w:val="single" w:sz="8" w:space="0" w:color="auto"/>
              <w:right w:val="single" w:sz="8" w:space="0" w:color="auto"/>
            </w:tcBorders>
            <w:noWrap/>
            <w:vAlign w:val="bottom"/>
            <w:hideMark/>
          </w:tcPr>
          <w:p w14:paraId="5F337D7F" w14:textId="77777777" w:rsidR="003C6287" w:rsidRDefault="003C6287" w:rsidP="00B96CCF">
            <w:pPr>
              <w:spacing w:after="0" w:line="240" w:lineRule="auto"/>
              <w:jc w:val="center"/>
              <w:rPr>
                <w:rFonts w:cs="Times New Roman"/>
                <w:b/>
                <w:bCs/>
                <w:sz w:val="20"/>
                <w:szCs w:val="20"/>
              </w:rPr>
            </w:pPr>
            <w:r>
              <w:rPr>
                <w:rFonts w:cs="Times New Roman"/>
                <w:b/>
                <w:bCs/>
                <w:sz w:val="20"/>
                <w:szCs w:val="20"/>
              </w:rPr>
              <w:t>Skewness (R)</w:t>
            </w:r>
          </w:p>
        </w:tc>
        <w:tc>
          <w:tcPr>
            <w:tcW w:w="1350" w:type="dxa"/>
            <w:tcBorders>
              <w:top w:val="single" w:sz="8" w:space="0" w:color="auto"/>
              <w:left w:val="nil"/>
              <w:bottom w:val="single" w:sz="8" w:space="0" w:color="auto"/>
              <w:right w:val="single" w:sz="8" w:space="0" w:color="auto"/>
            </w:tcBorders>
            <w:noWrap/>
            <w:vAlign w:val="bottom"/>
            <w:hideMark/>
          </w:tcPr>
          <w:p w14:paraId="55624907" w14:textId="77777777" w:rsidR="003C6287" w:rsidRDefault="003C6287" w:rsidP="00B96CCF">
            <w:pPr>
              <w:spacing w:after="0" w:line="240" w:lineRule="auto"/>
              <w:jc w:val="center"/>
              <w:rPr>
                <w:rFonts w:cs="Times New Roman"/>
                <w:b/>
                <w:bCs/>
                <w:sz w:val="20"/>
                <w:szCs w:val="20"/>
              </w:rPr>
            </w:pPr>
            <w:r>
              <w:rPr>
                <w:rFonts w:cs="Times New Roman"/>
                <w:b/>
                <w:bCs/>
                <w:sz w:val="20"/>
                <w:szCs w:val="20"/>
              </w:rPr>
              <w:t>Kurtosis (R)</w:t>
            </w:r>
          </w:p>
        </w:tc>
      </w:tr>
      <w:tr w:rsidR="003C6287" w14:paraId="5B65F1F8" w14:textId="77777777" w:rsidTr="003A0389">
        <w:trPr>
          <w:trHeight w:val="628"/>
        </w:trPr>
        <w:tc>
          <w:tcPr>
            <w:tcW w:w="1005" w:type="dxa"/>
            <w:tcBorders>
              <w:top w:val="nil"/>
              <w:left w:val="single" w:sz="8" w:space="0" w:color="auto"/>
              <w:bottom w:val="nil"/>
              <w:right w:val="single" w:sz="8" w:space="0" w:color="auto"/>
            </w:tcBorders>
            <w:noWrap/>
            <w:vAlign w:val="bottom"/>
            <w:hideMark/>
          </w:tcPr>
          <w:p w14:paraId="10BB3C02" w14:textId="77777777" w:rsidR="003C6287" w:rsidRDefault="003C6287" w:rsidP="00B96CCF">
            <w:pPr>
              <w:spacing w:after="0" w:line="240" w:lineRule="auto"/>
              <w:rPr>
                <w:rFonts w:cs="Times New Roman"/>
                <w:b/>
                <w:bCs/>
                <w:sz w:val="20"/>
                <w:szCs w:val="20"/>
              </w:rPr>
            </w:pPr>
            <w:r>
              <w:rPr>
                <w:rFonts w:cs="Times New Roman"/>
                <w:b/>
                <w:bCs/>
                <w:sz w:val="20"/>
                <w:szCs w:val="20"/>
              </w:rPr>
              <w:t>Mean</w:t>
            </w:r>
          </w:p>
        </w:tc>
        <w:tc>
          <w:tcPr>
            <w:tcW w:w="1530" w:type="dxa"/>
            <w:tcBorders>
              <w:top w:val="nil"/>
              <w:left w:val="nil"/>
              <w:bottom w:val="nil"/>
              <w:right w:val="single" w:sz="8" w:space="0" w:color="auto"/>
            </w:tcBorders>
            <w:noWrap/>
            <w:vAlign w:val="bottom"/>
            <w:hideMark/>
          </w:tcPr>
          <w:p w14:paraId="79F9DD35" w14:textId="77777777" w:rsidR="003C6287" w:rsidRPr="00BC6489" w:rsidRDefault="003C6287" w:rsidP="00B96CCF">
            <w:pPr>
              <w:spacing w:after="0" w:line="240" w:lineRule="auto"/>
              <w:jc w:val="center"/>
              <w:rPr>
                <w:rFonts w:cs="Times New Roman"/>
                <w:bCs/>
                <w:sz w:val="20"/>
                <w:szCs w:val="20"/>
              </w:rPr>
            </w:pPr>
            <w:r w:rsidRPr="00BC6489">
              <w:rPr>
                <w:rFonts w:cs="Times New Roman"/>
                <w:bCs/>
                <w:sz w:val="20"/>
                <w:szCs w:val="20"/>
              </w:rPr>
              <w:t>0.268267967</w:t>
            </w:r>
          </w:p>
        </w:tc>
        <w:tc>
          <w:tcPr>
            <w:tcW w:w="1281" w:type="dxa"/>
            <w:noWrap/>
            <w:vAlign w:val="bottom"/>
            <w:hideMark/>
          </w:tcPr>
          <w:p w14:paraId="01A83B36" w14:textId="77777777" w:rsidR="003C6287" w:rsidRPr="00BC6489" w:rsidRDefault="003C6287" w:rsidP="00B96CCF">
            <w:pPr>
              <w:spacing w:after="0" w:line="240" w:lineRule="auto"/>
              <w:jc w:val="center"/>
              <w:rPr>
                <w:rFonts w:cs="Times New Roman"/>
                <w:bCs/>
                <w:sz w:val="20"/>
                <w:szCs w:val="20"/>
              </w:rPr>
            </w:pPr>
            <w:r w:rsidRPr="00BC6489">
              <w:rPr>
                <w:rFonts w:cs="Times New Roman"/>
                <w:bCs/>
                <w:sz w:val="20"/>
                <w:szCs w:val="20"/>
              </w:rPr>
              <w:t>0.000657802</w:t>
            </w:r>
          </w:p>
        </w:tc>
        <w:tc>
          <w:tcPr>
            <w:tcW w:w="1350" w:type="dxa"/>
            <w:tcBorders>
              <w:top w:val="nil"/>
              <w:left w:val="single" w:sz="8" w:space="0" w:color="auto"/>
              <w:bottom w:val="nil"/>
              <w:right w:val="single" w:sz="8" w:space="0" w:color="auto"/>
            </w:tcBorders>
            <w:noWrap/>
            <w:vAlign w:val="bottom"/>
            <w:hideMark/>
          </w:tcPr>
          <w:p w14:paraId="2DF42AF5" w14:textId="77777777" w:rsidR="003C6287" w:rsidRPr="00BC6489" w:rsidRDefault="003C6287" w:rsidP="00B96CCF">
            <w:pPr>
              <w:spacing w:after="0" w:line="240" w:lineRule="auto"/>
              <w:jc w:val="center"/>
              <w:rPr>
                <w:rFonts w:cs="Times New Roman"/>
                <w:bCs/>
                <w:sz w:val="20"/>
                <w:szCs w:val="20"/>
              </w:rPr>
            </w:pPr>
            <w:r w:rsidRPr="00BC6489">
              <w:rPr>
                <w:rFonts w:cs="Times New Roman"/>
                <w:bCs/>
                <w:sz w:val="20"/>
                <w:szCs w:val="20"/>
              </w:rPr>
              <w:t>1.48803039</w:t>
            </w:r>
          </w:p>
        </w:tc>
        <w:tc>
          <w:tcPr>
            <w:tcW w:w="1440" w:type="dxa"/>
            <w:noWrap/>
            <w:vAlign w:val="bottom"/>
            <w:hideMark/>
          </w:tcPr>
          <w:p w14:paraId="0B20D685" w14:textId="77777777" w:rsidR="003C6287" w:rsidRPr="00BC6489" w:rsidRDefault="003C6287" w:rsidP="00B96CCF">
            <w:pPr>
              <w:spacing w:after="0" w:line="240" w:lineRule="auto"/>
              <w:jc w:val="center"/>
              <w:rPr>
                <w:rFonts w:cs="Times New Roman"/>
                <w:bCs/>
                <w:sz w:val="20"/>
                <w:szCs w:val="20"/>
              </w:rPr>
            </w:pPr>
            <w:r w:rsidRPr="00BC6489">
              <w:rPr>
                <w:rFonts w:cs="Times New Roman"/>
                <w:bCs/>
                <w:sz w:val="20"/>
                <w:szCs w:val="20"/>
              </w:rPr>
              <w:t>3.781139361</w:t>
            </w:r>
          </w:p>
        </w:tc>
        <w:tc>
          <w:tcPr>
            <w:tcW w:w="1599" w:type="dxa"/>
            <w:tcBorders>
              <w:top w:val="nil"/>
              <w:left w:val="single" w:sz="8" w:space="0" w:color="auto"/>
              <w:bottom w:val="nil"/>
              <w:right w:val="single" w:sz="8" w:space="0" w:color="auto"/>
            </w:tcBorders>
            <w:noWrap/>
            <w:vAlign w:val="bottom"/>
            <w:hideMark/>
          </w:tcPr>
          <w:p w14:paraId="05D25F4F" w14:textId="77777777" w:rsidR="003C6287" w:rsidRPr="00BC6489" w:rsidRDefault="003C6287" w:rsidP="00B96CCF">
            <w:pPr>
              <w:spacing w:after="0" w:line="240" w:lineRule="auto"/>
              <w:jc w:val="center"/>
              <w:rPr>
                <w:rFonts w:cs="Times New Roman"/>
                <w:bCs/>
                <w:sz w:val="20"/>
                <w:szCs w:val="20"/>
              </w:rPr>
            </w:pPr>
            <w:r w:rsidRPr="00BC6489">
              <w:rPr>
                <w:rFonts w:cs="Times New Roman"/>
                <w:bCs/>
                <w:sz w:val="20"/>
                <w:szCs w:val="20"/>
              </w:rPr>
              <w:t>-0.185756732</w:t>
            </w:r>
          </w:p>
        </w:tc>
        <w:tc>
          <w:tcPr>
            <w:tcW w:w="1350" w:type="dxa"/>
            <w:tcBorders>
              <w:top w:val="nil"/>
              <w:left w:val="nil"/>
              <w:bottom w:val="nil"/>
              <w:right w:val="single" w:sz="8" w:space="0" w:color="auto"/>
            </w:tcBorders>
            <w:noWrap/>
            <w:vAlign w:val="bottom"/>
            <w:hideMark/>
          </w:tcPr>
          <w:p w14:paraId="729F1141" w14:textId="77777777" w:rsidR="003C6287" w:rsidRPr="00BC6489" w:rsidRDefault="003C6287" w:rsidP="00B96CCF">
            <w:pPr>
              <w:spacing w:after="0" w:line="240" w:lineRule="auto"/>
              <w:jc w:val="center"/>
              <w:rPr>
                <w:rFonts w:cs="Times New Roman"/>
                <w:bCs/>
                <w:sz w:val="20"/>
                <w:szCs w:val="20"/>
              </w:rPr>
            </w:pPr>
            <w:r w:rsidRPr="00BC6489">
              <w:rPr>
                <w:rFonts w:cs="Times New Roman"/>
                <w:bCs/>
                <w:sz w:val="20"/>
                <w:szCs w:val="20"/>
              </w:rPr>
              <w:t>1.713362573</w:t>
            </w:r>
          </w:p>
        </w:tc>
      </w:tr>
      <w:tr w:rsidR="003C6287" w14:paraId="202C06F2" w14:textId="77777777" w:rsidTr="003A0389">
        <w:trPr>
          <w:trHeight w:val="628"/>
        </w:trPr>
        <w:tc>
          <w:tcPr>
            <w:tcW w:w="1005" w:type="dxa"/>
            <w:tcBorders>
              <w:top w:val="nil"/>
              <w:left w:val="single" w:sz="8" w:space="0" w:color="auto"/>
              <w:bottom w:val="nil"/>
              <w:right w:val="single" w:sz="8" w:space="0" w:color="auto"/>
            </w:tcBorders>
            <w:noWrap/>
            <w:vAlign w:val="bottom"/>
            <w:hideMark/>
          </w:tcPr>
          <w:p w14:paraId="7100A95B" w14:textId="77777777" w:rsidR="003C6287" w:rsidRDefault="003C6287" w:rsidP="00B96CCF">
            <w:pPr>
              <w:spacing w:after="0" w:line="240" w:lineRule="auto"/>
              <w:rPr>
                <w:rFonts w:cs="Times New Roman"/>
                <w:b/>
                <w:bCs/>
                <w:sz w:val="20"/>
                <w:szCs w:val="20"/>
              </w:rPr>
            </w:pPr>
            <w:r>
              <w:rPr>
                <w:rFonts w:cs="Times New Roman"/>
                <w:b/>
                <w:bCs/>
                <w:sz w:val="20"/>
                <w:szCs w:val="20"/>
              </w:rPr>
              <w:t>Median</w:t>
            </w:r>
          </w:p>
        </w:tc>
        <w:tc>
          <w:tcPr>
            <w:tcW w:w="1530" w:type="dxa"/>
            <w:tcBorders>
              <w:top w:val="nil"/>
              <w:left w:val="nil"/>
              <w:bottom w:val="nil"/>
              <w:right w:val="single" w:sz="8" w:space="0" w:color="auto"/>
            </w:tcBorders>
            <w:noWrap/>
            <w:vAlign w:val="bottom"/>
            <w:hideMark/>
          </w:tcPr>
          <w:p w14:paraId="416E0856" w14:textId="77777777" w:rsidR="003C6287" w:rsidRPr="00BC6489" w:rsidRDefault="003C6287" w:rsidP="00B96CCF">
            <w:pPr>
              <w:spacing w:after="0" w:line="240" w:lineRule="auto"/>
              <w:jc w:val="center"/>
              <w:rPr>
                <w:rFonts w:cs="Times New Roman"/>
                <w:bCs/>
                <w:sz w:val="20"/>
                <w:szCs w:val="20"/>
              </w:rPr>
            </w:pPr>
            <w:r w:rsidRPr="00BC6489">
              <w:rPr>
                <w:rFonts w:cs="Times New Roman"/>
                <w:bCs/>
                <w:sz w:val="20"/>
                <w:szCs w:val="20"/>
              </w:rPr>
              <w:t>0.221000049</w:t>
            </w:r>
          </w:p>
        </w:tc>
        <w:tc>
          <w:tcPr>
            <w:tcW w:w="1281" w:type="dxa"/>
            <w:noWrap/>
            <w:vAlign w:val="bottom"/>
            <w:hideMark/>
          </w:tcPr>
          <w:p w14:paraId="3542A3E2" w14:textId="77777777" w:rsidR="003C6287" w:rsidRPr="00BC6489" w:rsidRDefault="003C6287" w:rsidP="00B96CCF">
            <w:pPr>
              <w:spacing w:after="0" w:line="240" w:lineRule="auto"/>
              <w:jc w:val="center"/>
              <w:rPr>
                <w:rFonts w:cs="Times New Roman"/>
                <w:bCs/>
                <w:sz w:val="20"/>
                <w:szCs w:val="20"/>
              </w:rPr>
            </w:pPr>
            <w:r w:rsidRPr="00BC6489">
              <w:rPr>
                <w:rFonts w:cs="Times New Roman"/>
                <w:bCs/>
                <w:sz w:val="20"/>
                <w:szCs w:val="20"/>
              </w:rPr>
              <w:t>0.000629973</w:t>
            </w:r>
          </w:p>
        </w:tc>
        <w:tc>
          <w:tcPr>
            <w:tcW w:w="1350" w:type="dxa"/>
            <w:tcBorders>
              <w:top w:val="nil"/>
              <w:left w:val="single" w:sz="8" w:space="0" w:color="auto"/>
              <w:bottom w:val="nil"/>
              <w:right w:val="single" w:sz="8" w:space="0" w:color="auto"/>
            </w:tcBorders>
            <w:noWrap/>
            <w:vAlign w:val="bottom"/>
            <w:hideMark/>
          </w:tcPr>
          <w:p w14:paraId="5895EA5E" w14:textId="77777777" w:rsidR="003C6287" w:rsidRPr="00BC6489" w:rsidRDefault="003C6287" w:rsidP="00B96CCF">
            <w:pPr>
              <w:spacing w:after="0" w:line="240" w:lineRule="auto"/>
              <w:jc w:val="center"/>
              <w:rPr>
                <w:rFonts w:cs="Times New Roman"/>
                <w:bCs/>
                <w:sz w:val="20"/>
                <w:szCs w:val="20"/>
              </w:rPr>
            </w:pPr>
            <w:r w:rsidRPr="00BC6489">
              <w:rPr>
                <w:rFonts w:cs="Times New Roman"/>
                <w:bCs/>
                <w:sz w:val="20"/>
                <w:szCs w:val="20"/>
              </w:rPr>
              <w:t>1.611484413</w:t>
            </w:r>
          </w:p>
        </w:tc>
        <w:tc>
          <w:tcPr>
            <w:tcW w:w="1440" w:type="dxa"/>
            <w:noWrap/>
            <w:vAlign w:val="bottom"/>
            <w:hideMark/>
          </w:tcPr>
          <w:p w14:paraId="0A4D0D1D" w14:textId="77777777" w:rsidR="003C6287" w:rsidRPr="00BC6489" w:rsidRDefault="003C6287" w:rsidP="00B96CCF">
            <w:pPr>
              <w:spacing w:after="0" w:line="240" w:lineRule="auto"/>
              <w:jc w:val="center"/>
              <w:rPr>
                <w:rFonts w:cs="Times New Roman"/>
                <w:bCs/>
                <w:sz w:val="20"/>
                <w:szCs w:val="20"/>
              </w:rPr>
            </w:pPr>
            <w:r w:rsidRPr="00BC6489">
              <w:rPr>
                <w:rFonts w:cs="Times New Roman"/>
                <w:bCs/>
                <w:sz w:val="20"/>
                <w:szCs w:val="20"/>
              </w:rPr>
              <w:t>4.326471495</w:t>
            </w:r>
          </w:p>
        </w:tc>
        <w:tc>
          <w:tcPr>
            <w:tcW w:w="1599" w:type="dxa"/>
            <w:tcBorders>
              <w:top w:val="nil"/>
              <w:left w:val="single" w:sz="8" w:space="0" w:color="auto"/>
              <w:bottom w:val="nil"/>
              <w:right w:val="single" w:sz="8" w:space="0" w:color="auto"/>
            </w:tcBorders>
            <w:noWrap/>
            <w:vAlign w:val="bottom"/>
            <w:hideMark/>
          </w:tcPr>
          <w:p w14:paraId="48FCD9C4" w14:textId="77777777" w:rsidR="003C6287" w:rsidRPr="00BC6489" w:rsidRDefault="003C6287" w:rsidP="00B96CCF">
            <w:pPr>
              <w:spacing w:after="0" w:line="240" w:lineRule="auto"/>
              <w:jc w:val="center"/>
              <w:rPr>
                <w:rFonts w:cs="Times New Roman"/>
                <w:bCs/>
                <w:sz w:val="20"/>
                <w:szCs w:val="20"/>
              </w:rPr>
            </w:pPr>
            <w:r w:rsidRPr="00BC6489">
              <w:rPr>
                <w:rFonts w:cs="Times New Roman"/>
                <w:bCs/>
                <w:sz w:val="20"/>
                <w:szCs w:val="20"/>
              </w:rPr>
              <w:t>-0.213558163</w:t>
            </w:r>
          </w:p>
        </w:tc>
        <w:tc>
          <w:tcPr>
            <w:tcW w:w="1350" w:type="dxa"/>
            <w:tcBorders>
              <w:top w:val="nil"/>
              <w:left w:val="nil"/>
              <w:bottom w:val="nil"/>
              <w:right w:val="single" w:sz="8" w:space="0" w:color="auto"/>
            </w:tcBorders>
            <w:noWrap/>
            <w:vAlign w:val="bottom"/>
            <w:hideMark/>
          </w:tcPr>
          <w:p w14:paraId="273B11F1" w14:textId="77777777" w:rsidR="003C6287" w:rsidRPr="00BC6489" w:rsidRDefault="003C6287" w:rsidP="00B96CCF">
            <w:pPr>
              <w:spacing w:after="0" w:line="240" w:lineRule="auto"/>
              <w:jc w:val="center"/>
              <w:rPr>
                <w:rFonts w:cs="Times New Roman"/>
                <w:bCs/>
                <w:sz w:val="20"/>
                <w:szCs w:val="20"/>
              </w:rPr>
            </w:pPr>
            <w:r w:rsidRPr="00BC6489">
              <w:rPr>
                <w:rFonts w:cs="Times New Roman"/>
                <w:bCs/>
                <w:sz w:val="20"/>
                <w:szCs w:val="20"/>
              </w:rPr>
              <w:t>1.432035791</w:t>
            </w:r>
          </w:p>
        </w:tc>
      </w:tr>
      <w:tr w:rsidR="003C6287" w14:paraId="4B4A1823" w14:textId="77777777" w:rsidTr="003A0389">
        <w:trPr>
          <w:trHeight w:val="628"/>
        </w:trPr>
        <w:tc>
          <w:tcPr>
            <w:tcW w:w="1005" w:type="dxa"/>
            <w:tcBorders>
              <w:top w:val="nil"/>
              <w:left w:val="single" w:sz="8" w:space="0" w:color="auto"/>
              <w:bottom w:val="nil"/>
              <w:right w:val="single" w:sz="8" w:space="0" w:color="auto"/>
            </w:tcBorders>
            <w:noWrap/>
            <w:vAlign w:val="bottom"/>
            <w:hideMark/>
          </w:tcPr>
          <w:p w14:paraId="541334D3" w14:textId="77777777" w:rsidR="003C6287" w:rsidRDefault="003C6287" w:rsidP="00B96CCF">
            <w:pPr>
              <w:spacing w:after="0" w:line="240" w:lineRule="auto"/>
              <w:rPr>
                <w:rFonts w:cs="Times New Roman"/>
                <w:b/>
                <w:bCs/>
                <w:sz w:val="20"/>
                <w:szCs w:val="20"/>
              </w:rPr>
            </w:pPr>
            <w:r>
              <w:rPr>
                <w:rFonts w:cs="Times New Roman"/>
                <w:b/>
                <w:bCs/>
                <w:sz w:val="20"/>
                <w:szCs w:val="20"/>
              </w:rPr>
              <w:t>Std Dev.</w:t>
            </w:r>
          </w:p>
        </w:tc>
        <w:tc>
          <w:tcPr>
            <w:tcW w:w="1530" w:type="dxa"/>
            <w:tcBorders>
              <w:top w:val="nil"/>
              <w:left w:val="nil"/>
              <w:bottom w:val="nil"/>
              <w:right w:val="single" w:sz="8" w:space="0" w:color="auto"/>
            </w:tcBorders>
            <w:noWrap/>
            <w:vAlign w:val="bottom"/>
            <w:hideMark/>
          </w:tcPr>
          <w:p w14:paraId="7FDE645B" w14:textId="77777777" w:rsidR="003C6287" w:rsidRPr="00BC6489" w:rsidRDefault="003C6287" w:rsidP="00B96CCF">
            <w:pPr>
              <w:spacing w:after="0" w:line="240" w:lineRule="auto"/>
              <w:jc w:val="center"/>
              <w:rPr>
                <w:rFonts w:cs="Times New Roman"/>
                <w:bCs/>
                <w:sz w:val="20"/>
                <w:szCs w:val="20"/>
              </w:rPr>
            </w:pPr>
            <w:r w:rsidRPr="00BC6489">
              <w:rPr>
                <w:rFonts w:cs="Times New Roman"/>
                <w:bCs/>
                <w:sz w:val="20"/>
                <w:szCs w:val="20"/>
              </w:rPr>
              <w:t>0.183821156</w:t>
            </w:r>
          </w:p>
        </w:tc>
        <w:tc>
          <w:tcPr>
            <w:tcW w:w="1281" w:type="dxa"/>
            <w:noWrap/>
            <w:vAlign w:val="bottom"/>
            <w:hideMark/>
          </w:tcPr>
          <w:p w14:paraId="11BCF1DF" w14:textId="77777777" w:rsidR="003C6287" w:rsidRPr="00BC6489" w:rsidRDefault="003C6287" w:rsidP="00B96CCF">
            <w:pPr>
              <w:spacing w:after="0" w:line="240" w:lineRule="auto"/>
              <w:jc w:val="center"/>
              <w:rPr>
                <w:rFonts w:cs="Times New Roman"/>
                <w:bCs/>
                <w:sz w:val="20"/>
                <w:szCs w:val="20"/>
              </w:rPr>
            </w:pPr>
            <w:r w:rsidRPr="00BC6489">
              <w:rPr>
                <w:rFonts w:cs="Times New Roman"/>
                <w:bCs/>
                <w:sz w:val="20"/>
                <w:szCs w:val="20"/>
              </w:rPr>
              <w:t>0.020233165</w:t>
            </w:r>
          </w:p>
        </w:tc>
        <w:tc>
          <w:tcPr>
            <w:tcW w:w="1350" w:type="dxa"/>
            <w:tcBorders>
              <w:top w:val="nil"/>
              <w:left w:val="single" w:sz="8" w:space="0" w:color="auto"/>
              <w:bottom w:val="nil"/>
              <w:right w:val="single" w:sz="8" w:space="0" w:color="auto"/>
            </w:tcBorders>
            <w:noWrap/>
            <w:vAlign w:val="bottom"/>
            <w:hideMark/>
          </w:tcPr>
          <w:p w14:paraId="1897A067" w14:textId="77777777" w:rsidR="003C6287" w:rsidRPr="00BC6489" w:rsidRDefault="003C6287" w:rsidP="00B96CCF">
            <w:pPr>
              <w:spacing w:after="0" w:line="240" w:lineRule="auto"/>
              <w:jc w:val="center"/>
              <w:rPr>
                <w:rFonts w:cs="Times New Roman"/>
                <w:bCs/>
                <w:sz w:val="20"/>
                <w:szCs w:val="20"/>
              </w:rPr>
            </w:pPr>
            <w:r w:rsidRPr="00BC6489">
              <w:rPr>
                <w:rFonts w:cs="Times New Roman"/>
                <w:bCs/>
                <w:sz w:val="20"/>
                <w:szCs w:val="20"/>
              </w:rPr>
              <w:t>0.421688997</w:t>
            </w:r>
          </w:p>
        </w:tc>
        <w:tc>
          <w:tcPr>
            <w:tcW w:w="1440" w:type="dxa"/>
            <w:noWrap/>
            <w:vAlign w:val="bottom"/>
            <w:hideMark/>
          </w:tcPr>
          <w:p w14:paraId="0BF13F3A" w14:textId="77777777" w:rsidR="003C6287" w:rsidRPr="00BC6489" w:rsidRDefault="003C6287" w:rsidP="00B96CCF">
            <w:pPr>
              <w:spacing w:after="0" w:line="240" w:lineRule="auto"/>
              <w:jc w:val="center"/>
              <w:rPr>
                <w:rFonts w:cs="Times New Roman"/>
                <w:bCs/>
                <w:sz w:val="20"/>
                <w:szCs w:val="20"/>
              </w:rPr>
            </w:pPr>
            <w:r w:rsidRPr="00BC6489">
              <w:rPr>
                <w:rFonts w:cs="Times New Roman"/>
                <w:bCs/>
                <w:sz w:val="20"/>
                <w:szCs w:val="20"/>
              </w:rPr>
              <w:t>2.172755092</w:t>
            </w:r>
          </w:p>
        </w:tc>
        <w:tc>
          <w:tcPr>
            <w:tcW w:w="1599" w:type="dxa"/>
            <w:tcBorders>
              <w:top w:val="nil"/>
              <w:left w:val="single" w:sz="8" w:space="0" w:color="auto"/>
              <w:bottom w:val="nil"/>
              <w:right w:val="single" w:sz="8" w:space="0" w:color="auto"/>
            </w:tcBorders>
            <w:noWrap/>
            <w:vAlign w:val="bottom"/>
            <w:hideMark/>
          </w:tcPr>
          <w:p w14:paraId="41134333" w14:textId="77777777" w:rsidR="003C6287" w:rsidRPr="00BC6489" w:rsidRDefault="003C6287" w:rsidP="00B96CCF">
            <w:pPr>
              <w:spacing w:after="0" w:line="240" w:lineRule="auto"/>
              <w:jc w:val="center"/>
              <w:rPr>
                <w:rFonts w:cs="Times New Roman"/>
                <w:bCs/>
                <w:sz w:val="20"/>
                <w:szCs w:val="20"/>
              </w:rPr>
            </w:pPr>
            <w:r w:rsidRPr="00BC6489">
              <w:rPr>
                <w:rFonts w:cs="Times New Roman"/>
                <w:bCs/>
                <w:sz w:val="20"/>
                <w:szCs w:val="20"/>
              </w:rPr>
              <w:t>0.264387721</w:t>
            </w:r>
          </w:p>
        </w:tc>
        <w:tc>
          <w:tcPr>
            <w:tcW w:w="1350" w:type="dxa"/>
            <w:tcBorders>
              <w:top w:val="nil"/>
              <w:left w:val="nil"/>
              <w:bottom w:val="nil"/>
              <w:right w:val="single" w:sz="8" w:space="0" w:color="auto"/>
            </w:tcBorders>
            <w:noWrap/>
            <w:vAlign w:val="bottom"/>
            <w:hideMark/>
          </w:tcPr>
          <w:p w14:paraId="1B05DF09" w14:textId="77777777" w:rsidR="003C6287" w:rsidRPr="00BC6489" w:rsidRDefault="003C6287" w:rsidP="00B96CCF">
            <w:pPr>
              <w:spacing w:after="0" w:line="240" w:lineRule="auto"/>
              <w:jc w:val="center"/>
              <w:rPr>
                <w:rFonts w:cs="Times New Roman"/>
                <w:bCs/>
                <w:sz w:val="20"/>
                <w:szCs w:val="20"/>
              </w:rPr>
            </w:pPr>
            <w:r w:rsidRPr="00BC6489">
              <w:rPr>
                <w:rFonts w:cs="Times New Roman"/>
                <w:bCs/>
                <w:sz w:val="20"/>
                <w:szCs w:val="20"/>
              </w:rPr>
              <w:t>1.006434075</w:t>
            </w:r>
          </w:p>
        </w:tc>
      </w:tr>
      <w:tr w:rsidR="003C6287" w14:paraId="50599FE2" w14:textId="77777777" w:rsidTr="003A0389">
        <w:trPr>
          <w:trHeight w:val="660"/>
        </w:trPr>
        <w:tc>
          <w:tcPr>
            <w:tcW w:w="1005" w:type="dxa"/>
            <w:tcBorders>
              <w:top w:val="nil"/>
              <w:left w:val="single" w:sz="8" w:space="0" w:color="auto"/>
              <w:bottom w:val="nil"/>
              <w:right w:val="single" w:sz="8" w:space="0" w:color="auto"/>
            </w:tcBorders>
            <w:noWrap/>
            <w:vAlign w:val="bottom"/>
            <w:hideMark/>
          </w:tcPr>
          <w:p w14:paraId="748CD592" w14:textId="77777777" w:rsidR="003C6287" w:rsidRDefault="003C6287" w:rsidP="00B96CCF">
            <w:pPr>
              <w:spacing w:after="0" w:line="240" w:lineRule="auto"/>
              <w:rPr>
                <w:rFonts w:cs="Times New Roman"/>
                <w:b/>
                <w:bCs/>
                <w:sz w:val="20"/>
                <w:szCs w:val="20"/>
              </w:rPr>
            </w:pPr>
            <w:r>
              <w:rPr>
                <w:rFonts w:cs="Times New Roman"/>
                <w:b/>
                <w:bCs/>
                <w:sz w:val="20"/>
                <w:szCs w:val="20"/>
              </w:rPr>
              <w:t> </w:t>
            </w:r>
          </w:p>
        </w:tc>
        <w:tc>
          <w:tcPr>
            <w:tcW w:w="1530" w:type="dxa"/>
            <w:tcBorders>
              <w:top w:val="nil"/>
              <w:left w:val="nil"/>
              <w:bottom w:val="nil"/>
              <w:right w:val="single" w:sz="8" w:space="0" w:color="auto"/>
            </w:tcBorders>
            <w:noWrap/>
            <w:vAlign w:val="bottom"/>
            <w:hideMark/>
          </w:tcPr>
          <w:p w14:paraId="59EA4097" w14:textId="77777777" w:rsidR="003C6287" w:rsidRPr="00BC6489" w:rsidRDefault="003C6287" w:rsidP="00B96CCF">
            <w:pPr>
              <w:spacing w:after="0" w:line="240" w:lineRule="auto"/>
              <w:jc w:val="center"/>
              <w:rPr>
                <w:rFonts w:cs="Times New Roman"/>
                <w:bCs/>
                <w:sz w:val="20"/>
                <w:szCs w:val="20"/>
              </w:rPr>
            </w:pPr>
            <w:r w:rsidRPr="00BC6489">
              <w:rPr>
                <w:rFonts w:cs="Times New Roman"/>
                <w:bCs/>
                <w:sz w:val="20"/>
                <w:szCs w:val="20"/>
              </w:rPr>
              <w:t> </w:t>
            </w:r>
          </w:p>
        </w:tc>
        <w:tc>
          <w:tcPr>
            <w:tcW w:w="1281" w:type="dxa"/>
            <w:noWrap/>
            <w:vAlign w:val="bottom"/>
            <w:hideMark/>
          </w:tcPr>
          <w:p w14:paraId="0ABCD91E" w14:textId="77777777" w:rsidR="003C6287" w:rsidRPr="00BC6489" w:rsidRDefault="003C6287" w:rsidP="00B96CCF">
            <w:pPr>
              <w:spacing w:after="0"/>
              <w:rPr>
                <w:rFonts w:asciiTheme="minorHAnsi" w:eastAsiaTheme="minorHAnsi" w:hAnsiTheme="minorHAnsi" w:cs="Times New Roman"/>
              </w:rPr>
            </w:pPr>
          </w:p>
        </w:tc>
        <w:tc>
          <w:tcPr>
            <w:tcW w:w="1350" w:type="dxa"/>
            <w:tcBorders>
              <w:top w:val="nil"/>
              <w:left w:val="single" w:sz="8" w:space="0" w:color="auto"/>
              <w:bottom w:val="nil"/>
              <w:right w:val="single" w:sz="8" w:space="0" w:color="auto"/>
            </w:tcBorders>
            <w:noWrap/>
            <w:vAlign w:val="bottom"/>
            <w:hideMark/>
          </w:tcPr>
          <w:p w14:paraId="09E21BD5" w14:textId="77777777" w:rsidR="003C6287" w:rsidRPr="00BC6489" w:rsidRDefault="003C6287" w:rsidP="00B96CCF">
            <w:pPr>
              <w:spacing w:after="0" w:line="240" w:lineRule="auto"/>
              <w:jc w:val="center"/>
              <w:rPr>
                <w:rFonts w:cs="Times New Roman"/>
                <w:bCs/>
                <w:sz w:val="20"/>
                <w:szCs w:val="20"/>
              </w:rPr>
            </w:pPr>
            <w:r w:rsidRPr="00BC6489">
              <w:rPr>
                <w:rFonts w:cs="Times New Roman"/>
                <w:bCs/>
                <w:sz w:val="20"/>
                <w:szCs w:val="20"/>
              </w:rPr>
              <w:t> </w:t>
            </w:r>
          </w:p>
        </w:tc>
        <w:tc>
          <w:tcPr>
            <w:tcW w:w="1440" w:type="dxa"/>
            <w:noWrap/>
            <w:vAlign w:val="bottom"/>
            <w:hideMark/>
          </w:tcPr>
          <w:p w14:paraId="42527C3E" w14:textId="77777777" w:rsidR="003C6287" w:rsidRPr="00BC6489" w:rsidRDefault="003C6287" w:rsidP="00B96CCF">
            <w:pPr>
              <w:spacing w:after="0"/>
              <w:rPr>
                <w:rFonts w:asciiTheme="minorHAnsi" w:eastAsiaTheme="minorHAnsi" w:hAnsiTheme="minorHAnsi" w:cs="Times New Roman"/>
              </w:rPr>
            </w:pPr>
          </w:p>
        </w:tc>
        <w:tc>
          <w:tcPr>
            <w:tcW w:w="1599" w:type="dxa"/>
            <w:tcBorders>
              <w:top w:val="nil"/>
              <w:left w:val="single" w:sz="8" w:space="0" w:color="auto"/>
              <w:bottom w:val="nil"/>
              <w:right w:val="single" w:sz="8" w:space="0" w:color="auto"/>
            </w:tcBorders>
            <w:noWrap/>
            <w:vAlign w:val="bottom"/>
            <w:hideMark/>
          </w:tcPr>
          <w:p w14:paraId="71752366" w14:textId="77777777" w:rsidR="003C6287" w:rsidRPr="00BC6489" w:rsidRDefault="003C6287" w:rsidP="00B96CCF">
            <w:pPr>
              <w:spacing w:after="0" w:line="240" w:lineRule="auto"/>
              <w:jc w:val="center"/>
              <w:rPr>
                <w:rFonts w:cs="Times New Roman"/>
                <w:bCs/>
                <w:sz w:val="20"/>
                <w:szCs w:val="20"/>
              </w:rPr>
            </w:pPr>
            <w:r w:rsidRPr="00BC6489">
              <w:rPr>
                <w:rFonts w:cs="Times New Roman"/>
                <w:bCs/>
                <w:sz w:val="20"/>
                <w:szCs w:val="20"/>
              </w:rPr>
              <w:t> </w:t>
            </w:r>
          </w:p>
        </w:tc>
        <w:tc>
          <w:tcPr>
            <w:tcW w:w="1350" w:type="dxa"/>
            <w:tcBorders>
              <w:top w:val="nil"/>
              <w:left w:val="nil"/>
              <w:bottom w:val="nil"/>
              <w:right w:val="single" w:sz="8" w:space="0" w:color="auto"/>
            </w:tcBorders>
            <w:noWrap/>
            <w:vAlign w:val="bottom"/>
            <w:hideMark/>
          </w:tcPr>
          <w:p w14:paraId="35DBE7D5" w14:textId="77777777" w:rsidR="003C6287" w:rsidRPr="00BC6489" w:rsidRDefault="003C6287" w:rsidP="00B96CCF">
            <w:pPr>
              <w:spacing w:after="0" w:line="240" w:lineRule="auto"/>
              <w:jc w:val="center"/>
              <w:rPr>
                <w:rFonts w:cs="Times New Roman"/>
                <w:bCs/>
                <w:sz w:val="20"/>
                <w:szCs w:val="20"/>
              </w:rPr>
            </w:pPr>
            <w:r w:rsidRPr="00BC6489">
              <w:rPr>
                <w:rFonts w:cs="Times New Roman"/>
                <w:bCs/>
                <w:sz w:val="20"/>
                <w:szCs w:val="20"/>
              </w:rPr>
              <w:t> </w:t>
            </w:r>
          </w:p>
        </w:tc>
      </w:tr>
      <w:tr w:rsidR="003C6287" w14:paraId="6F810796" w14:textId="77777777" w:rsidTr="003A0389">
        <w:trPr>
          <w:trHeight w:val="660"/>
        </w:trPr>
        <w:tc>
          <w:tcPr>
            <w:tcW w:w="1005" w:type="dxa"/>
            <w:tcBorders>
              <w:top w:val="single" w:sz="8" w:space="0" w:color="auto"/>
              <w:left w:val="single" w:sz="8" w:space="0" w:color="auto"/>
              <w:bottom w:val="single" w:sz="8" w:space="0" w:color="auto"/>
              <w:right w:val="single" w:sz="8" w:space="0" w:color="auto"/>
            </w:tcBorders>
            <w:noWrap/>
            <w:vAlign w:val="bottom"/>
            <w:hideMark/>
          </w:tcPr>
          <w:p w14:paraId="19578236" w14:textId="77777777" w:rsidR="003C6287" w:rsidRDefault="003C6287" w:rsidP="00B96CCF">
            <w:pPr>
              <w:spacing w:after="0" w:line="240" w:lineRule="auto"/>
              <w:rPr>
                <w:rFonts w:cs="Times New Roman"/>
                <w:b/>
                <w:bCs/>
                <w:sz w:val="20"/>
                <w:szCs w:val="20"/>
              </w:rPr>
            </w:pPr>
            <w:r>
              <w:rPr>
                <w:rFonts w:cs="Times New Roman"/>
                <w:b/>
                <w:bCs/>
                <w:sz w:val="20"/>
                <w:szCs w:val="20"/>
              </w:rPr>
              <w:t> </w:t>
            </w:r>
          </w:p>
        </w:tc>
        <w:tc>
          <w:tcPr>
            <w:tcW w:w="1530" w:type="dxa"/>
            <w:tcBorders>
              <w:top w:val="single" w:sz="8" w:space="0" w:color="auto"/>
              <w:left w:val="nil"/>
              <w:bottom w:val="single" w:sz="8" w:space="0" w:color="auto"/>
              <w:right w:val="single" w:sz="8" w:space="0" w:color="auto"/>
            </w:tcBorders>
            <w:noWrap/>
            <w:vAlign w:val="bottom"/>
            <w:hideMark/>
          </w:tcPr>
          <w:p w14:paraId="4D2B14AD" w14:textId="77777777" w:rsidR="003C6287" w:rsidRDefault="003C6287" w:rsidP="00B96CCF">
            <w:pPr>
              <w:spacing w:after="0" w:line="240" w:lineRule="auto"/>
              <w:jc w:val="center"/>
              <w:rPr>
                <w:rFonts w:cs="Times New Roman"/>
                <w:b/>
                <w:bCs/>
                <w:sz w:val="20"/>
                <w:szCs w:val="20"/>
              </w:rPr>
            </w:pPr>
            <w:r>
              <w:rPr>
                <w:rFonts w:cs="Times New Roman"/>
                <w:b/>
                <w:bCs/>
                <w:sz w:val="20"/>
                <w:szCs w:val="20"/>
              </w:rPr>
              <w:t>z-alpha(Bangia)</w:t>
            </w:r>
          </w:p>
        </w:tc>
        <w:tc>
          <w:tcPr>
            <w:tcW w:w="1281" w:type="dxa"/>
            <w:tcBorders>
              <w:top w:val="single" w:sz="8" w:space="0" w:color="auto"/>
              <w:left w:val="nil"/>
              <w:bottom w:val="single" w:sz="8" w:space="0" w:color="auto"/>
              <w:right w:val="nil"/>
            </w:tcBorders>
            <w:noWrap/>
            <w:vAlign w:val="bottom"/>
            <w:hideMark/>
          </w:tcPr>
          <w:p w14:paraId="08C5207F" w14:textId="77777777" w:rsidR="003C6287" w:rsidRDefault="003C6287" w:rsidP="00B96CCF">
            <w:pPr>
              <w:spacing w:after="0" w:line="240" w:lineRule="auto"/>
              <w:jc w:val="center"/>
              <w:rPr>
                <w:rFonts w:cs="Times New Roman"/>
                <w:b/>
                <w:bCs/>
                <w:sz w:val="20"/>
                <w:szCs w:val="20"/>
              </w:rPr>
            </w:pPr>
            <w:r>
              <w:rPr>
                <w:rFonts w:cs="Times New Roman"/>
                <w:b/>
                <w:bCs/>
                <w:sz w:val="20"/>
                <w:szCs w:val="20"/>
              </w:rPr>
              <w:t>z-cornish(S)</w:t>
            </w:r>
          </w:p>
        </w:tc>
        <w:tc>
          <w:tcPr>
            <w:tcW w:w="1350" w:type="dxa"/>
            <w:tcBorders>
              <w:top w:val="single" w:sz="8" w:space="0" w:color="auto"/>
              <w:left w:val="single" w:sz="8" w:space="0" w:color="auto"/>
              <w:bottom w:val="single" w:sz="8" w:space="0" w:color="auto"/>
              <w:right w:val="single" w:sz="8" w:space="0" w:color="auto"/>
            </w:tcBorders>
            <w:noWrap/>
            <w:vAlign w:val="bottom"/>
            <w:hideMark/>
          </w:tcPr>
          <w:p w14:paraId="0D7C4DFB" w14:textId="77777777" w:rsidR="003C6287" w:rsidRDefault="003C6287" w:rsidP="00B96CCF">
            <w:pPr>
              <w:spacing w:after="0" w:line="240" w:lineRule="auto"/>
              <w:jc w:val="center"/>
              <w:rPr>
                <w:rFonts w:cs="Times New Roman"/>
                <w:b/>
                <w:bCs/>
                <w:sz w:val="20"/>
                <w:szCs w:val="20"/>
              </w:rPr>
            </w:pPr>
            <w:r>
              <w:rPr>
                <w:rFonts w:cs="Times New Roman"/>
                <w:b/>
                <w:bCs/>
                <w:sz w:val="20"/>
                <w:szCs w:val="20"/>
              </w:rPr>
              <w:t>z-cornish (R)</w:t>
            </w:r>
          </w:p>
        </w:tc>
        <w:tc>
          <w:tcPr>
            <w:tcW w:w="1440" w:type="dxa"/>
            <w:tcBorders>
              <w:top w:val="single" w:sz="8" w:space="0" w:color="auto"/>
              <w:left w:val="nil"/>
              <w:bottom w:val="single" w:sz="8" w:space="0" w:color="auto"/>
              <w:right w:val="nil"/>
            </w:tcBorders>
            <w:noWrap/>
            <w:vAlign w:val="bottom"/>
            <w:hideMark/>
          </w:tcPr>
          <w:p w14:paraId="74C83F3E" w14:textId="77777777" w:rsidR="003C6287" w:rsidRDefault="003C6287" w:rsidP="00B96CCF">
            <w:pPr>
              <w:spacing w:after="0" w:line="240" w:lineRule="auto"/>
              <w:jc w:val="center"/>
              <w:rPr>
                <w:rFonts w:cs="Times New Roman"/>
                <w:b/>
                <w:bCs/>
                <w:sz w:val="20"/>
                <w:szCs w:val="20"/>
              </w:rPr>
            </w:pPr>
            <w:r>
              <w:rPr>
                <w:rFonts w:cs="Times New Roman"/>
                <w:b/>
                <w:bCs/>
                <w:sz w:val="20"/>
                <w:szCs w:val="20"/>
              </w:rPr>
              <w:t>Price Risk (%)</w:t>
            </w:r>
          </w:p>
        </w:tc>
        <w:tc>
          <w:tcPr>
            <w:tcW w:w="1599" w:type="dxa"/>
            <w:tcBorders>
              <w:top w:val="single" w:sz="8" w:space="0" w:color="auto"/>
              <w:left w:val="single" w:sz="8" w:space="0" w:color="auto"/>
              <w:bottom w:val="single" w:sz="8" w:space="0" w:color="auto"/>
              <w:right w:val="single" w:sz="8" w:space="0" w:color="auto"/>
            </w:tcBorders>
            <w:noWrap/>
            <w:vAlign w:val="bottom"/>
            <w:hideMark/>
          </w:tcPr>
          <w:p w14:paraId="412F1C0B" w14:textId="77777777" w:rsidR="003C6287" w:rsidRDefault="003C6287" w:rsidP="00B96CCF">
            <w:pPr>
              <w:spacing w:after="0" w:line="240" w:lineRule="auto"/>
              <w:jc w:val="center"/>
              <w:rPr>
                <w:rFonts w:cs="Times New Roman"/>
                <w:b/>
                <w:bCs/>
                <w:sz w:val="20"/>
                <w:szCs w:val="20"/>
              </w:rPr>
            </w:pPr>
            <w:r>
              <w:rPr>
                <w:rFonts w:cs="Times New Roman"/>
                <w:b/>
                <w:bCs/>
                <w:sz w:val="20"/>
                <w:szCs w:val="20"/>
              </w:rPr>
              <w:t xml:space="preserve"> LVaR (Bangia) %</w:t>
            </w:r>
          </w:p>
        </w:tc>
        <w:tc>
          <w:tcPr>
            <w:tcW w:w="1350" w:type="dxa"/>
            <w:tcBorders>
              <w:top w:val="single" w:sz="8" w:space="0" w:color="auto"/>
              <w:left w:val="nil"/>
              <w:bottom w:val="single" w:sz="8" w:space="0" w:color="auto"/>
              <w:right w:val="single" w:sz="8" w:space="0" w:color="auto"/>
            </w:tcBorders>
            <w:noWrap/>
            <w:vAlign w:val="bottom"/>
            <w:hideMark/>
          </w:tcPr>
          <w:p w14:paraId="4753A8D6" w14:textId="77777777" w:rsidR="003C6287" w:rsidRDefault="003C6287" w:rsidP="00B96CCF">
            <w:pPr>
              <w:spacing w:after="0" w:line="240" w:lineRule="auto"/>
              <w:jc w:val="center"/>
              <w:rPr>
                <w:rFonts w:cs="Times New Roman"/>
                <w:b/>
                <w:bCs/>
                <w:sz w:val="20"/>
                <w:szCs w:val="20"/>
              </w:rPr>
            </w:pPr>
            <w:r w:rsidRPr="00BC6489">
              <w:rPr>
                <w:rFonts w:cs="Times New Roman"/>
                <w:b/>
                <w:bCs/>
                <w:sz w:val="20"/>
                <w:szCs w:val="20"/>
              </w:rPr>
              <w:t>LVaR (</w:t>
            </w:r>
            <w:r>
              <w:rPr>
                <w:rFonts w:cs="Times New Roman"/>
                <w:b/>
                <w:bCs/>
                <w:sz w:val="20"/>
                <w:szCs w:val="20"/>
              </w:rPr>
              <w:t>Modified</w:t>
            </w:r>
            <w:r w:rsidRPr="00BC6489">
              <w:rPr>
                <w:rFonts w:cs="Times New Roman"/>
                <w:b/>
                <w:bCs/>
                <w:sz w:val="20"/>
                <w:szCs w:val="20"/>
              </w:rPr>
              <w:t>) %</w:t>
            </w:r>
          </w:p>
        </w:tc>
      </w:tr>
      <w:tr w:rsidR="003C6287" w14:paraId="7CBB6982" w14:textId="77777777" w:rsidTr="003A0389">
        <w:trPr>
          <w:trHeight w:val="628"/>
        </w:trPr>
        <w:tc>
          <w:tcPr>
            <w:tcW w:w="1005" w:type="dxa"/>
            <w:tcBorders>
              <w:top w:val="nil"/>
              <w:left w:val="single" w:sz="8" w:space="0" w:color="auto"/>
              <w:bottom w:val="nil"/>
              <w:right w:val="single" w:sz="8" w:space="0" w:color="auto"/>
            </w:tcBorders>
            <w:noWrap/>
            <w:vAlign w:val="bottom"/>
            <w:hideMark/>
          </w:tcPr>
          <w:p w14:paraId="440CEA45" w14:textId="77777777" w:rsidR="003C6287" w:rsidRDefault="003C6287" w:rsidP="00B96CCF">
            <w:pPr>
              <w:spacing w:after="0" w:line="240" w:lineRule="auto"/>
              <w:rPr>
                <w:rFonts w:cs="Times New Roman"/>
                <w:b/>
                <w:bCs/>
                <w:sz w:val="20"/>
                <w:szCs w:val="20"/>
              </w:rPr>
            </w:pPr>
            <w:r>
              <w:rPr>
                <w:rFonts w:cs="Times New Roman"/>
                <w:b/>
                <w:bCs/>
                <w:sz w:val="20"/>
                <w:szCs w:val="20"/>
              </w:rPr>
              <w:t>Mean</w:t>
            </w:r>
          </w:p>
        </w:tc>
        <w:tc>
          <w:tcPr>
            <w:tcW w:w="1530" w:type="dxa"/>
            <w:tcBorders>
              <w:top w:val="nil"/>
              <w:left w:val="nil"/>
              <w:bottom w:val="nil"/>
              <w:right w:val="single" w:sz="8" w:space="0" w:color="auto"/>
            </w:tcBorders>
            <w:noWrap/>
            <w:vAlign w:val="bottom"/>
            <w:hideMark/>
          </w:tcPr>
          <w:p w14:paraId="3E843EBF" w14:textId="77777777" w:rsidR="003C6287" w:rsidRPr="00BC6489" w:rsidRDefault="003C6287" w:rsidP="00B96CCF">
            <w:pPr>
              <w:spacing w:after="0" w:line="240" w:lineRule="auto"/>
              <w:jc w:val="center"/>
              <w:rPr>
                <w:rFonts w:cs="Times New Roman"/>
                <w:bCs/>
                <w:sz w:val="20"/>
                <w:szCs w:val="20"/>
              </w:rPr>
            </w:pPr>
            <w:r w:rsidRPr="00BC6489">
              <w:rPr>
                <w:rFonts w:cs="Times New Roman"/>
                <w:bCs/>
                <w:sz w:val="20"/>
                <w:szCs w:val="20"/>
              </w:rPr>
              <w:t>1.11368239</w:t>
            </w:r>
          </w:p>
        </w:tc>
        <w:tc>
          <w:tcPr>
            <w:tcW w:w="1281" w:type="dxa"/>
            <w:noWrap/>
            <w:vAlign w:val="bottom"/>
            <w:hideMark/>
          </w:tcPr>
          <w:p w14:paraId="7267EB84" w14:textId="77777777" w:rsidR="003C6287" w:rsidRPr="00BC6489" w:rsidRDefault="003C6287" w:rsidP="00B96CCF">
            <w:pPr>
              <w:spacing w:after="0" w:line="240" w:lineRule="auto"/>
              <w:jc w:val="center"/>
              <w:rPr>
                <w:rFonts w:cs="Times New Roman"/>
                <w:bCs/>
                <w:sz w:val="20"/>
                <w:szCs w:val="20"/>
              </w:rPr>
            </w:pPr>
            <w:r w:rsidRPr="00BC6489">
              <w:rPr>
                <w:rFonts w:cs="Times New Roman"/>
                <w:bCs/>
                <w:sz w:val="20"/>
                <w:szCs w:val="20"/>
              </w:rPr>
              <w:t>3.403449557</w:t>
            </w:r>
          </w:p>
        </w:tc>
        <w:tc>
          <w:tcPr>
            <w:tcW w:w="1350" w:type="dxa"/>
            <w:tcBorders>
              <w:top w:val="nil"/>
              <w:left w:val="single" w:sz="8" w:space="0" w:color="auto"/>
              <w:bottom w:val="nil"/>
              <w:right w:val="single" w:sz="8" w:space="0" w:color="auto"/>
            </w:tcBorders>
            <w:noWrap/>
            <w:vAlign w:val="bottom"/>
            <w:hideMark/>
          </w:tcPr>
          <w:p w14:paraId="17C327C2" w14:textId="77777777" w:rsidR="003C6287" w:rsidRPr="00BC6489" w:rsidRDefault="003C6287" w:rsidP="00B96CCF">
            <w:pPr>
              <w:spacing w:after="0" w:line="240" w:lineRule="auto"/>
              <w:jc w:val="center"/>
              <w:rPr>
                <w:rFonts w:cs="Times New Roman"/>
                <w:bCs/>
                <w:sz w:val="20"/>
                <w:szCs w:val="20"/>
              </w:rPr>
            </w:pPr>
            <w:r w:rsidRPr="00BC6489">
              <w:rPr>
                <w:rFonts w:cs="Times New Roman"/>
                <w:bCs/>
                <w:sz w:val="20"/>
                <w:szCs w:val="20"/>
              </w:rPr>
              <w:t>2.550865548</w:t>
            </w:r>
          </w:p>
        </w:tc>
        <w:tc>
          <w:tcPr>
            <w:tcW w:w="1440" w:type="dxa"/>
            <w:noWrap/>
            <w:vAlign w:val="bottom"/>
            <w:hideMark/>
          </w:tcPr>
          <w:p w14:paraId="34D8FA3F" w14:textId="77777777" w:rsidR="003C6287" w:rsidRPr="00BC6489" w:rsidRDefault="003C6287" w:rsidP="00B96CCF">
            <w:pPr>
              <w:spacing w:after="0" w:line="240" w:lineRule="auto"/>
              <w:jc w:val="center"/>
              <w:rPr>
                <w:rFonts w:cs="Times New Roman"/>
                <w:bCs/>
                <w:sz w:val="20"/>
                <w:szCs w:val="20"/>
              </w:rPr>
            </w:pPr>
            <w:r w:rsidRPr="00BC6489">
              <w:rPr>
                <w:rFonts w:cs="Times New Roman"/>
                <w:bCs/>
                <w:sz w:val="20"/>
                <w:szCs w:val="20"/>
              </w:rPr>
              <w:t>4.322830752</w:t>
            </w:r>
          </w:p>
        </w:tc>
        <w:tc>
          <w:tcPr>
            <w:tcW w:w="1599" w:type="dxa"/>
            <w:tcBorders>
              <w:top w:val="nil"/>
              <w:left w:val="single" w:sz="8" w:space="0" w:color="auto"/>
              <w:bottom w:val="nil"/>
              <w:right w:val="single" w:sz="8" w:space="0" w:color="auto"/>
            </w:tcBorders>
            <w:noWrap/>
            <w:vAlign w:val="bottom"/>
            <w:hideMark/>
          </w:tcPr>
          <w:p w14:paraId="03050248" w14:textId="77777777" w:rsidR="003C6287" w:rsidRPr="00BC6489" w:rsidRDefault="003C6287" w:rsidP="00B96CCF">
            <w:pPr>
              <w:spacing w:after="0" w:line="240" w:lineRule="auto"/>
              <w:jc w:val="center"/>
              <w:rPr>
                <w:rFonts w:cs="Times New Roman"/>
                <w:bCs/>
                <w:sz w:val="20"/>
                <w:szCs w:val="20"/>
              </w:rPr>
            </w:pPr>
            <w:r w:rsidRPr="00BC6489">
              <w:rPr>
                <w:rFonts w:cs="Times New Roman"/>
                <w:bCs/>
                <w:sz w:val="20"/>
                <w:szCs w:val="20"/>
              </w:rPr>
              <w:t>4.629891459</w:t>
            </w:r>
          </w:p>
        </w:tc>
        <w:tc>
          <w:tcPr>
            <w:tcW w:w="1350" w:type="dxa"/>
            <w:tcBorders>
              <w:top w:val="nil"/>
              <w:left w:val="nil"/>
              <w:bottom w:val="nil"/>
              <w:right w:val="single" w:sz="8" w:space="0" w:color="auto"/>
            </w:tcBorders>
            <w:noWrap/>
            <w:vAlign w:val="bottom"/>
            <w:hideMark/>
          </w:tcPr>
          <w:p w14:paraId="72352AE4" w14:textId="77777777" w:rsidR="003C6287" w:rsidRPr="00BC6489" w:rsidRDefault="003C6287" w:rsidP="00B96CCF">
            <w:pPr>
              <w:spacing w:after="0" w:line="240" w:lineRule="auto"/>
              <w:jc w:val="center"/>
              <w:rPr>
                <w:rFonts w:cs="Times New Roman"/>
                <w:bCs/>
                <w:sz w:val="20"/>
                <w:szCs w:val="20"/>
              </w:rPr>
            </w:pPr>
            <w:r w:rsidRPr="00BC6489">
              <w:rPr>
                <w:rFonts w:cs="Times New Roman"/>
                <w:bCs/>
                <w:sz w:val="20"/>
                <w:szCs w:val="20"/>
              </w:rPr>
              <w:t>5.289657154</w:t>
            </w:r>
          </w:p>
        </w:tc>
      </w:tr>
      <w:tr w:rsidR="003C6287" w14:paraId="614B18C0" w14:textId="77777777" w:rsidTr="003A0389">
        <w:trPr>
          <w:trHeight w:val="628"/>
        </w:trPr>
        <w:tc>
          <w:tcPr>
            <w:tcW w:w="1005" w:type="dxa"/>
            <w:tcBorders>
              <w:top w:val="nil"/>
              <w:left w:val="single" w:sz="8" w:space="0" w:color="auto"/>
              <w:bottom w:val="nil"/>
              <w:right w:val="single" w:sz="8" w:space="0" w:color="auto"/>
            </w:tcBorders>
            <w:noWrap/>
            <w:vAlign w:val="bottom"/>
            <w:hideMark/>
          </w:tcPr>
          <w:p w14:paraId="3CCB9ABC" w14:textId="77777777" w:rsidR="003C6287" w:rsidRDefault="003C6287" w:rsidP="00B96CCF">
            <w:pPr>
              <w:spacing w:after="0" w:line="240" w:lineRule="auto"/>
              <w:rPr>
                <w:rFonts w:cs="Times New Roman"/>
                <w:b/>
                <w:bCs/>
                <w:sz w:val="20"/>
                <w:szCs w:val="20"/>
              </w:rPr>
            </w:pPr>
            <w:r>
              <w:rPr>
                <w:rFonts w:cs="Times New Roman"/>
                <w:b/>
                <w:bCs/>
                <w:sz w:val="20"/>
                <w:szCs w:val="20"/>
              </w:rPr>
              <w:t>Median</w:t>
            </w:r>
          </w:p>
        </w:tc>
        <w:tc>
          <w:tcPr>
            <w:tcW w:w="1530" w:type="dxa"/>
            <w:tcBorders>
              <w:top w:val="nil"/>
              <w:left w:val="nil"/>
              <w:bottom w:val="nil"/>
              <w:right w:val="single" w:sz="8" w:space="0" w:color="auto"/>
            </w:tcBorders>
            <w:noWrap/>
            <w:vAlign w:val="bottom"/>
            <w:hideMark/>
          </w:tcPr>
          <w:p w14:paraId="69FBF789" w14:textId="77777777" w:rsidR="003C6287" w:rsidRPr="00BC6489" w:rsidRDefault="003C6287" w:rsidP="00B96CCF">
            <w:pPr>
              <w:spacing w:after="0" w:line="240" w:lineRule="auto"/>
              <w:jc w:val="center"/>
              <w:rPr>
                <w:rFonts w:cs="Times New Roman"/>
                <w:bCs/>
                <w:sz w:val="20"/>
                <w:szCs w:val="20"/>
              </w:rPr>
            </w:pPr>
            <w:r w:rsidRPr="00BC6489">
              <w:rPr>
                <w:rFonts w:cs="Times New Roman"/>
                <w:bCs/>
                <w:sz w:val="20"/>
                <w:szCs w:val="20"/>
              </w:rPr>
              <w:t>1.030217681</w:t>
            </w:r>
          </w:p>
        </w:tc>
        <w:tc>
          <w:tcPr>
            <w:tcW w:w="1281" w:type="dxa"/>
            <w:noWrap/>
            <w:vAlign w:val="bottom"/>
            <w:hideMark/>
          </w:tcPr>
          <w:p w14:paraId="0254296D" w14:textId="77777777" w:rsidR="003C6287" w:rsidRPr="00BC6489" w:rsidRDefault="003C6287" w:rsidP="00B96CCF">
            <w:pPr>
              <w:spacing w:after="0" w:line="240" w:lineRule="auto"/>
              <w:jc w:val="center"/>
              <w:rPr>
                <w:rFonts w:cs="Times New Roman"/>
                <w:bCs/>
                <w:sz w:val="20"/>
                <w:szCs w:val="20"/>
              </w:rPr>
            </w:pPr>
            <w:r w:rsidRPr="00BC6489">
              <w:rPr>
                <w:rFonts w:cs="Times New Roman"/>
                <w:bCs/>
                <w:sz w:val="20"/>
                <w:szCs w:val="20"/>
              </w:rPr>
              <w:t>3.511846396</w:t>
            </w:r>
          </w:p>
        </w:tc>
        <w:tc>
          <w:tcPr>
            <w:tcW w:w="1350" w:type="dxa"/>
            <w:tcBorders>
              <w:top w:val="nil"/>
              <w:left w:val="single" w:sz="8" w:space="0" w:color="auto"/>
              <w:bottom w:val="nil"/>
              <w:right w:val="single" w:sz="8" w:space="0" w:color="auto"/>
            </w:tcBorders>
            <w:noWrap/>
            <w:vAlign w:val="bottom"/>
            <w:hideMark/>
          </w:tcPr>
          <w:p w14:paraId="71C5E83A" w14:textId="77777777" w:rsidR="003C6287" w:rsidRPr="00BC6489" w:rsidRDefault="003C6287" w:rsidP="00B96CCF">
            <w:pPr>
              <w:spacing w:after="0" w:line="240" w:lineRule="auto"/>
              <w:jc w:val="center"/>
              <w:rPr>
                <w:rFonts w:cs="Times New Roman"/>
                <w:bCs/>
                <w:sz w:val="20"/>
                <w:szCs w:val="20"/>
              </w:rPr>
            </w:pPr>
            <w:r w:rsidRPr="00BC6489">
              <w:rPr>
                <w:rFonts w:cs="Times New Roman"/>
                <w:bCs/>
                <w:sz w:val="20"/>
                <w:szCs w:val="20"/>
              </w:rPr>
              <w:t>2.582819486</w:t>
            </w:r>
          </w:p>
        </w:tc>
        <w:tc>
          <w:tcPr>
            <w:tcW w:w="1440" w:type="dxa"/>
            <w:noWrap/>
            <w:vAlign w:val="bottom"/>
            <w:hideMark/>
          </w:tcPr>
          <w:p w14:paraId="506AEAAA" w14:textId="77777777" w:rsidR="003C6287" w:rsidRPr="00BC6489" w:rsidRDefault="003C6287" w:rsidP="00B96CCF">
            <w:pPr>
              <w:spacing w:after="0" w:line="240" w:lineRule="auto"/>
              <w:jc w:val="center"/>
              <w:rPr>
                <w:rFonts w:cs="Times New Roman"/>
                <w:bCs/>
                <w:sz w:val="20"/>
                <w:szCs w:val="20"/>
              </w:rPr>
            </w:pPr>
            <w:r w:rsidRPr="00BC6489">
              <w:rPr>
                <w:rFonts w:cs="Times New Roman"/>
                <w:bCs/>
                <w:sz w:val="20"/>
                <w:szCs w:val="20"/>
              </w:rPr>
              <w:t>4.049927902</w:t>
            </w:r>
          </w:p>
        </w:tc>
        <w:tc>
          <w:tcPr>
            <w:tcW w:w="1599" w:type="dxa"/>
            <w:tcBorders>
              <w:top w:val="nil"/>
              <w:left w:val="single" w:sz="8" w:space="0" w:color="auto"/>
              <w:bottom w:val="nil"/>
              <w:right w:val="single" w:sz="8" w:space="0" w:color="auto"/>
            </w:tcBorders>
            <w:noWrap/>
            <w:vAlign w:val="bottom"/>
            <w:hideMark/>
          </w:tcPr>
          <w:p w14:paraId="30B95466" w14:textId="77777777" w:rsidR="003C6287" w:rsidRPr="00BC6489" w:rsidRDefault="003C6287" w:rsidP="00B96CCF">
            <w:pPr>
              <w:spacing w:after="0" w:line="240" w:lineRule="auto"/>
              <w:jc w:val="center"/>
              <w:rPr>
                <w:rFonts w:cs="Times New Roman"/>
                <w:bCs/>
                <w:sz w:val="20"/>
                <w:szCs w:val="20"/>
              </w:rPr>
            </w:pPr>
            <w:r w:rsidRPr="00BC6489">
              <w:rPr>
                <w:rFonts w:cs="Times New Roman"/>
                <w:bCs/>
                <w:sz w:val="20"/>
                <w:szCs w:val="20"/>
              </w:rPr>
              <w:t>4.370264702</w:t>
            </w:r>
          </w:p>
        </w:tc>
        <w:tc>
          <w:tcPr>
            <w:tcW w:w="1350" w:type="dxa"/>
            <w:tcBorders>
              <w:top w:val="nil"/>
              <w:left w:val="nil"/>
              <w:bottom w:val="nil"/>
              <w:right w:val="single" w:sz="8" w:space="0" w:color="auto"/>
            </w:tcBorders>
            <w:noWrap/>
            <w:vAlign w:val="bottom"/>
            <w:hideMark/>
          </w:tcPr>
          <w:p w14:paraId="50E7A253" w14:textId="77777777" w:rsidR="003C6287" w:rsidRPr="00BC6489" w:rsidRDefault="003C6287" w:rsidP="00B96CCF">
            <w:pPr>
              <w:spacing w:after="0" w:line="240" w:lineRule="auto"/>
              <w:jc w:val="center"/>
              <w:rPr>
                <w:rFonts w:cs="Times New Roman"/>
                <w:bCs/>
                <w:sz w:val="20"/>
                <w:szCs w:val="20"/>
              </w:rPr>
            </w:pPr>
            <w:r w:rsidRPr="00BC6489">
              <w:rPr>
                <w:rFonts w:cs="Times New Roman"/>
                <w:bCs/>
                <w:sz w:val="20"/>
                <w:szCs w:val="20"/>
              </w:rPr>
              <w:t>4.99341017</w:t>
            </w:r>
          </w:p>
        </w:tc>
      </w:tr>
      <w:tr w:rsidR="003C6287" w14:paraId="038A117F" w14:textId="77777777" w:rsidTr="003A0389">
        <w:trPr>
          <w:trHeight w:val="660"/>
        </w:trPr>
        <w:tc>
          <w:tcPr>
            <w:tcW w:w="1005" w:type="dxa"/>
            <w:tcBorders>
              <w:top w:val="nil"/>
              <w:left w:val="single" w:sz="8" w:space="0" w:color="auto"/>
              <w:bottom w:val="single" w:sz="8" w:space="0" w:color="auto"/>
              <w:right w:val="single" w:sz="8" w:space="0" w:color="auto"/>
            </w:tcBorders>
            <w:noWrap/>
            <w:vAlign w:val="bottom"/>
            <w:hideMark/>
          </w:tcPr>
          <w:p w14:paraId="19016C59" w14:textId="77777777" w:rsidR="003C6287" w:rsidRDefault="003C6287" w:rsidP="00B96CCF">
            <w:pPr>
              <w:spacing w:after="0" w:line="240" w:lineRule="auto"/>
              <w:rPr>
                <w:rFonts w:cs="Times New Roman"/>
                <w:b/>
                <w:bCs/>
                <w:sz w:val="20"/>
                <w:szCs w:val="20"/>
              </w:rPr>
            </w:pPr>
            <w:r>
              <w:rPr>
                <w:rFonts w:cs="Times New Roman"/>
                <w:b/>
                <w:bCs/>
                <w:sz w:val="20"/>
                <w:szCs w:val="20"/>
              </w:rPr>
              <w:t>Std Dev.</w:t>
            </w:r>
          </w:p>
        </w:tc>
        <w:tc>
          <w:tcPr>
            <w:tcW w:w="1530" w:type="dxa"/>
            <w:tcBorders>
              <w:top w:val="nil"/>
              <w:left w:val="nil"/>
              <w:bottom w:val="single" w:sz="8" w:space="0" w:color="auto"/>
              <w:right w:val="single" w:sz="8" w:space="0" w:color="auto"/>
            </w:tcBorders>
            <w:noWrap/>
            <w:vAlign w:val="bottom"/>
            <w:hideMark/>
          </w:tcPr>
          <w:p w14:paraId="66A649B4" w14:textId="77777777" w:rsidR="003C6287" w:rsidRPr="00BC6489" w:rsidRDefault="003C6287" w:rsidP="00B96CCF">
            <w:pPr>
              <w:spacing w:after="0" w:line="240" w:lineRule="auto"/>
              <w:jc w:val="center"/>
              <w:rPr>
                <w:rFonts w:cs="Times New Roman"/>
                <w:bCs/>
                <w:sz w:val="20"/>
                <w:szCs w:val="20"/>
              </w:rPr>
            </w:pPr>
            <w:r w:rsidRPr="00BC6489">
              <w:rPr>
                <w:rFonts w:cs="Times New Roman"/>
                <w:bCs/>
                <w:sz w:val="20"/>
                <w:szCs w:val="20"/>
              </w:rPr>
              <w:t>0.393071007</w:t>
            </w:r>
          </w:p>
        </w:tc>
        <w:tc>
          <w:tcPr>
            <w:tcW w:w="1281" w:type="dxa"/>
            <w:tcBorders>
              <w:top w:val="nil"/>
              <w:left w:val="nil"/>
              <w:bottom w:val="single" w:sz="8" w:space="0" w:color="auto"/>
              <w:right w:val="nil"/>
            </w:tcBorders>
            <w:noWrap/>
            <w:vAlign w:val="bottom"/>
            <w:hideMark/>
          </w:tcPr>
          <w:p w14:paraId="14666126" w14:textId="77777777" w:rsidR="003C6287" w:rsidRPr="00BC6489" w:rsidRDefault="003C6287" w:rsidP="00B96CCF">
            <w:pPr>
              <w:spacing w:after="0" w:line="240" w:lineRule="auto"/>
              <w:jc w:val="center"/>
              <w:rPr>
                <w:rFonts w:cs="Times New Roman"/>
                <w:bCs/>
                <w:sz w:val="20"/>
                <w:szCs w:val="20"/>
              </w:rPr>
            </w:pPr>
            <w:r w:rsidRPr="00BC6489">
              <w:rPr>
                <w:rFonts w:cs="Times New Roman"/>
                <w:bCs/>
                <w:sz w:val="20"/>
                <w:szCs w:val="20"/>
              </w:rPr>
              <w:t>0.426229472</w:t>
            </w:r>
          </w:p>
        </w:tc>
        <w:tc>
          <w:tcPr>
            <w:tcW w:w="1350" w:type="dxa"/>
            <w:tcBorders>
              <w:top w:val="nil"/>
              <w:left w:val="single" w:sz="8" w:space="0" w:color="auto"/>
              <w:bottom w:val="single" w:sz="8" w:space="0" w:color="auto"/>
              <w:right w:val="single" w:sz="8" w:space="0" w:color="auto"/>
            </w:tcBorders>
            <w:noWrap/>
            <w:vAlign w:val="bottom"/>
            <w:hideMark/>
          </w:tcPr>
          <w:p w14:paraId="36A9B1B7" w14:textId="77777777" w:rsidR="003C6287" w:rsidRPr="00BC6489" w:rsidRDefault="003C6287" w:rsidP="00B96CCF">
            <w:pPr>
              <w:spacing w:after="0" w:line="240" w:lineRule="auto"/>
              <w:jc w:val="center"/>
              <w:rPr>
                <w:rFonts w:cs="Times New Roman"/>
                <w:bCs/>
                <w:sz w:val="20"/>
                <w:szCs w:val="20"/>
              </w:rPr>
            </w:pPr>
            <w:r w:rsidRPr="00BC6489">
              <w:rPr>
                <w:rFonts w:cs="Times New Roman"/>
                <w:bCs/>
                <w:sz w:val="20"/>
                <w:szCs w:val="20"/>
              </w:rPr>
              <w:t>0.213752974</w:t>
            </w:r>
          </w:p>
        </w:tc>
        <w:tc>
          <w:tcPr>
            <w:tcW w:w="1440" w:type="dxa"/>
            <w:tcBorders>
              <w:top w:val="nil"/>
              <w:left w:val="nil"/>
              <w:bottom w:val="single" w:sz="8" w:space="0" w:color="auto"/>
              <w:right w:val="nil"/>
            </w:tcBorders>
            <w:noWrap/>
            <w:vAlign w:val="bottom"/>
            <w:hideMark/>
          </w:tcPr>
          <w:p w14:paraId="27139B30" w14:textId="77777777" w:rsidR="003C6287" w:rsidRPr="00BC6489" w:rsidRDefault="003C6287" w:rsidP="00B96CCF">
            <w:pPr>
              <w:spacing w:after="0" w:line="240" w:lineRule="auto"/>
              <w:jc w:val="center"/>
              <w:rPr>
                <w:rFonts w:cs="Times New Roman"/>
                <w:bCs/>
                <w:sz w:val="20"/>
                <w:szCs w:val="20"/>
              </w:rPr>
            </w:pPr>
            <w:r w:rsidRPr="00BC6489">
              <w:rPr>
                <w:rFonts w:cs="Times New Roman"/>
                <w:bCs/>
                <w:sz w:val="20"/>
                <w:szCs w:val="20"/>
              </w:rPr>
              <w:t>1.492421893</w:t>
            </w:r>
          </w:p>
        </w:tc>
        <w:tc>
          <w:tcPr>
            <w:tcW w:w="1599" w:type="dxa"/>
            <w:tcBorders>
              <w:top w:val="nil"/>
              <w:left w:val="single" w:sz="8" w:space="0" w:color="auto"/>
              <w:bottom w:val="single" w:sz="8" w:space="0" w:color="auto"/>
              <w:right w:val="single" w:sz="8" w:space="0" w:color="auto"/>
            </w:tcBorders>
            <w:noWrap/>
            <w:vAlign w:val="bottom"/>
            <w:hideMark/>
          </w:tcPr>
          <w:p w14:paraId="363554E2" w14:textId="77777777" w:rsidR="003C6287" w:rsidRPr="00BC6489" w:rsidRDefault="003C6287" w:rsidP="00B96CCF">
            <w:pPr>
              <w:spacing w:after="0" w:line="240" w:lineRule="auto"/>
              <w:jc w:val="center"/>
              <w:rPr>
                <w:rFonts w:cs="Times New Roman"/>
                <w:bCs/>
                <w:sz w:val="20"/>
                <w:szCs w:val="20"/>
              </w:rPr>
            </w:pPr>
            <w:r w:rsidRPr="00BC6489">
              <w:rPr>
                <w:rFonts w:cs="Times New Roman"/>
                <w:bCs/>
                <w:sz w:val="20"/>
                <w:szCs w:val="20"/>
              </w:rPr>
              <w:t>1.507556678</w:t>
            </w:r>
          </w:p>
        </w:tc>
        <w:tc>
          <w:tcPr>
            <w:tcW w:w="1350" w:type="dxa"/>
            <w:tcBorders>
              <w:top w:val="nil"/>
              <w:left w:val="nil"/>
              <w:bottom w:val="single" w:sz="8" w:space="0" w:color="auto"/>
              <w:right w:val="single" w:sz="8" w:space="0" w:color="auto"/>
            </w:tcBorders>
            <w:noWrap/>
            <w:vAlign w:val="bottom"/>
            <w:hideMark/>
          </w:tcPr>
          <w:p w14:paraId="370630C7" w14:textId="77777777" w:rsidR="003C6287" w:rsidRPr="00BC6489" w:rsidRDefault="003C6287" w:rsidP="00B96CCF">
            <w:pPr>
              <w:spacing w:after="0" w:line="240" w:lineRule="auto"/>
              <w:jc w:val="center"/>
              <w:rPr>
                <w:rFonts w:cs="Times New Roman"/>
                <w:bCs/>
                <w:sz w:val="20"/>
                <w:szCs w:val="20"/>
              </w:rPr>
            </w:pPr>
            <w:r w:rsidRPr="00BC6489">
              <w:rPr>
                <w:rFonts w:cs="Times New Roman"/>
                <w:bCs/>
                <w:sz w:val="20"/>
                <w:szCs w:val="20"/>
              </w:rPr>
              <w:t>1.753073502</w:t>
            </w:r>
          </w:p>
        </w:tc>
      </w:tr>
    </w:tbl>
    <w:p w14:paraId="62CDE863" w14:textId="77777777" w:rsidR="00170901" w:rsidRDefault="00170901" w:rsidP="003C6287">
      <w:pPr>
        <w:spacing w:after="0" w:line="240" w:lineRule="auto"/>
        <w:rPr>
          <w:rFonts w:cs="Times New Roman"/>
          <w:b/>
          <w:bCs/>
          <w:sz w:val="20"/>
          <w:szCs w:val="20"/>
        </w:rPr>
      </w:pPr>
    </w:p>
    <w:p w14:paraId="10590119" w14:textId="77777777" w:rsidR="00C13026" w:rsidRDefault="00C13026" w:rsidP="003C6287">
      <w:pPr>
        <w:spacing w:after="0" w:line="240" w:lineRule="auto"/>
        <w:rPr>
          <w:rFonts w:cs="Times New Roman"/>
          <w:b/>
          <w:bCs/>
          <w:sz w:val="20"/>
          <w:szCs w:val="20"/>
        </w:rPr>
      </w:pPr>
    </w:p>
    <w:p w14:paraId="418BDB79" w14:textId="77777777" w:rsidR="00C13026" w:rsidRDefault="00C13026" w:rsidP="003C6287">
      <w:pPr>
        <w:spacing w:after="0" w:line="240" w:lineRule="auto"/>
        <w:rPr>
          <w:rFonts w:cs="Times New Roman"/>
          <w:b/>
          <w:bCs/>
          <w:sz w:val="20"/>
          <w:szCs w:val="20"/>
        </w:rPr>
      </w:pPr>
    </w:p>
    <w:p w14:paraId="2D6F7E0F" w14:textId="77777777" w:rsidR="00C65F2F" w:rsidRPr="00C65F2F" w:rsidRDefault="00657A1C" w:rsidP="00C65F2F">
      <w:pPr>
        <w:pStyle w:val="Heading1"/>
        <w:spacing w:line="480" w:lineRule="auto"/>
        <w:jc w:val="both"/>
        <w:rPr>
          <w:rFonts w:ascii="Times New Roman" w:hAnsi="Times New Roman" w:cs="Times New Roman"/>
          <w:sz w:val="24"/>
          <w:szCs w:val="24"/>
        </w:rPr>
      </w:pPr>
      <w:bookmarkStart w:id="82" w:name="_Toc355021995"/>
      <w:bookmarkStart w:id="83" w:name="_Toc358496414"/>
      <w:bookmarkStart w:id="84" w:name="_Toc392019507"/>
      <w:bookmarkStart w:id="85" w:name="_Toc431418257"/>
      <w:r w:rsidRPr="00C65F2F">
        <w:rPr>
          <w:rFonts w:ascii="Times New Roman" w:hAnsi="Times New Roman" w:cs="Times New Roman"/>
          <w:sz w:val="24"/>
          <w:szCs w:val="24"/>
        </w:rPr>
        <w:t>References</w:t>
      </w:r>
      <w:bookmarkEnd w:id="82"/>
      <w:bookmarkEnd w:id="83"/>
      <w:bookmarkEnd w:id="84"/>
      <w:bookmarkEnd w:id="85"/>
    </w:p>
    <w:p w14:paraId="2943DBC5" w14:textId="77777777" w:rsidR="00BC4AE5" w:rsidRPr="00AB5AEF" w:rsidRDefault="00BC4AE5" w:rsidP="00AB5AEF">
      <w:pPr>
        <w:spacing w:after="0" w:line="480" w:lineRule="auto"/>
        <w:ind w:left="567" w:hanging="567"/>
        <w:rPr>
          <w:rFonts w:ascii="Times New Roman" w:hAnsi="Times New Roman" w:cs="Times New Roman"/>
          <w:sz w:val="24"/>
          <w:szCs w:val="24"/>
          <w:lang w:val="en-AU"/>
        </w:rPr>
      </w:pPr>
      <w:r w:rsidRPr="00AB5AEF">
        <w:rPr>
          <w:rFonts w:ascii="Times New Roman" w:hAnsi="Times New Roman" w:cs="Times New Roman"/>
          <w:sz w:val="24"/>
          <w:szCs w:val="24"/>
          <w:lang w:val="en-AU"/>
        </w:rPr>
        <w:t>Acharya, Viral and Lasse Pedersen, 2005, Asset pricing with liquidity risk, Journal of Financial Economics 77 (2), 375-410.</w:t>
      </w:r>
    </w:p>
    <w:p w14:paraId="2B52D1A2" w14:textId="77777777" w:rsidR="00BC4AE5" w:rsidRPr="00AB5AEF" w:rsidRDefault="00BC4AE5" w:rsidP="00AB5AEF">
      <w:pPr>
        <w:spacing w:after="0" w:line="480" w:lineRule="auto"/>
        <w:ind w:left="567" w:hanging="567"/>
        <w:rPr>
          <w:rFonts w:ascii="Times New Roman" w:hAnsi="Times New Roman" w:cs="Times New Roman"/>
          <w:sz w:val="24"/>
          <w:szCs w:val="24"/>
          <w:lang w:val="en-AU"/>
        </w:rPr>
      </w:pPr>
      <w:r w:rsidRPr="00AB5AEF">
        <w:rPr>
          <w:rFonts w:ascii="Times New Roman" w:hAnsi="Times New Roman" w:cs="Times New Roman"/>
          <w:sz w:val="24"/>
          <w:szCs w:val="24"/>
          <w:lang w:val="en-AU"/>
        </w:rPr>
        <w:t>Amihud, Y. and H. Mendelson, 1986, Asset pricing and the bid-ask spread, Journal of Financial Economics 17 (2), 223–249.</w:t>
      </w:r>
    </w:p>
    <w:p w14:paraId="23410F1E" w14:textId="77777777" w:rsidR="00BC4AE5" w:rsidRPr="00AB5AEF" w:rsidRDefault="00BC4AE5" w:rsidP="00AB5AEF">
      <w:pPr>
        <w:spacing w:after="0" w:line="480" w:lineRule="auto"/>
        <w:ind w:left="567" w:hanging="567"/>
        <w:rPr>
          <w:rFonts w:ascii="Times New Roman" w:hAnsi="Times New Roman" w:cs="Times New Roman"/>
          <w:sz w:val="24"/>
          <w:szCs w:val="24"/>
          <w:lang w:val="en-AU"/>
        </w:rPr>
      </w:pPr>
      <w:r w:rsidRPr="00AB5AEF">
        <w:rPr>
          <w:rFonts w:ascii="Times New Roman" w:hAnsi="Times New Roman" w:cs="Times New Roman"/>
          <w:sz w:val="24"/>
          <w:szCs w:val="24"/>
          <w:lang w:val="en-AU"/>
        </w:rPr>
        <w:t>Amihud, Y., 2002, Illiquidity and stock returns: cross-section and time-series effects, Journal of Financial Markets 5 (1), 31–56.</w:t>
      </w:r>
    </w:p>
    <w:p w14:paraId="11EDAE85" w14:textId="77777777" w:rsidR="00BC4AE5" w:rsidRPr="00AB5AEF" w:rsidRDefault="00BC4AE5" w:rsidP="00AB5AEF">
      <w:pPr>
        <w:spacing w:after="0" w:line="480" w:lineRule="auto"/>
        <w:ind w:left="567" w:hanging="567"/>
        <w:rPr>
          <w:rFonts w:ascii="Times New Roman" w:hAnsi="Times New Roman" w:cs="Times New Roman"/>
          <w:sz w:val="24"/>
          <w:szCs w:val="24"/>
          <w:lang w:val="en-AU"/>
        </w:rPr>
      </w:pPr>
      <w:r w:rsidRPr="00AB5AEF">
        <w:rPr>
          <w:rFonts w:ascii="Times New Roman" w:hAnsi="Times New Roman" w:cs="Times New Roman"/>
          <w:sz w:val="24"/>
          <w:szCs w:val="24"/>
          <w:lang w:val="en-AU"/>
        </w:rPr>
        <w:t>Angelidis, T. and A. Benos, 2006, Liquidity adjusted value-at-risk based on the components of the bid–ask spread, Applied Financial Economics 16 (11), 835–851.</w:t>
      </w:r>
    </w:p>
    <w:p w14:paraId="664CD5C4" w14:textId="77777777" w:rsidR="00BC4AE5" w:rsidRPr="00AB5AEF" w:rsidRDefault="00BC4AE5" w:rsidP="00AB5AEF">
      <w:pPr>
        <w:spacing w:after="0" w:line="480" w:lineRule="auto"/>
        <w:ind w:left="567" w:hanging="567"/>
        <w:rPr>
          <w:rFonts w:ascii="Times New Roman" w:hAnsi="Times New Roman" w:cs="Times New Roman"/>
          <w:sz w:val="24"/>
          <w:szCs w:val="24"/>
          <w:lang w:val="en-AU"/>
        </w:rPr>
      </w:pPr>
      <w:r w:rsidRPr="00AB5AEF">
        <w:rPr>
          <w:rFonts w:ascii="Times New Roman" w:hAnsi="Times New Roman" w:cs="Times New Roman"/>
          <w:sz w:val="24"/>
          <w:szCs w:val="24"/>
          <w:lang w:val="en-AU"/>
        </w:rPr>
        <w:t xml:space="preserve">Bangia, A., Francis X. Diebold, Til Schuermann and John D. Stroughair, 2002, Modeling Liquidity Risk with Implications for Traditional Market Risk Measurement and </w:t>
      </w:r>
      <w:r w:rsidR="00AB5AEF">
        <w:rPr>
          <w:rFonts w:ascii="Times New Roman" w:hAnsi="Times New Roman" w:cs="Times New Roman"/>
          <w:sz w:val="24"/>
          <w:szCs w:val="24"/>
          <w:lang w:val="en-AU"/>
        </w:rPr>
        <w:lastRenderedPageBreak/>
        <w:t>M</w:t>
      </w:r>
      <w:r w:rsidRPr="00AB5AEF">
        <w:rPr>
          <w:rFonts w:ascii="Times New Roman" w:hAnsi="Times New Roman" w:cs="Times New Roman"/>
          <w:sz w:val="24"/>
          <w:szCs w:val="24"/>
          <w:lang w:val="en-AU"/>
        </w:rPr>
        <w:t>anagement, The New York University Salomon Center Series on Financial Markets and Institutions 8, 3-13.</w:t>
      </w:r>
    </w:p>
    <w:p w14:paraId="2CB1BBE9" w14:textId="77777777" w:rsidR="00BC4AE5" w:rsidRPr="00AB5AEF" w:rsidRDefault="00BC4AE5" w:rsidP="00AB5AEF">
      <w:pPr>
        <w:spacing w:after="0" w:line="480" w:lineRule="auto"/>
        <w:ind w:left="567" w:hanging="567"/>
        <w:rPr>
          <w:rFonts w:ascii="Times New Roman" w:hAnsi="Times New Roman" w:cs="Times New Roman"/>
          <w:sz w:val="24"/>
          <w:szCs w:val="24"/>
          <w:lang w:val="en-AU"/>
        </w:rPr>
      </w:pPr>
      <w:r w:rsidRPr="00AB5AEF">
        <w:rPr>
          <w:rFonts w:ascii="Times New Roman" w:hAnsi="Times New Roman" w:cs="Times New Roman"/>
          <w:sz w:val="24"/>
          <w:szCs w:val="24"/>
          <w:lang w:val="en-AU"/>
        </w:rPr>
        <w:t>Bekaert, G., C.R Harvey and C. Lundblad, 2007, Liquidity and Expected Returns: Lessons from Emerging Markets, Review of Financial Studies 20 (6), 1783-1831.</w:t>
      </w:r>
    </w:p>
    <w:p w14:paraId="3982AF37" w14:textId="77777777" w:rsidR="00BC4AE5" w:rsidRPr="00AB5AEF" w:rsidRDefault="00BC4AE5" w:rsidP="00AB5AEF">
      <w:pPr>
        <w:spacing w:after="0" w:line="480" w:lineRule="auto"/>
        <w:ind w:left="567" w:hanging="567"/>
        <w:rPr>
          <w:rFonts w:ascii="Times New Roman" w:hAnsi="Times New Roman" w:cs="Times New Roman"/>
          <w:sz w:val="24"/>
          <w:szCs w:val="24"/>
          <w:lang w:val="en-AU"/>
        </w:rPr>
      </w:pPr>
      <w:r w:rsidRPr="00AB5AEF">
        <w:rPr>
          <w:rFonts w:ascii="Times New Roman" w:hAnsi="Times New Roman" w:cs="Times New Roman"/>
          <w:sz w:val="24"/>
          <w:szCs w:val="24"/>
          <w:lang w:val="en-AU"/>
        </w:rPr>
        <w:t>Black, Fischer and Myron Scholes, 1973, The Pricing of Options and Corporate Liabilities, The Journal of Political Economy 81 (3), 637-654.</w:t>
      </w:r>
    </w:p>
    <w:p w14:paraId="65889517" w14:textId="77777777" w:rsidR="00BC4AE5" w:rsidRPr="00AB5AEF" w:rsidRDefault="00BC4AE5" w:rsidP="00AB5AEF">
      <w:pPr>
        <w:spacing w:after="0" w:line="480" w:lineRule="auto"/>
        <w:ind w:left="567" w:hanging="567"/>
        <w:rPr>
          <w:rFonts w:ascii="Times New Roman" w:hAnsi="Times New Roman" w:cs="Times New Roman"/>
          <w:sz w:val="24"/>
          <w:szCs w:val="24"/>
          <w:lang w:val="en-AU"/>
        </w:rPr>
      </w:pPr>
      <w:r w:rsidRPr="00AB5AEF">
        <w:rPr>
          <w:rFonts w:ascii="Times New Roman" w:hAnsi="Times New Roman" w:cs="Times New Roman"/>
          <w:sz w:val="24"/>
          <w:szCs w:val="24"/>
          <w:lang w:val="en-AU"/>
        </w:rPr>
        <w:t xml:space="preserve">Bongaerts, Dion, Frank De Jong, and Joost Driessen, 2011, Derivative Pricing with Liquidity Risk: Theory and Evidence from the Credit Default Swap Market, Journal of Finance 66 (1), 1-340. </w:t>
      </w:r>
    </w:p>
    <w:p w14:paraId="43CC7177" w14:textId="77777777" w:rsidR="00BC4AE5" w:rsidRPr="00AB5AEF" w:rsidRDefault="00BC4AE5" w:rsidP="00AB5AEF">
      <w:pPr>
        <w:spacing w:after="0" w:line="480" w:lineRule="auto"/>
        <w:ind w:left="567" w:hanging="567"/>
        <w:rPr>
          <w:rFonts w:ascii="Times New Roman" w:hAnsi="Times New Roman" w:cs="Times New Roman"/>
          <w:sz w:val="24"/>
          <w:szCs w:val="24"/>
          <w:lang w:val="en-AU"/>
        </w:rPr>
      </w:pPr>
      <w:r w:rsidRPr="00AB5AEF">
        <w:rPr>
          <w:rFonts w:ascii="Times New Roman" w:hAnsi="Times New Roman" w:cs="Times New Roman"/>
          <w:sz w:val="24"/>
          <w:szCs w:val="24"/>
          <w:lang w:val="en-AU"/>
        </w:rPr>
        <w:t>Breeden, Douglas T., and Robert H. Litzenberger, 1978, Prices of State-Contingent Claims Implicit in Option Prices, Journal of Business 51 (4), 621-651.</w:t>
      </w:r>
    </w:p>
    <w:p w14:paraId="1529C178" w14:textId="77777777" w:rsidR="00BC4AE5" w:rsidRPr="00AB5AEF" w:rsidRDefault="00BC4AE5" w:rsidP="00AB5AEF">
      <w:pPr>
        <w:spacing w:after="0" w:line="480" w:lineRule="auto"/>
        <w:ind w:left="567" w:hanging="567"/>
        <w:rPr>
          <w:rFonts w:ascii="Times New Roman" w:hAnsi="Times New Roman" w:cs="Times New Roman"/>
          <w:sz w:val="24"/>
          <w:szCs w:val="24"/>
          <w:lang w:val="en-AU"/>
        </w:rPr>
      </w:pPr>
      <w:r w:rsidRPr="00AB5AEF">
        <w:rPr>
          <w:rFonts w:ascii="Times New Roman" w:hAnsi="Times New Roman" w:cs="Times New Roman"/>
          <w:sz w:val="24"/>
          <w:szCs w:val="24"/>
          <w:lang w:val="en-AU"/>
        </w:rPr>
        <w:t>Brunnermeier, Markus K. and Lasse Heje Pedersen, 2009, Market Liquidity and Funding Liquidity, Review of Financial Studies, Vol. 22 (6), 2201-2238.</w:t>
      </w:r>
    </w:p>
    <w:p w14:paraId="7DEFC6E5" w14:textId="77777777" w:rsidR="00BC4AE5" w:rsidRPr="00AB5AEF" w:rsidRDefault="00BC4AE5" w:rsidP="00AB5AEF">
      <w:pPr>
        <w:spacing w:after="0" w:line="480" w:lineRule="auto"/>
        <w:ind w:left="567" w:hanging="567"/>
        <w:rPr>
          <w:rFonts w:ascii="Times New Roman" w:hAnsi="Times New Roman" w:cs="Times New Roman"/>
          <w:sz w:val="24"/>
          <w:szCs w:val="24"/>
          <w:lang w:val="en-AU"/>
        </w:rPr>
      </w:pPr>
      <w:r w:rsidRPr="00AB5AEF">
        <w:rPr>
          <w:rFonts w:ascii="Times New Roman" w:hAnsi="Times New Roman" w:cs="Times New Roman"/>
          <w:sz w:val="24"/>
          <w:szCs w:val="24"/>
          <w:lang w:val="en-AU"/>
        </w:rPr>
        <w:t>Carr, Peter, and Liuren Wu, 2013, Static hedging of standard options, Journal Of Financial Econometrics 12 (1), 3-46.</w:t>
      </w:r>
    </w:p>
    <w:p w14:paraId="72AE4922" w14:textId="77777777" w:rsidR="00BC4AE5" w:rsidRPr="00AB5AEF" w:rsidRDefault="00BC4AE5" w:rsidP="00AB5AEF">
      <w:pPr>
        <w:spacing w:after="0" w:line="480" w:lineRule="auto"/>
        <w:ind w:left="567" w:hanging="567"/>
        <w:rPr>
          <w:rFonts w:ascii="Times New Roman" w:hAnsi="Times New Roman" w:cs="Times New Roman"/>
          <w:sz w:val="24"/>
          <w:szCs w:val="24"/>
          <w:lang w:val="en-AU"/>
        </w:rPr>
      </w:pPr>
      <w:r w:rsidRPr="00AB5AEF">
        <w:rPr>
          <w:rFonts w:ascii="Times New Roman" w:hAnsi="Times New Roman" w:cs="Times New Roman"/>
          <w:sz w:val="24"/>
          <w:szCs w:val="24"/>
          <w:lang w:val="en-AU"/>
        </w:rPr>
        <w:t>Carr, Peter, Katrina Ellis, and Vishal Gupta, 1998, Static hedging of exotic options, Journal of Finance 53 (3), 1165-1190.</w:t>
      </w:r>
    </w:p>
    <w:p w14:paraId="233886A1" w14:textId="77777777" w:rsidR="00BC4AE5" w:rsidRPr="00AB5AEF" w:rsidRDefault="00BC4AE5" w:rsidP="00AB5AEF">
      <w:pPr>
        <w:spacing w:after="0" w:line="480" w:lineRule="auto"/>
        <w:ind w:left="567" w:hanging="567"/>
        <w:rPr>
          <w:rFonts w:ascii="Times New Roman" w:hAnsi="Times New Roman" w:cs="Times New Roman"/>
          <w:sz w:val="24"/>
          <w:szCs w:val="24"/>
          <w:lang w:val="en-AU"/>
        </w:rPr>
      </w:pPr>
      <w:r w:rsidRPr="00AB5AEF">
        <w:rPr>
          <w:rFonts w:ascii="Times New Roman" w:hAnsi="Times New Roman" w:cs="Times New Roman"/>
          <w:sz w:val="24"/>
          <w:szCs w:val="24"/>
          <w:lang w:val="en-AU"/>
        </w:rPr>
        <w:t>Chordia, T., R. Roll and A. Subrahmanyam, 2001, Market liquidity and trading activity, Journal of Finance 56 (2), 501–530.</w:t>
      </w:r>
    </w:p>
    <w:p w14:paraId="4A9189E8" w14:textId="77777777" w:rsidR="00BC4AE5" w:rsidRPr="00AB5AEF" w:rsidRDefault="00BC4AE5" w:rsidP="00AB5AEF">
      <w:pPr>
        <w:spacing w:after="0" w:line="480" w:lineRule="auto"/>
        <w:ind w:left="567" w:hanging="567"/>
        <w:rPr>
          <w:rFonts w:ascii="Times New Roman" w:hAnsi="Times New Roman" w:cs="Times New Roman"/>
          <w:sz w:val="24"/>
          <w:szCs w:val="24"/>
          <w:lang w:val="en-AU"/>
        </w:rPr>
      </w:pPr>
      <w:r w:rsidRPr="00AB5AEF">
        <w:rPr>
          <w:rFonts w:ascii="Times New Roman" w:hAnsi="Times New Roman" w:cs="Times New Roman"/>
          <w:sz w:val="24"/>
          <w:szCs w:val="24"/>
          <w:lang w:val="en-AU"/>
        </w:rPr>
        <w:t>Ernst, C., Sebastian Stange and Christoph Kaserer, 2012, Accounting for nonnormality in liquidity risk, The Journal of Risk 14 (3), 3–21.</w:t>
      </w:r>
    </w:p>
    <w:p w14:paraId="4C6464B1" w14:textId="77777777" w:rsidR="00BC4AE5" w:rsidRPr="00AB5AEF" w:rsidRDefault="00BC4AE5" w:rsidP="00AB5AEF">
      <w:pPr>
        <w:spacing w:after="0" w:line="480" w:lineRule="auto"/>
        <w:ind w:left="567" w:hanging="567"/>
        <w:rPr>
          <w:rFonts w:ascii="Times New Roman" w:hAnsi="Times New Roman" w:cs="Times New Roman"/>
          <w:sz w:val="24"/>
          <w:szCs w:val="24"/>
          <w:lang w:val="en-AU"/>
        </w:rPr>
      </w:pPr>
      <w:r w:rsidRPr="00AB5AEF">
        <w:rPr>
          <w:rFonts w:ascii="Times New Roman" w:hAnsi="Times New Roman" w:cs="Times New Roman"/>
          <w:sz w:val="24"/>
          <w:szCs w:val="24"/>
          <w:lang w:val="en-AU"/>
        </w:rPr>
        <w:t>He, C., J. Kennedy, T. Coleman, P. Forsyth, Y. Li, and K. Vetzal, 2006, Calibration and Hedging Under Jump Diffusion, Review of Derivatives Research 9 (1), 1–35.</w:t>
      </w:r>
    </w:p>
    <w:p w14:paraId="4277CB38" w14:textId="77777777" w:rsidR="00BC4AE5" w:rsidRPr="00AB5AEF" w:rsidRDefault="00BC4AE5" w:rsidP="00AB5AEF">
      <w:pPr>
        <w:spacing w:after="0" w:line="480" w:lineRule="auto"/>
        <w:ind w:left="567" w:hanging="567"/>
        <w:rPr>
          <w:rFonts w:ascii="Times New Roman" w:hAnsi="Times New Roman" w:cs="Times New Roman"/>
          <w:sz w:val="24"/>
          <w:szCs w:val="24"/>
          <w:lang w:val="en-AU"/>
        </w:rPr>
      </w:pPr>
      <w:r w:rsidRPr="00AB5AEF">
        <w:rPr>
          <w:rFonts w:ascii="Times New Roman" w:hAnsi="Times New Roman" w:cs="Times New Roman"/>
          <w:sz w:val="24"/>
          <w:szCs w:val="24"/>
          <w:lang w:val="en-AU"/>
        </w:rPr>
        <w:t>Jarrow, R. and A. Subramanian, A., 1997, Mopping up liquidity, Risk, 170–173.</w:t>
      </w:r>
    </w:p>
    <w:p w14:paraId="08BBF2EC" w14:textId="77777777" w:rsidR="00BC4AE5" w:rsidRPr="00AB5AEF" w:rsidRDefault="00BC4AE5" w:rsidP="00AB5AEF">
      <w:pPr>
        <w:spacing w:after="0" w:line="480" w:lineRule="auto"/>
        <w:ind w:left="567" w:hanging="567"/>
        <w:rPr>
          <w:rFonts w:ascii="Times New Roman" w:hAnsi="Times New Roman" w:cs="Times New Roman"/>
          <w:sz w:val="24"/>
          <w:szCs w:val="24"/>
          <w:lang w:val="en-AU"/>
        </w:rPr>
      </w:pPr>
      <w:r w:rsidRPr="00AB5AEF">
        <w:rPr>
          <w:rFonts w:ascii="Times New Roman" w:hAnsi="Times New Roman" w:cs="Times New Roman"/>
          <w:sz w:val="24"/>
          <w:szCs w:val="24"/>
          <w:lang w:val="en-AU"/>
        </w:rPr>
        <w:lastRenderedPageBreak/>
        <w:t>Kennedy, J.S., P.A. Forsyth, and K.R. Vetzal, 2009, Dynamic Hedging under Jump Diffusion with Transaction Cost, Operations Research 57 (3), 541-559.</w:t>
      </w:r>
    </w:p>
    <w:p w14:paraId="2D62F777" w14:textId="77777777" w:rsidR="00BC4AE5" w:rsidRPr="00AB5AEF" w:rsidRDefault="00BC4AE5" w:rsidP="00AB5AEF">
      <w:pPr>
        <w:spacing w:after="0" w:line="480" w:lineRule="auto"/>
        <w:ind w:left="567" w:hanging="567"/>
        <w:rPr>
          <w:rFonts w:ascii="Times New Roman" w:hAnsi="Times New Roman" w:cs="Times New Roman"/>
          <w:sz w:val="24"/>
          <w:szCs w:val="24"/>
          <w:lang w:val="en-AU"/>
        </w:rPr>
      </w:pPr>
      <w:r w:rsidRPr="00AB5AEF">
        <w:rPr>
          <w:rFonts w:ascii="Times New Roman" w:hAnsi="Times New Roman" w:cs="Times New Roman"/>
          <w:sz w:val="24"/>
          <w:szCs w:val="24"/>
          <w:lang w:val="en-AU"/>
        </w:rPr>
        <w:t>Korajczyk, Robert and Ronnie Sadka, 2008, Pricing the Commonality Across Alternative Measures of Liquidity, Journal of Financial Economics 87 (1), 45-72.</w:t>
      </w:r>
    </w:p>
    <w:p w14:paraId="48BC5EC1" w14:textId="77777777" w:rsidR="00BC4AE5" w:rsidRPr="00AB5AEF" w:rsidRDefault="00BC4AE5" w:rsidP="00AB5AEF">
      <w:pPr>
        <w:spacing w:after="0" w:line="480" w:lineRule="auto"/>
        <w:ind w:left="567" w:hanging="567"/>
        <w:rPr>
          <w:rFonts w:ascii="Times New Roman" w:hAnsi="Times New Roman" w:cs="Times New Roman"/>
          <w:sz w:val="24"/>
          <w:szCs w:val="24"/>
          <w:lang w:val="en-AU"/>
        </w:rPr>
      </w:pPr>
      <w:r w:rsidRPr="00AB5AEF">
        <w:rPr>
          <w:rFonts w:ascii="Times New Roman" w:hAnsi="Times New Roman" w:cs="Times New Roman"/>
          <w:sz w:val="24"/>
          <w:szCs w:val="24"/>
          <w:lang w:val="en-AU"/>
        </w:rPr>
        <w:t>Madhavan, A., M. Richardson, and M. Roomans, 1997, Why Do Security Prices Change? A Transaction-Level Analysis of NYSE Stocks, The Review of Financial Studies 10 (4), 1035–1064.</w:t>
      </w:r>
    </w:p>
    <w:p w14:paraId="7D8BF9BC" w14:textId="77777777" w:rsidR="00BC4AE5" w:rsidRPr="00AB5AEF" w:rsidRDefault="00BC4AE5" w:rsidP="00AB5AEF">
      <w:pPr>
        <w:spacing w:after="0" w:line="480" w:lineRule="auto"/>
        <w:ind w:left="567" w:hanging="567"/>
        <w:rPr>
          <w:rFonts w:ascii="Times New Roman" w:hAnsi="Times New Roman" w:cs="Times New Roman"/>
          <w:sz w:val="24"/>
          <w:szCs w:val="24"/>
          <w:lang w:val="en-AU"/>
        </w:rPr>
      </w:pPr>
      <w:r w:rsidRPr="00AB5AEF">
        <w:rPr>
          <w:rFonts w:ascii="Times New Roman" w:hAnsi="Times New Roman" w:cs="Times New Roman"/>
          <w:sz w:val="24"/>
          <w:szCs w:val="24"/>
          <w:lang w:val="en-AU"/>
        </w:rPr>
        <w:t>Pastor, Lubos and Robert F. Stambaugh, 2003, Liquidity Risk and Expect Stock Returns, Journal of Political Economy 111, 642-685.</w:t>
      </w:r>
    </w:p>
    <w:p w14:paraId="7DF8A983" w14:textId="77777777" w:rsidR="00106E8C" w:rsidRPr="00AB5AEF" w:rsidRDefault="00106E8C" w:rsidP="00AB5AEF">
      <w:pPr>
        <w:spacing w:after="0" w:line="480" w:lineRule="auto"/>
        <w:ind w:left="567" w:hanging="567"/>
        <w:rPr>
          <w:rFonts w:ascii="Times New Roman" w:hAnsi="Times New Roman" w:cs="Times New Roman"/>
          <w:sz w:val="24"/>
          <w:szCs w:val="24"/>
          <w:lang w:val="en-AU"/>
        </w:rPr>
      </w:pPr>
      <w:r w:rsidRPr="00AB5AEF">
        <w:rPr>
          <w:rFonts w:ascii="Times New Roman" w:hAnsi="Times New Roman" w:cs="Times New Roman"/>
          <w:sz w:val="24"/>
          <w:szCs w:val="24"/>
          <w:lang w:val="en-AU"/>
        </w:rPr>
        <w:t>Stange, S. and C. Kaserer, 2008, The impact of order size on stock liquidity – A representative study, CEFS Working Paper No. 2008-9.</w:t>
      </w:r>
    </w:p>
    <w:p w14:paraId="478C0F7C" w14:textId="77777777" w:rsidR="00BC4AE5" w:rsidRPr="00AB5AEF" w:rsidRDefault="00BC4AE5" w:rsidP="00AB5AEF">
      <w:pPr>
        <w:spacing w:after="0" w:line="480" w:lineRule="auto"/>
        <w:ind w:left="567" w:hanging="567"/>
        <w:rPr>
          <w:rFonts w:ascii="Times New Roman" w:hAnsi="Times New Roman" w:cs="Times New Roman"/>
          <w:sz w:val="24"/>
          <w:szCs w:val="24"/>
          <w:lang w:val="en-AU"/>
        </w:rPr>
      </w:pPr>
      <w:r w:rsidRPr="00AB5AEF">
        <w:rPr>
          <w:rFonts w:ascii="Times New Roman" w:hAnsi="Times New Roman" w:cs="Times New Roman"/>
          <w:sz w:val="24"/>
          <w:szCs w:val="24"/>
          <w:lang w:val="en-AU"/>
        </w:rPr>
        <w:t>Stange, S. and C. Kaserer, 2011, The impact of liquidity risk: a fresh look, International Review of Finance 11 (3), 269–301.</w:t>
      </w:r>
    </w:p>
    <w:p w14:paraId="633ADC7D" w14:textId="77777777" w:rsidR="00124AD5" w:rsidRPr="002A6E0B" w:rsidRDefault="00124AD5" w:rsidP="00C65F2F">
      <w:pPr>
        <w:spacing w:line="480" w:lineRule="auto"/>
        <w:jc w:val="both"/>
      </w:pPr>
    </w:p>
    <w:sectPr w:rsidR="00124AD5" w:rsidRPr="002A6E0B" w:rsidSect="004D39E8">
      <w:footerReference w:type="default" r:id="rId9"/>
      <w:pgSz w:w="11906" w:h="16838" w:code="9"/>
      <w:pgMar w:top="1440" w:right="1440" w:bottom="1440" w:left="1440" w:header="706" w:footer="706" w:gutter="173"/>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87E94D" w14:textId="77777777" w:rsidR="00EC34E3" w:rsidRDefault="00EC34E3" w:rsidP="006E73F4">
      <w:pPr>
        <w:spacing w:after="0" w:line="240" w:lineRule="auto"/>
      </w:pPr>
      <w:r>
        <w:separator/>
      </w:r>
    </w:p>
  </w:endnote>
  <w:endnote w:type="continuationSeparator" w:id="0">
    <w:p w14:paraId="7FF40D95" w14:textId="77777777" w:rsidR="00EC34E3" w:rsidRDefault="00EC34E3" w:rsidP="006E73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altName w:val="Courier"/>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61540"/>
      <w:docPartObj>
        <w:docPartGallery w:val="Page Numbers (Bottom of Page)"/>
        <w:docPartUnique/>
      </w:docPartObj>
    </w:sdtPr>
    <w:sdtEndPr>
      <w:rPr>
        <w:noProof/>
      </w:rPr>
    </w:sdtEndPr>
    <w:sdtContent>
      <w:p w14:paraId="32C586B1" w14:textId="77777777" w:rsidR="001A3F55" w:rsidRDefault="001A3F55">
        <w:pPr>
          <w:pStyle w:val="Footer"/>
          <w:jc w:val="right"/>
        </w:pPr>
        <w:r>
          <w:fldChar w:fldCharType="begin"/>
        </w:r>
        <w:r>
          <w:instrText xml:space="preserve"> PAGE   \* MERGEFORMAT </w:instrText>
        </w:r>
        <w:r>
          <w:fldChar w:fldCharType="separate"/>
        </w:r>
        <w:r w:rsidR="00CF6033">
          <w:rPr>
            <w:noProof/>
          </w:rPr>
          <w:t>27</w:t>
        </w:r>
        <w:r>
          <w:rPr>
            <w:noProof/>
          </w:rPr>
          <w:fldChar w:fldCharType="end"/>
        </w:r>
      </w:p>
    </w:sdtContent>
  </w:sdt>
  <w:p w14:paraId="5ECD103C" w14:textId="77777777" w:rsidR="001A3F55" w:rsidRDefault="001A3F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587D2E" w14:textId="77777777" w:rsidR="00EC34E3" w:rsidRDefault="00EC34E3" w:rsidP="006E73F4">
      <w:pPr>
        <w:spacing w:after="0" w:line="240" w:lineRule="auto"/>
      </w:pPr>
      <w:r>
        <w:separator/>
      </w:r>
    </w:p>
  </w:footnote>
  <w:footnote w:type="continuationSeparator" w:id="0">
    <w:p w14:paraId="219BDC8C" w14:textId="77777777" w:rsidR="00EC34E3" w:rsidRDefault="00EC34E3" w:rsidP="006E73F4">
      <w:pPr>
        <w:spacing w:after="0" w:line="240" w:lineRule="auto"/>
      </w:pPr>
      <w:r>
        <w:continuationSeparator/>
      </w:r>
    </w:p>
  </w:footnote>
  <w:footnote w:id="1">
    <w:p w14:paraId="173F680F" w14:textId="77777777" w:rsidR="001A3F55" w:rsidRPr="001D5E00" w:rsidRDefault="001A3F55" w:rsidP="00AB5AEF">
      <w:pPr>
        <w:pStyle w:val="FootnoteText"/>
        <w:rPr>
          <w:rFonts w:cs="Arial"/>
          <w:lang w:eastAsia="en-AU"/>
        </w:rPr>
      </w:pPr>
      <w:r w:rsidRPr="00D137DC">
        <w:rPr>
          <w:rStyle w:val="FootnoteReference"/>
        </w:rPr>
        <w:footnoteRef/>
      </w:r>
      <w:r w:rsidRPr="00D137DC">
        <w:t xml:space="preserve"> </w:t>
      </w:r>
      <w:r w:rsidRPr="00D137DC">
        <w:rPr>
          <w:rFonts w:cs="Arial"/>
          <w:lang w:eastAsia="en-AU"/>
        </w:rPr>
        <w:t xml:space="preserve">Vandana Rao Daka, Doctoral Candidate in Finance &amp; Control, Indian Institute of Management Bangalore, India. Email : </w:t>
      </w:r>
      <w:hyperlink r:id="rId1" w:history="1">
        <w:r w:rsidRPr="00D137DC">
          <w:rPr>
            <w:rStyle w:val="Hyperlink"/>
            <w:rFonts w:cs="Arial"/>
            <w:lang w:eastAsia="en-AU"/>
          </w:rPr>
          <w:t>vandana.rao08@iimb.ernet.in</w:t>
        </w:r>
      </w:hyperlink>
      <w:r w:rsidRPr="00D137DC">
        <w:rPr>
          <w:rFonts w:cs="Arial"/>
          <w:lang w:eastAsia="en-AU"/>
        </w:rPr>
        <w:t xml:space="preserve">, </w:t>
      </w:r>
      <w:hyperlink r:id="rId2" w:history="1">
        <w:r w:rsidRPr="00D137DC">
          <w:rPr>
            <w:rStyle w:val="Hyperlink"/>
            <w:rFonts w:cs="Arial"/>
            <w:lang w:eastAsia="en-AU"/>
          </w:rPr>
          <w:t>vandanarao.a@gmail.com</w:t>
        </w:r>
      </w:hyperlink>
    </w:p>
  </w:footnote>
  <w:footnote w:id="2">
    <w:p w14:paraId="7687C45D" w14:textId="77777777" w:rsidR="001A3F55" w:rsidRPr="00BD3DB1" w:rsidRDefault="001A3F55" w:rsidP="0097054D">
      <w:pPr>
        <w:autoSpaceDE w:val="0"/>
        <w:autoSpaceDN w:val="0"/>
        <w:adjustRightInd w:val="0"/>
        <w:spacing w:after="0"/>
        <w:rPr>
          <w:rFonts w:cs="Arial"/>
          <w:sz w:val="20"/>
          <w:lang w:eastAsia="en-AU"/>
        </w:rPr>
      </w:pPr>
      <w:r w:rsidRPr="00D137DC">
        <w:rPr>
          <w:rStyle w:val="FootnoteReference"/>
          <w:sz w:val="20"/>
        </w:rPr>
        <w:footnoteRef/>
      </w:r>
      <w:r w:rsidRPr="00D137DC">
        <w:rPr>
          <w:sz w:val="20"/>
        </w:rPr>
        <w:t xml:space="preserve"> </w:t>
      </w:r>
      <w:r w:rsidRPr="00D137DC">
        <w:rPr>
          <w:rFonts w:cs="Arial"/>
          <w:sz w:val="20"/>
          <w:lang w:eastAsia="en-AU"/>
        </w:rPr>
        <w:t xml:space="preserve">Dr. Sankarshan Basu, </w:t>
      </w:r>
      <w:r w:rsidR="0097054D">
        <w:rPr>
          <w:rFonts w:cs="Arial"/>
          <w:sz w:val="20"/>
          <w:lang w:eastAsia="en-AU"/>
        </w:rPr>
        <w:t xml:space="preserve">Professor in Finance &amp; Control, </w:t>
      </w:r>
      <w:r w:rsidRPr="00D137DC">
        <w:rPr>
          <w:rFonts w:cs="Arial"/>
          <w:sz w:val="20"/>
          <w:lang w:eastAsia="en-AU"/>
        </w:rPr>
        <w:t xml:space="preserve">Indian Institute of Management Bangalore, India. Email: </w:t>
      </w:r>
      <w:hyperlink r:id="rId3" w:history="1">
        <w:r w:rsidRPr="00D137DC">
          <w:rPr>
            <w:rStyle w:val="Hyperlink"/>
            <w:rFonts w:cs="Arial"/>
            <w:sz w:val="20"/>
            <w:lang w:eastAsia="en-AU"/>
          </w:rPr>
          <w:t>sankarshanb@iimb.ernet.in</w:t>
        </w:r>
      </w:hyperlink>
      <w:r w:rsidRPr="00D137DC">
        <w:rPr>
          <w:rFonts w:cs="Arial"/>
          <w:sz w:val="20"/>
          <w:lang w:eastAsia="en-AU"/>
        </w:rPr>
        <w:t xml:space="preserve"> </w:t>
      </w:r>
    </w:p>
  </w:footnote>
  <w:footnote w:id="3">
    <w:p w14:paraId="51851779" w14:textId="77777777" w:rsidR="001A3F55" w:rsidRDefault="001A3F55" w:rsidP="0097054D">
      <w:pPr>
        <w:pStyle w:val="FootnoteText"/>
      </w:pPr>
      <w:r>
        <w:rPr>
          <w:rStyle w:val="FootnoteReference"/>
        </w:rPr>
        <w:footnoteRef/>
      </w:r>
      <w:r>
        <w:t xml:space="preserve"> BNP Paribas terminated withdrawals from three hedge funds citing “a complete evaporation of liquidity” on August 9</w:t>
      </w:r>
      <w:r w:rsidRPr="00D02128">
        <w:rPr>
          <w:vertAlign w:val="superscript"/>
        </w:rPr>
        <w:t>th</w:t>
      </w:r>
      <w:r>
        <w:t>, 2007.</w:t>
      </w:r>
    </w:p>
  </w:footnote>
  <w:footnote w:id="4">
    <w:p w14:paraId="79E2682D" w14:textId="77777777" w:rsidR="001A3F55" w:rsidRDefault="001A3F55" w:rsidP="00E51756">
      <w:pPr>
        <w:pStyle w:val="FootnoteText"/>
      </w:pPr>
      <w:r>
        <w:rPr>
          <w:rStyle w:val="FootnoteReference"/>
        </w:rPr>
        <w:footnoteRef/>
      </w:r>
      <w:r>
        <w:t xml:space="preserve"> </w:t>
      </w:r>
      <w:r w:rsidRPr="00914506">
        <w:t>Delta measures th</w:t>
      </w:r>
      <w:r>
        <w:t>e sensitivity of the value of a portfolio</w:t>
      </w:r>
      <w:r w:rsidRPr="00914506">
        <w:t xml:space="preserve"> to changes in the price of the underlying </w:t>
      </w:r>
      <w:r>
        <w:t>asset</w:t>
      </w:r>
      <w:r w:rsidRPr="00914506">
        <w:t xml:space="preserve"> assuming all other variables remain unchanged.</w:t>
      </w:r>
    </w:p>
    <w:p w14:paraId="7DC383C6" w14:textId="77777777" w:rsidR="001A3F55" w:rsidRDefault="001A3F55" w:rsidP="00E51756">
      <w:pPr>
        <w:pStyle w:val="FootnoteText"/>
      </w:pPr>
    </w:p>
  </w:footnote>
  <w:footnote w:id="5">
    <w:p w14:paraId="50A345D4" w14:textId="77777777" w:rsidR="001A3F55" w:rsidRDefault="001A3F55" w:rsidP="00E51756">
      <w:pPr>
        <w:pStyle w:val="FootnoteText"/>
      </w:pPr>
      <w:r>
        <w:rPr>
          <w:rStyle w:val="FootnoteReference"/>
        </w:rPr>
        <w:footnoteRef/>
      </w:r>
      <w:r>
        <w:t xml:space="preserve"> </w:t>
      </w:r>
      <w:r w:rsidRPr="002F445B">
        <w:t>A portfolio is delta neutral (or, instantaneously delta-hedged) if its instantaneous change in value, for an infinitesimal change in the value of the underlying security is zero</w:t>
      </w:r>
      <w:r>
        <w:t>.</w:t>
      </w:r>
    </w:p>
  </w:footnote>
  <w:footnote w:id="6">
    <w:p w14:paraId="22BABC72" w14:textId="77777777" w:rsidR="001A3F55" w:rsidRDefault="001A3F55" w:rsidP="00E51756">
      <w:pPr>
        <w:pStyle w:val="FootnoteText"/>
      </w:pPr>
      <w:r>
        <w:rPr>
          <w:rStyle w:val="FootnoteReference"/>
        </w:rPr>
        <w:footnoteRef/>
      </w:r>
      <w:r>
        <w:t xml:space="preserve"> A</w:t>
      </w:r>
      <w:r w:rsidRPr="001A20F3">
        <w:t xml:space="preserve"> hedging strategy is semi-static i</w:t>
      </w:r>
      <w:r>
        <w:t>f t</w:t>
      </w:r>
      <w:r w:rsidRPr="001A20F3">
        <w:t>rades only need to occur at the discrete monitoring dates</w:t>
      </w:r>
      <w:r>
        <w:t>.</w:t>
      </w:r>
    </w:p>
  </w:footnote>
  <w:footnote w:id="7">
    <w:p w14:paraId="70DC2080" w14:textId="77777777" w:rsidR="001A3F55" w:rsidRDefault="001A3F55" w:rsidP="0083330B">
      <w:pPr>
        <w:pStyle w:val="FootnoteText"/>
      </w:pPr>
      <w:r>
        <w:rPr>
          <w:rStyle w:val="FootnoteReference"/>
        </w:rPr>
        <w:footnoteRef/>
      </w:r>
      <w:r>
        <w:t xml:space="preserve"> JP Morgan, 1996</w:t>
      </w:r>
      <w:r w:rsidRPr="007C37E6">
        <w:t xml:space="preserve">, </w:t>
      </w:r>
      <w:r>
        <w:t>RiskMetrics – Technical Document, Fourth Edition, New York.</w:t>
      </w:r>
    </w:p>
  </w:footnote>
  <w:footnote w:id="8">
    <w:p w14:paraId="47D7CC74" w14:textId="77777777" w:rsidR="001A3F55" w:rsidRDefault="001A3F55" w:rsidP="00297333">
      <w:pPr>
        <w:spacing w:line="480" w:lineRule="auto"/>
        <w:jc w:val="both"/>
      </w:pPr>
      <w:r>
        <w:rPr>
          <w:rStyle w:val="FootnoteReference"/>
        </w:rPr>
        <w:footnoteRef/>
      </w:r>
      <w:r>
        <w:t xml:space="preserve"> </w:t>
      </w:r>
      <w:r>
        <w:rPr>
          <w:sz w:val="20"/>
          <w:szCs w:val="20"/>
        </w:rPr>
        <w:t>JP Morgan, 1996</w:t>
      </w:r>
      <w:r w:rsidRPr="007C37E6">
        <w:rPr>
          <w:sz w:val="20"/>
          <w:szCs w:val="20"/>
        </w:rPr>
        <w:t xml:space="preserve">, </w:t>
      </w:r>
      <w:r>
        <w:rPr>
          <w:sz w:val="20"/>
          <w:szCs w:val="20"/>
        </w:rPr>
        <w:t xml:space="preserve">RiskMetrics – Technical Document, Fourth Edition, New York. </w:t>
      </w:r>
    </w:p>
  </w:footnote>
  <w:footnote w:id="9">
    <w:p w14:paraId="3CCB6505" w14:textId="77777777" w:rsidR="001A3F55" w:rsidRDefault="001A3F55" w:rsidP="007727A4">
      <w:pPr>
        <w:pStyle w:val="FootnoteText"/>
      </w:pPr>
      <w:r>
        <w:rPr>
          <w:rStyle w:val="FootnoteReference"/>
        </w:rPr>
        <w:footnoteRef/>
      </w:r>
      <w:r>
        <w:t xml:space="preserve"> Source: </w:t>
      </w:r>
      <w:hyperlink r:id="rId4" w:history="1">
        <w:r>
          <w:rPr>
            <w:rStyle w:val="Hyperlink"/>
          </w:rPr>
          <w:t>http://www.value-at-risk.net/backtesting-coverage-tests/</w:t>
        </w:r>
      </w:hyperlink>
      <w:r>
        <w:t xml:space="preserve"> (last accessed 5</w:t>
      </w:r>
      <w:r>
        <w:rPr>
          <w:vertAlign w:val="superscript"/>
        </w:rPr>
        <w:t>th</w:t>
      </w:r>
      <w:r>
        <w:t xml:space="preserve"> November 2015)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233209"/>
    <w:multiLevelType w:val="multilevel"/>
    <w:tmpl w:val="9D0A211C"/>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24D53680"/>
    <w:multiLevelType w:val="hybridMultilevel"/>
    <w:tmpl w:val="DBB69714"/>
    <w:lvl w:ilvl="0" w:tplc="0409000F">
      <w:start w:val="2"/>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7C007AF"/>
    <w:multiLevelType w:val="hybridMultilevel"/>
    <w:tmpl w:val="8ECCA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5C50109"/>
    <w:multiLevelType w:val="multilevel"/>
    <w:tmpl w:val="BCD23C56"/>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4">
    <w:nsid w:val="672700A8"/>
    <w:multiLevelType w:val="multilevel"/>
    <w:tmpl w:val="983EF67A"/>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4"/>
  </w:num>
  <w:num w:numId="2">
    <w:abstractNumId w:val="2"/>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3F4"/>
    <w:rsid w:val="00002A0D"/>
    <w:rsid w:val="00006DF5"/>
    <w:rsid w:val="00007D88"/>
    <w:rsid w:val="000151B6"/>
    <w:rsid w:val="00016500"/>
    <w:rsid w:val="000167A5"/>
    <w:rsid w:val="00023D90"/>
    <w:rsid w:val="00026D28"/>
    <w:rsid w:val="0003521C"/>
    <w:rsid w:val="00036EB6"/>
    <w:rsid w:val="00041B9E"/>
    <w:rsid w:val="00043B29"/>
    <w:rsid w:val="000518A4"/>
    <w:rsid w:val="00057070"/>
    <w:rsid w:val="00061B38"/>
    <w:rsid w:val="00063B39"/>
    <w:rsid w:val="0006490A"/>
    <w:rsid w:val="00065003"/>
    <w:rsid w:val="00075BF1"/>
    <w:rsid w:val="00077FE8"/>
    <w:rsid w:val="00080189"/>
    <w:rsid w:val="0008102C"/>
    <w:rsid w:val="000840AC"/>
    <w:rsid w:val="00091E43"/>
    <w:rsid w:val="000963E2"/>
    <w:rsid w:val="000A0E83"/>
    <w:rsid w:val="000A206A"/>
    <w:rsid w:val="000A316B"/>
    <w:rsid w:val="000A3F32"/>
    <w:rsid w:val="000A4336"/>
    <w:rsid w:val="000A5372"/>
    <w:rsid w:val="000A77AB"/>
    <w:rsid w:val="000B4450"/>
    <w:rsid w:val="000B4619"/>
    <w:rsid w:val="000B4AAE"/>
    <w:rsid w:val="000B655E"/>
    <w:rsid w:val="000B72A5"/>
    <w:rsid w:val="000C0D8D"/>
    <w:rsid w:val="000C1DB6"/>
    <w:rsid w:val="000C21E4"/>
    <w:rsid w:val="000C7000"/>
    <w:rsid w:val="000D375C"/>
    <w:rsid w:val="000E0B81"/>
    <w:rsid w:val="000E5D49"/>
    <w:rsid w:val="000E655C"/>
    <w:rsid w:val="000E74F9"/>
    <w:rsid w:val="00100BF5"/>
    <w:rsid w:val="00103734"/>
    <w:rsid w:val="0010590E"/>
    <w:rsid w:val="00106E8C"/>
    <w:rsid w:val="001113C4"/>
    <w:rsid w:val="00112586"/>
    <w:rsid w:val="001156CE"/>
    <w:rsid w:val="00115D01"/>
    <w:rsid w:val="00116267"/>
    <w:rsid w:val="0011745E"/>
    <w:rsid w:val="0011781B"/>
    <w:rsid w:val="00124AD5"/>
    <w:rsid w:val="00131928"/>
    <w:rsid w:val="001321F9"/>
    <w:rsid w:val="001328F7"/>
    <w:rsid w:val="00140AE0"/>
    <w:rsid w:val="00140B6E"/>
    <w:rsid w:val="0014189B"/>
    <w:rsid w:val="00142625"/>
    <w:rsid w:val="00145EED"/>
    <w:rsid w:val="00154801"/>
    <w:rsid w:val="00156105"/>
    <w:rsid w:val="00161A10"/>
    <w:rsid w:val="001640C4"/>
    <w:rsid w:val="00164812"/>
    <w:rsid w:val="00166C1E"/>
    <w:rsid w:val="00167DC3"/>
    <w:rsid w:val="00167E2F"/>
    <w:rsid w:val="00170901"/>
    <w:rsid w:val="001742AD"/>
    <w:rsid w:val="00175F78"/>
    <w:rsid w:val="00177770"/>
    <w:rsid w:val="001803A9"/>
    <w:rsid w:val="00180E1C"/>
    <w:rsid w:val="00184FBA"/>
    <w:rsid w:val="00195747"/>
    <w:rsid w:val="001A23BD"/>
    <w:rsid w:val="001A3A3D"/>
    <w:rsid w:val="001A3F55"/>
    <w:rsid w:val="001A538B"/>
    <w:rsid w:val="001A6DAC"/>
    <w:rsid w:val="001A7862"/>
    <w:rsid w:val="001A7B34"/>
    <w:rsid w:val="001A7B3F"/>
    <w:rsid w:val="001B318B"/>
    <w:rsid w:val="001B31E1"/>
    <w:rsid w:val="001B5F0C"/>
    <w:rsid w:val="001B7830"/>
    <w:rsid w:val="001D0A97"/>
    <w:rsid w:val="001D0B6A"/>
    <w:rsid w:val="001D37FF"/>
    <w:rsid w:val="001D5168"/>
    <w:rsid w:val="001D6BF2"/>
    <w:rsid w:val="001E34DA"/>
    <w:rsid w:val="001E3D10"/>
    <w:rsid w:val="001E793D"/>
    <w:rsid w:val="001F0218"/>
    <w:rsid w:val="001F06AB"/>
    <w:rsid w:val="001F2C85"/>
    <w:rsid w:val="001F4BD2"/>
    <w:rsid w:val="001F6516"/>
    <w:rsid w:val="001F6626"/>
    <w:rsid w:val="00202107"/>
    <w:rsid w:val="00206C65"/>
    <w:rsid w:val="002114FA"/>
    <w:rsid w:val="00213FA3"/>
    <w:rsid w:val="00215E3B"/>
    <w:rsid w:val="00217A4A"/>
    <w:rsid w:val="00217EB7"/>
    <w:rsid w:val="0022328A"/>
    <w:rsid w:val="00224360"/>
    <w:rsid w:val="00225CF6"/>
    <w:rsid w:val="00226036"/>
    <w:rsid w:val="0023068A"/>
    <w:rsid w:val="00233288"/>
    <w:rsid w:val="00234853"/>
    <w:rsid w:val="002360FF"/>
    <w:rsid w:val="00243079"/>
    <w:rsid w:val="002464F3"/>
    <w:rsid w:val="00252E7B"/>
    <w:rsid w:val="0025738D"/>
    <w:rsid w:val="00260A07"/>
    <w:rsid w:val="00262D7B"/>
    <w:rsid w:val="00266F36"/>
    <w:rsid w:val="0027386D"/>
    <w:rsid w:val="00275610"/>
    <w:rsid w:val="0027751F"/>
    <w:rsid w:val="002872A7"/>
    <w:rsid w:val="00294A7D"/>
    <w:rsid w:val="00296374"/>
    <w:rsid w:val="00297333"/>
    <w:rsid w:val="002A1E44"/>
    <w:rsid w:val="002A6E0B"/>
    <w:rsid w:val="002B09F4"/>
    <w:rsid w:val="002B3D5B"/>
    <w:rsid w:val="002B5FF6"/>
    <w:rsid w:val="002B666F"/>
    <w:rsid w:val="002B7C79"/>
    <w:rsid w:val="002C02F2"/>
    <w:rsid w:val="002C02FD"/>
    <w:rsid w:val="002C1E55"/>
    <w:rsid w:val="002E32BE"/>
    <w:rsid w:val="002E7AB0"/>
    <w:rsid w:val="002F205C"/>
    <w:rsid w:val="002F32CD"/>
    <w:rsid w:val="002F3D64"/>
    <w:rsid w:val="003052DA"/>
    <w:rsid w:val="00305CDD"/>
    <w:rsid w:val="00305F00"/>
    <w:rsid w:val="003068E3"/>
    <w:rsid w:val="0031147C"/>
    <w:rsid w:val="00315250"/>
    <w:rsid w:val="00321FE7"/>
    <w:rsid w:val="00323B2A"/>
    <w:rsid w:val="0033286D"/>
    <w:rsid w:val="00333BCB"/>
    <w:rsid w:val="0034055D"/>
    <w:rsid w:val="003428EC"/>
    <w:rsid w:val="00345E0C"/>
    <w:rsid w:val="00347BA5"/>
    <w:rsid w:val="00351901"/>
    <w:rsid w:val="00355226"/>
    <w:rsid w:val="00355ED4"/>
    <w:rsid w:val="003564EE"/>
    <w:rsid w:val="00363E5B"/>
    <w:rsid w:val="003646B0"/>
    <w:rsid w:val="003654F1"/>
    <w:rsid w:val="00367CC6"/>
    <w:rsid w:val="00370E13"/>
    <w:rsid w:val="00372328"/>
    <w:rsid w:val="00373B98"/>
    <w:rsid w:val="00373C71"/>
    <w:rsid w:val="0038039B"/>
    <w:rsid w:val="00380BD9"/>
    <w:rsid w:val="0038150D"/>
    <w:rsid w:val="00383FF3"/>
    <w:rsid w:val="0038456B"/>
    <w:rsid w:val="00391228"/>
    <w:rsid w:val="003913C5"/>
    <w:rsid w:val="0039196D"/>
    <w:rsid w:val="003970B9"/>
    <w:rsid w:val="003A0389"/>
    <w:rsid w:val="003A1943"/>
    <w:rsid w:val="003A2355"/>
    <w:rsid w:val="003A2473"/>
    <w:rsid w:val="003A4699"/>
    <w:rsid w:val="003B3EB8"/>
    <w:rsid w:val="003B40A0"/>
    <w:rsid w:val="003B6D80"/>
    <w:rsid w:val="003B73A1"/>
    <w:rsid w:val="003C0329"/>
    <w:rsid w:val="003C2D60"/>
    <w:rsid w:val="003C6287"/>
    <w:rsid w:val="003C7A84"/>
    <w:rsid w:val="003D59D4"/>
    <w:rsid w:val="003D7702"/>
    <w:rsid w:val="003E01DB"/>
    <w:rsid w:val="003E37B3"/>
    <w:rsid w:val="003E4589"/>
    <w:rsid w:val="003E6190"/>
    <w:rsid w:val="003E74DE"/>
    <w:rsid w:val="003F0A34"/>
    <w:rsid w:val="003F203A"/>
    <w:rsid w:val="004003E9"/>
    <w:rsid w:val="00401AC7"/>
    <w:rsid w:val="0040264A"/>
    <w:rsid w:val="00403C71"/>
    <w:rsid w:val="004059AF"/>
    <w:rsid w:val="00406B6B"/>
    <w:rsid w:val="0041006E"/>
    <w:rsid w:val="00413B0E"/>
    <w:rsid w:val="00414F4C"/>
    <w:rsid w:val="00423593"/>
    <w:rsid w:val="00427423"/>
    <w:rsid w:val="00433D9A"/>
    <w:rsid w:val="004361A7"/>
    <w:rsid w:val="00436DDC"/>
    <w:rsid w:val="00441091"/>
    <w:rsid w:val="004448E9"/>
    <w:rsid w:val="00444CEA"/>
    <w:rsid w:val="00451E13"/>
    <w:rsid w:val="00452166"/>
    <w:rsid w:val="004606D6"/>
    <w:rsid w:val="004607E5"/>
    <w:rsid w:val="00460DAE"/>
    <w:rsid w:val="00471298"/>
    <w:rsid w:val="004765E3"/>
    <w:rsid w:val="00481A5F"/>
    <w:rsid w:val="004870FD"/>
    <w:rsid w:val="00491130"/>
    <w:rsid w:val="0049544F"/>
    <w:rsid w:val="00495AFF"/>
    <w:rsid w:val="004A09D9"/>
    <w:rsid w:val="004A114C"/>
    <w:rsid w:val="004A5293"/>
    <w:rsid w:val="004B1446"/>
    <w:rsid w:val="004B342B"/>
    <w:rsid w:val="004C1288"/>
    <w:rsid w:val="004C1EE1"/>
    <w:rsid w:val="004C36E7"/>
    <w:rsid w:val="004C7398"/>
    <w:rsid w:val="004D0255"/>
    <w:rsid w:val="004D07B0"/>
    <w:rsid w:val="004D39E8"/>
    <w:rsid w:val="004D3AF6"/>
    <w:rsid w:val="004D565A"/>
    <w:rsid w:val="004D5997"/>
    <w:rsid w:val="004D6AEC"/>
    <w:rsid w:val="004E191C"/>
    <w:rsid w:val="004E4353"/>
    <w:rsid w:val="004E495C"/>
    <w:rsid w:val="004E6B36"/>
    <w:rsid w:val="004E740C"/>
    <w:rsid w:val="004F0B7B"/>
    <w:rsid w:val="004F1AC9"/>
    <w:rsid w:val="004F2E08"/>
    <w:rsid w:val="004F398B"/>
    <w:rsid w:val="00502D68"/>
    <w:rsid w:val="005042C7"/>
    <w:rsid w:val="005045B0"/>
    <w:rsid w:val="00506EC6"/>
    <w:rsid w:val="00511DE9"/>
    <w:rsid w:val="00514D50"/>
    <w:rsid w:val="005153CF"/>
    <w:rsid w:val="00515475"/>
    <w:rsid w:val="005162FA"/>
    <w:rsid w:val="005230E6"/>
    <w:rsid w:val="00523BF9"/>
    <w:rsid w:val="0052679D"/>
    <w:rsid w:val="005275EF"/>
    <w:rsid w:val="0052774E"/>
    <w:rsid w:val="00532597"/>
    <w:rsid w:val="0053265B"/>
    <w:rsid w:val="00533647"/>
    <w:rsid w:val="00537A54"/>
    <w:rsid w:val="00542D74"/>
    <w:rsid w:val="00545EFB"/>
    <w:rsid w:val="00551FF5"/>
    <w:rsid w:val="00553B25"/>
    <w:rsid w:val="00554FEC"/>
    <w:rsid w:val="00556559"/>
    <w:rsid w:val="00557BCA"/>
    <w:rsid w:val="005602F9"/>
    <w:rsid w:val="005629DB"/>
    <w:rsid w:val="00562FA8"/>
    <w:rsid w:val="0056607A"/>
    <w:rsid w:val="00570370"/>
    <w:rsid w:val="005712C6"/>
    <w:rsid w:val="005779E3"/>
    <w:rsid w:val="00577AE9"/>
    <w:rsid w:val="00577E63"/>
    <w:rsid w:val="0058298A"/>
    <w:rsid w:val="00592C94"/>
    <w:rsid w:val="005934D0"/>
    <w:rsid w:val="00594761"/>
    <w:rsid w:val="005947E8"/>
    <w:rsid w:val="00597A63"/>
    <w:rsid w:val="005A20C6"/>
    <w:rsid w:val="005B32D9"/>
    <w:rsid w:val="005B57A9"/>
    <w:rsid w:val="005C6754"/>
    <w:rsid w:val="005D3CB8"/>
    <w:rsid w:val="005D63B1"/>
    <w:rsid w:val="005D7E75"/>
    <w:rsid w:val="005E1E39"/>
    <w:rsid w:val="005E2FC9"/>
    <w:rsid w:val="005E3D88"/>
    <w:rsid w:val="005E66FC"/>
    <w:rsid w:val="005E7D7A"/>
    <w:rsid w:val="005F3ECC"/>
    <w:rsid w:val="006045E9"/>
    <w:rsid w:val="00606B8A"/>
    <w:rsid w:val="00612243"/>
    <w:rsid w:val="00612A21"/>
    <w:rsid w:val="00617DA7"/>
    <w:rsid w:val="0062157C"/>
    <w:rsid w:val="0062648B"/>
    <w:rsid w:val="00630B4D"/>
    <w:rsid w:val="00634040"/>
    <w:rsid w:val="0063462E"/>
    <w:rsid w:val="00636EC5"/>
    <w:rsid w:val="00645E0D"/>
    <w:rsid w:val="00652547"/>
    <w:rsid w:val="00657A1C"/>
    <w:rsid w:val="0066189B"/>
    <w:rsid w:val="00662CE7"/>
    <w:rsid w:val="00665081"/>
    <w:rsid w:val="00671205"/>
    <w:rsid w:val="00674E6C"/>
    <w:rsid w:val="0068069C"/>
    <w:rsid w:val="00682363"/>
    <w:rsid w:val="00683C2D"/>
    <w:rsid w:val="00692A27"/>
    <w:rsid w:val="006A00B0"/>
    <w:rsid w:val="006A2AD4"/>
    <w:rsid w:val="006A3A43"/>
    <w:rsid w:val="006A711B"/>
    <w:rsid w:val="006A78D9"/>
    <w:rsid w:val="006B0957"/>
    <w:rsid w:val="006B3402"/>
    <w:rsid w:val="006B6B50"/>
    <w:rsid w:val="006B7BD9"/>
    <w:rsid w:val="006C1977"/>
    <w:rsid w:val="006C1A82"/>
    <w:rsid w:val="006C31A3"/>
    <w:rsid w:val="006C5F9D"/>
    <w:rsid w:val="006D179A"/>
    <w:rsid w:val="006E02D9"/>
    <w:rsid w:val="006E14C7"/>
    <w:rsid w:val="006E73F4"/>
    <w:rsid w:val="006E7C8A"/>
    <w:rsid w:val="006F0A5F"/>
    <w:rsid w:val="006F5D24"/>
    <w:rsid w:val="006F610E"/>
    <w:rsid w:val="006F7363"/>
    <w:rsid w:val="006F7520"/>
    <w:rsid w:val="007019FD"/>
    <w:rsid w:val="00705A07"/>
    <w:rsid w:val="00706CB0"/>
    <w:rsid w:val="007103A8"/>
    <w:rsid w:val="0071046B"/>
    <w:rsid w:val="00715E64"/>
    <w:rsid w:val="00721B9D"/>
    <w:rsid w:val="00721BFB"/>
    <w:rsid w:val="00722DA1"/>
    <w:rsid w:val="00740F22"/>
    <w:rsid w:val="00742A7D"/>
    <w:rsid w:val="0074404C"/>
    <w:rsid w:val="007444E5"/>
    <w:rsid w:val="007447B8"/>
    <w:rsid w:val="00744B14"/>
    <w:rsid w:val="00745EED"/>
    <w:rsid w:val="00745F94"/>
    <w:rsid w:val="00747F8C"/>
    <w:rsid w:val="00761361"/>
    <w:rsid w:val="00761F28"/>
    <w:rsid w:val="00764B61"/>
    <w:rsid w:val="00765599"/>
    <w:rsid w:val="007676C1"/>
    <w:rsid w:val="00767973"/>
    <w:rsid w:val="007727A4"/>
    <w:rsid w:val="00775860"/>
    <w:rsid w:val="007761FC"/>
    <w:rsid w:val="00784B8D"/>
    <w:rsid w:val="00785444"/>
    <w:rsid w:val="00787776"/>
    <w:rsid w:val="00790C0E"/>
    <w:rsid w:val="00791A1D"/>
    <w:rsid w:val="007925F9"/>
    <w:rsid w:val="007A39B8"/>
    <w:rsid w:val="007A3D9D"/>
    <w:rsid w:val="007A5A73"/>
    <w:rsid w:val="007B3088"/>
    <w:rsid w:val="007B310C"/>
    <w:rsid w:val="007B3C52"/>
    <w:rsid w:val="007B5C68"/>
    <w:rsid w:val="007B64BA"/>
    <w:rsid w:val="007C2995"/>
    <w:rsid w:val="007C37E6"/>
    <w:rsid w:val="007C3910"/>
    <w:rsid w:val="007C5D94"/>
    <w:rsid w:val="007C678C"/>
    <w:rsid w:val="007C6AA7"/>
    <w:rsid w:val="007C7246"/>
    <w:rsid w:val="007C77E7"/>
    <w:rsid w:val="007C7FCE"/>
    <w:rsid w:val="007D253D"/>
    <w:rsid w:val="007D3A69"/>
    <w:rsid w:val="007D5249"/>
    <w:rsid w:val="007E0644"/>
    <w:rsid w:val="007E6148"/>
    <w:rsid w:val="007F1B6B"/>
    <w:rsid w:val="007F215F"/>
    <w:rsid w:val="007F3A4B"/>
    <w:rsid w:val="007F4F8C"/>
    <w:rsid w:val="007F5A3B"/>
    <w:rsid w:val="007F697E"/>
    <w:rsid w:val="007F6DB2"/>
    <w:rsid w:val="0080081D"/>
    <w:rsid w:val="00801083"/>
    <w:rsid w:val="00803F31"/>
    <w:rsid w:val="008040F7"/>
    <w:rsid w:val="00804E68"/>
    <w:rsid w:val="00807005"/>
    <w:rsid w:val="00810B1F"/>
    <w:rsid w:val="00812F75"/>
    <w:rsid w:val="00813D9F"/>
    <w:rsid w:val="008151A9"/>
    <w:rsid w:val="008200B9"/>
    <w:rsid w:val="0082373E"/>
    <w:rsid w:val="008238BB"/>
    <w:rsid w:val="00824B07"/>
    <w:rsid w:val="00826AF6"/>
    <w:rsid w:val="0083330B"/>
    <w:rsid w:val="008354EE"/>
    <w:rsid w:val="00836305"/>
    <w:rsid w:val="0084036D"/>
    <w:rsid w:val="00845758"/>
    <w:rsid w:val="00847E75"/>
    <w:rsid w:val="00850A87"/>
    <w:rsid w:val="008525EC"/>
    <w:rsid w:val="00856D42"/>
    <w:rsid w:val="00857841"/>
    <w:rsid w:val="008578D4"/>
    <w:rsid w:val="008626C9"/>
    <w:rsid w:val="00870005"/>
    <w:rsid w:val="00870FE7"/>
    <w:rsid w:val="00873B90"/>
    <w:rsid w:val="00875DBD"/>
    <w:rsid w:val="00876C49"/>
    <w:rsid w:val="00880DE9"/>
    <w:rsid w:val="0088298B"/>
    <w:rsid w:val="00885DCA"/>
    <w:rsid w:val="00891131"/>
    <w:rsid w:val="00894436"/>
    <w:rsid w:val="00897C27"/>
    <w:rsid w:val="008A4262"/>
    <w:rsid w:val="008B2C84"/>
    <w:rsid w:val="008B3813"/>
    <w:rsid w:val="008B5E4B"/>
    <w:rsid w:val="008B7609"/>
    <w:rsid w:val="008C5260"/>
    <w:rsid w:val="008C64DC"/>
    <w:rsid w:val="008C6BE7"/>
    <w:rsid w:val="008D0948"/>
    <w:rsid w:val="008D3636"/>
    <w:rsid w:val="008D505E"/>
    <w:rsid w:val="008D5DFE"/>
    <w:rsid w:val="008D6230"/>
    <w:rsid w:val="008D7E1B"/>
    <w:rsid w:val="008E04BD"/>
    <w:rsid w:val="008E3ED2"/>
    <w:rsid w:val="008E4B46"/>
    <w:rsid w:val="008E7A09"/>
    <w:rsid w:val="008F1985"/>
    <w:rsid w:val="008F2A6B"/>
    <w:rsid w:val="00902DD5"/>
    <w:rsid w:val="00904000"/>
    <w:rsid w:val="0090400C"/>
    <w:rsid w:val="0090511D"/>
    <w:rsid w:val="00906155"/>
    <w:rsid w:val="00911143"/>
    <w:rsid w:val="00913071"/>
    <w:rsid w:val="00917B1A"/>
    <w:rsid w:val="00921886"/>
    <w:rsid w:val="0092290A"/>
    <w:rsid w:val="00924C4A"/>
    <w:rsid w:val="009250E1"/>
    <w:rsid w:val="009251E5"/>
    <w:rsid w:val="00926B54"/>
    <w:rsid w:val="00930135"/>
    <w:rsid w:val="00930D9F"/>
    <w:rsid w:val="00931ABD"/>
    <w:rsid w:val="0093443B"/>
    <w:rsid w:val="00937136"/>
    <w:rsid w:val="009405CE"/>
    <w:rsid w:val="0094156D"/>
    <w:rsid w:val="0094385A"/>
    <w:rsid w:val="00944E8A"/>
    <w:rsid w:val="0094539E"/>
    <w:rsid w:val="00945C4B"/>
    <w:rsid w:val="00951CE0"/>
    <w:rsid w:val="00954677"/>
    <w:rsid w:val="00955D39"/>
    <w:rsid w:val="00957F60"/>
    <w:rsid w:val="00960929"/>
    <w:rsid w:val="009611E9"/>
    <w:rsid w:val="00963DA7"/>
    <w:rsid w:val="00967F61"/>
    <w:rsid w:val="0097054D"/>
    <w:rsid w:val="009813D1"/>
    <w:rsid w:val="00983BDB"/>
    <w:rsid w:val="00987E07"/>
    <w:rsid w:val="00991191"/>
    <w:rsid w:val="009A3484"/>
    <w:rsid w:val="009A6CB8"/>
    <w:rsid w:val="009B689B"/>
    <w:rsid w:val="009B6E3E"/>
    <w:rsid w:val="009B76C8"/>
    <w:rsid w:val="009C1112"/>
    <w:rsid w:val="009C411A"/>
    <w:rsid w:val="009C5776"/>
    <w:rsid w:val="009C7CF2"/>
    <w:rsid w:val="009D2CFF"/>
    <w:rsid w:val="009D4B1D"/>
    <w:rsid w:val="009D6887"/>
    <w:rsid w:val="009D6E0E"/>
    <w:rsid w:val="009E12BB"/>
    <w:rsid w:val="009E25BD"/>
    <w:rsid w:val="009E3F9B"/>
    <w:rsid w:val="009E41F8"/>
    <w:rsid w:val="009F1205"/>
    <w:rsid w:val="009F16A4"/>
    <w:rsid w:val="009F3255"/>
    <w:rsid w:val="009F46E3"/>
    <w:rsid w:val="00A0620B"/>
    <w:rsid w:val="00A07085"/>
    <w:rsid w:val="00A11847"/>
    <w:rsid w:val="00A11874"/>
    <w:rsid w:val="00A13CF1"/>
    <w:rsid w:val="00A14659"/>
    <w:rsid w:val="00A14697"/>
    <w:rsid w:val="00A17066"/>
    <w:rsid w:val="00A20D21"/>
    <w:rsid w:val="00A22420"/>
    <w:rsid w:val="00A244EF"/>
    <w:rsid w:val="00A26BDD"/>
    <w:rsid w:val="00A321AB"/>
    <w:rsid w:val="00A32E49"/>
    <w:rsid w:val="00A33447"/>
    <w:rsid w:val="00A339DE"/>
    <w:rsid w:val="00A365F9"/>
    <w:rsid w:val="00A3709A"/>
    <w:rsid w:val="00A438A2"/>
    <w:rsid w:val="00A47A9B"/>
    <w:rsid w:val="00A54D44"/>
    <w:rsid w:val="00A556F8"/>
    <w:rsid w:val="00A61360"/>
    <w:rsid w:val="00A637A2"/>
    <w:rsid w:val="00A63A20"/>
    <w:rsid w:val="00A661B4"/>
    <w:rsid w:val="00A66731"/>
    <w:rsid w:val="00A67193"/>
    <w:rsid w:val="00A7195A"/>
    <w:rsid w:val="00A73D36"/>
    <w:rsid w:val="00A741F0"/>
    <w:rsid w:val="00A74B58"/>
    <w:rsid w:val="00A75ADD"/>
    <w:rsid w:val="00A834C6"/>
    <w:rsid w:val="00A91258"/>
    <w:rsid w:val="00A9188D"/>
    <w:rsid w:val="00A92D49"/>
    <w:rsid w:val="00A96319"/>
    <w:rsid w:val="00AA11DD"/>
    <w:rsid w:val="00AA1813"/>
    <w:rsid w:val="00AA2145"/>
    <w:rsid w:val="00AA35B5"/>
    <w:rsid w:val="00AA6DBF"/>
    <w:rsid w:val="00AA770F"/>
    <w:rsid w:val="00AB25B6"/>
    <w:rsid w:val="00AB5AEF"/>
    <w:rsid w:val="00AB6E81"/>
    <w:rsid w:val="00AC190D"/>
    <w:rsid w:val="00AD1DCF"/>
    <w:rsid w:val="00AD1EE7"/>
    <w:rsid w:val="00AD1F6A"/>
    <w:rsid w:val="00AD2B9E"/>
    <w:rsid w:val="00AD3A41"/>
    <w:rsid w:val="00AD60E9"/>
    <w:rsid w:val="00AD6481"/>
    <w:rsid w:val="00AE5A18"/>
    <w:rsid w:val="00AE65F8"/>
    <w:rsid w:val="00AF24C7"/>
    <w:rsid w:val="00AF2D44"/>
    <w:rsid w:val="00AF7998"/>
    <w:rsid w:val="00B01A6D"/>
    <w:rsid w:val="00B034EA"/>
    <w:rsid w:val="00B05068"/>
    <w:rsid w:val="00B0578D"/>
    <w:rsid w:val="00B13560"/>
    <w:rsid w:val="00B13E50"/>
    <w:rsid w:val="00B16C5D"/>
    <w:rsid w:val="00B170A4"/>
    <w:rsid w:val="00B220EB"/>
    <w:rsid w:val="00B224CF"/>
    <w:rsid w:val="00B26022"/>
    <w:rsid w:val="00B31BE4"/>
    <w:rsid w:val="00B327B8"/>
    <w:rsid w:val="00B32E3D"/>
    <w:rsid w:val="00B35603"/>
    <w:rsid w:val="00B37906"/>
    <w:rsid w:val="00B40322"/>
    <w:rsid w:val="00B413EA"/>
    <w:rsid w:val="00B4655D"/>
    <w:rsid w:val="00B53358"/>
    <w:rsid w:val="00B624AB"/>
    <w:rsid w:val="00B8670E"/>
    <w:rsid w:val="00B87FEA"/>
    <w:rsid w:val="00B94B95"/>
    <w:rsid w:val="00B950B7"/>
    <w:rsid w:val="00B96CCF"/>
    <w:rsid w:val="00B97C25"/>
    <w:rsid w:val="00B97C80"/>
    <w:rsid w:val="00BA4100"/>
    <w:rsid w:val="00BA4699"/>
    <w:rsid w:val="00BA7658"/>
    <w:rsid w:val="00BB0857"/>
    <w:rsid w:val="00BB1891"/>
    <w:rsid w:val="00BB2478"/>
    <w:rsid w:val="00BB3651"/>
    <w:rsid w:val="00BB4848"/>
    <w:rsid w:val="00BB561D"/>
    <w:rsid w:val="00BC0B10"/>
    <w:rsid w:val="00BC4AE5"/>
    <w:rsid w:val="00BC6489"/>
    <w:rsid w:val="00BC76B2"/>
    <w:rsid w:val="00BD0772"/>
    <w:rsid w:val="00BD169A"/>
    <w:rsid w:val="00BD1FE6"/>
    <w:rsid w:val="00BD2949"/>
    <w:rsid w:val="00BE130B"/>
    <w:rsid w:val="00BE2D01"/>
    <w:rsid w:val="00BE627C"/>
    <w:rsid w:val="00BF098A"/>
    <w:rsid w:val="00BF0B82"/>
    <w:rsid w:val="00BF2AEA"/>
    <w:rsid w:val="00BF6347"/>
    <w:rsid w:val="00C10490"/>
    <w:rsid w:val="00C13026"/>
    <w:rsid w:val="00C13567"/>
    <w:rsid w:val="00C206DD"/>
    <w:rsid w:val="00C20A02"/>
    <w:rsid w:val="00C21CBD"/>
    <w:rsid w:val="00C25D3E"/>
    <w:rsid w:val="00C26015"/>
    <w:rsid w:val="00C32562"/>
    <w:rsid w:val="00C33137"/>
    <w:rsid w:val="00C3638E"/>
    <w:rsid w:val="00C36A92"/>
    <w:rsid w:val="00C377B8"/>
    <w:rsid w:val="00C40F69"/>
    <w:rsid w:val="00C42266"/>
    <w:rsid w:val="00C43A88"/>
    <w:rsid w:val="00C45175"/>
    <w:rsid w:val="00C47091"/>
    <w:rsid w:val="00C507A0"/>
    <w:rsid w:val="00C51F0D"/>
    <w:rsid w:val="00C53372"/>
    <w:rsid w:val="00C545A6"/>
    <w:rsid w:val="00C54CFA"/>
    <w:rsid w:val="00C56EEB"/>
    <w:rsid w:val="00C61B30"/>
    <w:rsid w:val="00C61E6B"/>
    <w:rsid w:val="00C65F2F"/>
    <w:rsid w:val="00C71559"/>
    <w:rsid w:val="00C73718"/>
    <w:rsid w:val="00C74168"/>
    <w:rsid w:val="00C826CA"/>
    <w:rsid w:val="00C83288"/>
    <w:rsid w:val="00C83968"/>
    <w:rsid w:val="00C872A0"/>
    <w:rsid w:val="00C874AA"/>
    <w:rsid w:val="00C918C6"/>
    <w:rsid w:val="00C93702"/>
    <w:rsid w:val="00C94925"/>
    <w:rsid w:val="00C97A64"/>
    <w:rsid w:val="00CA3962"/>
    <w:rsid w:val="00CA3FDC"/>
    <w:rsid w:val="00CA7312"/>
    <w:rsid w:val="00CB1A8A"/>
    <w:rsid w:val="00CB1FBE"/>
    <w:rsid w:val="00CB584F"/>
    <w:rsid w:val="00CC0254"/>
    <w:rsid w:val="00CC0259"/>
    <w:rsid w:val="00CC1C87"/>
    <w:rsid w:val="00CC1E52"/>
    <w:rsid w:val="00CC4541"/>
    <w:rsid w:val="00CC53B2"/>
    <w:rsid w:val="00CC69E0"/>
    <w:rsid w:val="00CD28B8"/>
    <w:rsid w:val="00CD43B8"/>
    <w:rsid w:val="00CD469B"/>
    <w:rsid w:val="00CE0602"/>
    <w:rsid w:val="00CE272D"/>
    <w:rsid w:val="00CE2837"/>
    <w:rsid w:val="00CE301B"/>
    <w:rsid w:val="00CE3AAF"/>
    <w:rsid w:val="00CE4865"/>
    <w:rsid w:val="00CE586E"/>
    <w:rsid w:val="00CF2414"/>
    <w:rsid w:val="00CF4AAF"/>
    <w:rsid w:val="00CF4D99"/>
    <w:rsid w:val="00CF52AB"/>
    <w:rsid w:val="00CF6033"/>
    <w:rsid w:val="00CF680F"/>
    <w:rsid w:val="00D0232A"/>
    <w:rsid w:val="00D07BBC"/>
    <w:rsid w:val="00D12A1F"/>
    <w:rsid w:val="00D13D9F"/>
    <w:rsid w:val="00D179DA"/>
    <w:rsid w:val="00D2024C"/>
    <w:rsid w:val="00D20688"/>
    <w:rsid w:val="00D22493"/>
    <w:rsid w:val="00D25215"/>
    <w:rsid w:val="00D304D1"/>
    <w:rsid w:val="00D3137C"/>
    <w:rsid w:val="00D349E3"/>
    <w:rsid w:val="00D37887"/>
    <w:rsid w:val="00D40CD6"/>
    <w:rsid w:val="00D41167"/>
    <w:rsid w:val="00D42C66"/>
    <w:rsid w:val="00D53E95"/>
    <w:rsid w:val="00D55E59"/>
    <w:rsid w:val="00D56072"/>
    <w:rsid w:val="00D56BB0"/>
    <w:rsid w:val="00D62CAC"/>
    <w:rsid w:val="00D7426A"/>
    <w:rsid w:val="00D846E5"/>
    <w:rsid w:val="00D84F41"/>
    <w:rsid w:val="00D87BA0"/>
    <w:rsid w:val="00D90D66"/>
    <w:rsid w:val="00D90F91"/>
    <w:rsid w:val="00D9278A"/>
    <w:rsid w:val="00D94FE6"/>
    <w:rsid w:val="00DA0B20"/>
    <w:rsid w:val="00DA2D56"/>
    <w:rsid w:val="00DA40AE"/>
    <w:rsid w:val="00DB05A6"/>
    <w:rsid w:val="00DB401E"/>
    <w:rsid w:val="00DC003F"/>
    <w:rsid w:val="00DD382D"/>
    <w:rsid w:val="00DD3841"/>
    <w:rsid w:val="00DE3DE1"/>
    <w:rsid w:val="00DE58CD"/>
    <w:rsid w:val="00DE62D7"/>
    <w:rsid w:val="00DF0B86"/>
    <w:rsid w:val="00DF4202"/>
    <w:rsid w:val="00DF6240"/>
    <w:rsid w:val="00DF7521"/>
    <w:rsid w:val="00E00380"/>
    <w:rsid w:val="00E07D34"/>
    <w:rsid w:val="00E11BEE"/>
    <w:rsid w:val="00E14151"/>
    <w:rsid w:val="00E14755"/>
    <w:rsid w:val="00E2066F"/>
    <w:rsid w:val="00E20A1F"/>
    <w:rsid w:val="00E20A55"/>
    <w:rsid w:val="00E22E08"/>
    <w:rsid w:val="00E23024"/>
    <w:rsid w:val="00E3208F"/>
    <w:rsid w:val="00E34BF3"/>
    <w:rsid w:val="00E41593"/>
    <w:rsid w:val="00E44785"/>
    <w:rsid w:val="00E5106C"/>
    <w:rsid w:val="00E51756"/>
    <w:rsid w:val="00E541A5"/>
    <w:rsid w:val="00E54C7B"/>
    <w:rsid w:val="00E5690F"/>
    <w:rsid w:val="00E60BC4"/>
    <w:rsid w:val="00E649A5"/>
    <w:rsid w:val="00E66F77"/>
    <w:rsid w:val="00E71DD0"/>
    <w:rsid w:val="00E738F3"/>
    <w:rsid w:val="00E74DF4"/>
    <w:rsid w:val="00E751FF"/>
    <w:rsid w:val="00E7536D"/>
    <w:rsid w:val="00E753D9"/>
    <w:rsid w:val="00E763A5"/>
    <w:rsid w:val="00E86011"/>
    <w:rsid w:val="00E879FE"/>
    <w:rsid w:val="00E90086"/>
    <w:rsid w:val="00E9093F"/>
    <w:rsid w:val="00E93C4F"/>
    <w:rsid w:val="00E95378"/>
    <w:rsid w:val="00E957A0"/>
    <w:rsid w:val="00EA00F2"/>
    <w:rsid w:val="00EA2128"/>
    <w:rsid w:val="00EB6A01"/>
    <w:rsid w:val="00EC34E3"/>
    <w:rsid w:val="00EC6906"/>
    <w:rsid w:val="00ED049B"/>
    <w:rsid w:val="00ED0AB6"/>
    <w:rsid w:val="00ED0DD2"/>
    <w:rsid w:val="00ED0F1A"/>
    <w:rsid w:val="00ED67F1"/>
    <w:rsid w:val="00ED7416"/>
    <w:rsid w:val="00EE2FEC"/>
    <w:rsid w:val="00EE341B"/>
    <w:rsid w:val="00EF407E"/>
    <w:rsid w:val="00EF5492"/>
    <w:rsid w:val="00EF57D1"/>
    <w:rsid w:val="00EF57F6"/>
    <w:rsid w:val="00EF7544"/>
    <w:rsid w:val="00F036E7"/>
    <w:rsid w:val="00F05A0F"/>
    <w:rsid w:val="00F07AB0"/>
    <w:rsid w:val="00F10FE9"/>
    <w:rsid w:val="00F12F71"/>
    <w:rsid w:val="00F13955"/>
    <w:rsid w:val="00F14881"/>
    <w:rsid w:val="00F1657A"/>
    <w:rsid w:val="00F17054"/>
    <w:rsid w:val="00F21BCE"/>
    <w:rsid w:val="00F23685"/>
    <w:rsid w:val="00F2466F"/>
    <w:rsid w:val="00F25CB9"/>
    <w:rsid w:val="00F26CDC"/>
    <w:rsid w:val="00F272F6"/>
    <w:rsid w:val="00F27420"/>
    <w:rsid w:val="00F30754"/>
    <w:rsid w:val="00F30CD2"/>
    <w:rsid w:val="00F35045"/>
    <w:rsid w:val="00F35769"/>
    <w:rsid w:val="00F42F07"/>
    <w:rsid w:val="00F4356F"/>
    <w:rsid w:val="00F43DF6"/>
    <w:rsid w:val="00F478E6"/>
    <w:rsid w:val="00F5569A"/>
    <w:rsid w:val="00F6309E"/>
    <w:rsid w:val="00F63329"/>
    <w:rsid w:val="00F63FA4"/>
    <w:rsid w:val="00F65D43"/>
    <w:rsid w:val="00F65EC0"/>
    <w:rsid w:val="00F665EE"/>
    <w:rsid w:val="00F74215"/>
    <w:rsid w:val="00F7591C"/>
    <w:rsid w:val="00F8077F"/>
    <w:rsid w:val="00F80877"/>
    <w:rsid w:val="00F82BA9"/>
    <w:rsid w:val="00F84E85"/>
    <w:rsid w:val="00F8725B"/>
    <w:rsid w:val="00F87D1E"/>
    <w:rsid w:val="00F92CAC"/>
    <w:rsid w:val="00F939F3"/>
    <w:rsid w:val="00FA012E"/>
    <w:rsid w:val="00FA02E4"/>
    <w:rsid w:val="00FA04D0"/>
    <w:rsid w:val="00FA138A"/>
    <w:rsid w:val="00FA384C"/>
    <w:rsid w:val="00FB0BED"/>
    <w:rsid w:val="00FB1BDA"/>
    <w:rsid w:val="00FB225C"/>
    <w:rsid w:val="00FB27C6"/>
    <w:rsid w:val="00FB4090"/>
    <w:rsid w:val="00FB6070"/>
    <w:rsid w:val="00FC1A4E"/>
    <w:rsid w:val="00FC6252"/>
    <w:rsid w:val="00FD0290"/>
    <w:rsid w:val="00FD0C44"/>
    <w:rsid w:val="00FD2EA0"/>
    <w:rsid w:val="00FD3FB7"/>
    <w:rsid w:val="00FD4439"/>
    <w:rsid w:val="00FD4851"/>
    <w:rsid w:val="00FD6178"/>
    <w:rsid w:val="00FE089E"/>
    <w:rsid w:val="00FE1FDD"/>
    <w:rsid w:val="00FE5F0B"/>
    <w:rsid w:val="00FE7F2E"/>
    <w:rsid w:val="00FF0200"/>
    <w:rsid w:val="00FF20D0"/>
    <w:rsid w:val="00FF2AAC"/>
    <w:rsid w:val="00FF3AA0"/>
    <w:rsid w:val="00FF5241"/>
    <w:rsid w:val="00FF65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A18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73F4"/>
    <w:rPr>
      <w:rFonts w:ascii="Calibri" w:eastAsia="Times New Roman" w:hAnsi="Calibri" w:cs="Mangal"/>
    </w:rPr>
  </w:style>
  <w:style w:type="paragraph" w:styleId="Heading1">
    <w:name w:val="heading 1"/>
    <w:basedOn w:val="Normal"/>
    <w:next w:val="Normal"/>
    <w:link w:val="Heading1Char"/>
    <w:qFormat/>
    <w:rsid w:val="006E73F4"/>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6E73F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A711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56BB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E73F4"/>
    <w:rPr>
      <w:rFonts w:ascii="Cambria" w:eastAsia="Times New Roman" w:hAnsi="Cambria" w:cs="Mangal"/>
      <w:b/>
      <w:bCs/>
      <w:kern w:val="32"/>
      <w:sz w:val="32"/>
      <w:szCs w:val="32"/>
    </w:rPr>
  </w:style>
  <w:style w:type="character" w:customStyle="1" w:styleId="Heading2Char">
    <w:name w:val="Heading 2 Char"/>
    <w:basedOn w:val="DefaultParagraphFont"/>
    <w:link w:val="Heading2"/>
    <w:uiPriority w:val="9"/>
    <w:rsid w:val="006E73F4"/>
    <w:rPr>
      <w:rFonts w:asciiTheme="majorHAnsi" w:eastAsiaTheme="majorEastAsia" w:hAnsiTheme="majorHAnsi" w:cstheme="majorBidi"/>
      <w:b/>
      <w:bCs/>
      <w:color w:val="4F81BD" w:themeColor="accent1"/>
      <w:sz w:val="26"/>
      <w:szCs w:val="26"/>
    </w:rPr>
  </w:style>
  <w:style w:type="paragraph" w:styleId="FootnoteText">
    <w:name w:val="footnote text"/>
    <w:basedOn w:val="Normal"/>
    <w:link w:val="FootnoteTextChar"/>
    <w:semiHidden/>
    <w:rsid w:val="006E73F4"/>
    <w:pPr>
      <w:spacing w:after="0" w:line="240" w:lineRule="auto"/>
    </w:pPr>
    <w:rPr>
      <w:sz w:val="20"/>
      <w:szCs w:val="20"/>
    </w:rPr>
  </w:style>
  <w:style w:type="character" w:customStyle="1" w:styleId="FootnoteTextChar">
    <w:name w:val="Footnote Text Char"/>
    <w:basedOn w:val="DefaultParagraphFont"/>
    <w:link w:val="FootnoteText"/>
    <w:semiHidden/>
    <w:rsid w:val="006E73F4"/>
    <w:rPr>
      <w:rFonts w:ascii="Calibri" w:eastAsia="Times New Roman" w:hAnsi="Calibri" w:cs="Mangal"/>
      <w:sz w:val="20"/>
      <w:szCs w:val="20"/>
    </w:rPr>
  </w:style>
  <w:style w:type="character" w:styleId="FootnoteReference">
    <w:name w:val="footnote reference"/>
    <w:basedOn w:val="DefaultParagraphFont"/>
    <w:uiPriority w:val="99"/>
    <w:semiHidden/>
    <w:rsid w:val="006E73F4"/>
    <w:rPr>
      <w:rFonts w:cs="Times New Roman"/>
      <w:vertAlign w:val="superscript"/>
    </w:rPr>
  </w:style>
  <w:style w:type="character" w:styleId="Hyperlink">
    <w:name w:val="Hyperlink"/>
    <w:basedOn w:val="DefaultParagraphFont"/>
    <w:uiPriority w:val="99"/>
    <w:rsid w:val="006E73F4"/>
    <w:rPr>
      <w:rFonts w:cs="Times New Roman"/>
      <w:color w:val="0000FF"/>
      <w:u w:val="single"/>
    </w:rPr>
  </w:style>
  <w:style w:type="paragraph" w:styleId="ListParagraph">
    <w:name w:val="List Paragraph"/>
    <w:basedOn w:val="Normal"/>
    <w:uiPriority w:val="34"/>
    <w:qFormat/>
    <w:rsid w:val="006E73F4"/>
    <w:pPr>
      <w:ind w:left="720"/>
      <w:contextualSpacing/>
    </w:pPr>
  </w:style>
  <w:style w:type="paragraph" w:styleId="TOCHeading">
    <w:name w:val="TOC Heading"/>
    <w:basedOn w:val="Heading1"/>
    <w:next w:val="Normal"/>
    <w:uiPriority w:val="39"/>
    <w:unhideWhenUsed/>
    <w:qFormat/>
    <w:rsid w:val="00CC0259"/>
    <w:pPr>
      <w:keepLines/>
      <w:spacing w:before="480" w:after="0"/>
      <w:outlineLvl w:val="9"/>
    </w:pPr>
    <w:rPr>
      <w:rFonts w:asciiTheme="majorHAnsi" w:eastAsiaTheme="majorEastAsia" w:hAnsiTheme="majorHAnsi" w:cstheme="majorBidi"/>
      <w:color w:val="365F91" w:themeColor="accent1" w:themeShade="BF"/>
      <w:kern w:val="0"/>
      <w:sz w:val="28"/>
      <w:szCs w:val="28"/>
    </w:rPr>
  </w:style>
  <w:style w:type="paragraph" w:styleId="TOC1">
    <w:name w:val="toc 1"/>
    <w:basedOn w:val="Normal"/>
    <w:next w:val="Normal"/>
    <w:autoRedefine/>
    <w:uiPriority w:val="39"/>
    <w:unhideWhenUsed/>
    <w:rsid w:val="00CC0259"/>
    <w:pPr>
      <w:spacing w:after="100"/>
    </w:pPr>
  </w:style>
  <w:style w:type="paragraph" w:styleId="TOC2">
    <w:name w:val="toc 2"/>
    <w:basedOn w:val="Normal"/>
    <w:next w:val="Normal"/>
    <w:autoRedefine/>
    <w:uiPriority w:val="39"/>
    <w:unhideWhenUsed/>
    <w:rsid w:val="00CC0259"/>
    <w:pPr>
      <w:spacing w:after="100"/>
      <w:ind w:left="220"/>
    </w:pPr>
  </w:style>
  <w:style w:type="paragraph" w:styleId="BalloonText">
    <w:name w:val="Balloon Text"/>
    <w:basedOn w:val="Normal"/>
    <w:link w:val="BalloonTextChar"/>
    <w:uiPriority w:val="99"/>
    <w:semiHidden/>
    <w:unhideWhenUsed/>
    <w:rsid w:val="00CC02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0259"/>
    <w:rPr>
      <w:rFonts w:ascii="Tahoma" w:eastAsia="Times New Roman" w:hAnsi="Tahoma" w:cs="Tahoma"/>
      <w:sz w:val="16"/>
      <w:szCs w:val="16"/>
    </w:rPr>
  </w:style>
  <w:style w:type="paragraph" w:styleId="Caption">
    <w:name w:val="caption"/>
    <w:basedOn w:val="Normal"/>
    <w:next w:val="Normal"/>
    <w:unhideWhenUsed/>
    <w:qFormat/>
    <w:rsid w:val="00AA770F"/>
    <w:rPr>
      <w:b/>
      <w:bCs/>
      <w:sz w:val="20"/>
      <w:szCs w:val="20"/>
    </w:rPr>
  </w:style>
  <w:style w:type="character" w:styleId="FollowedHyperlink">
    <w:name w:val="FollowedHyperlink"/>
    <w:basedOn w:val="DefaultParagraphFont"/>
    <w:uiPriority w:val="99"/>
    <w:semiHidden/>
    <w:unhideWhenUsed/>
    <w:rsid w:val="006C1977"/>
    <w:rPr>
      <w:color w:val="800080" w:themeColor="followedHyperlink"/>
      <w:u w:val="single"/>
    </w:rPr>
  </w:style>
  <w:style w:type="character" w:styleId="PlaceholderText">
    <w:name w:val="Placeholder Text"/>
    <w:basedOn w:val="DefaultParagraphFont"/>
    <w:uiPriority w:val="99"/>
    <w:semiHidden/>
    <w:rsid w:val="003654F1"/>
    <w:rPr>
      <w:color w:val="808080"/>
    </w:rPr>
  </w:style>
  <w:style w:type="paragraph" w:customStyle="1" w:styleId="Default">
    <w:name w:val="Default"/>
    <w:rsid w:val="00D846E5"/>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B379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7906"/>
    <w:rPr>
      <w:rFonts w:ascii="Calibri" w:eastAsia="Times New Roman" w:hAnsi="Calibri" w:cs="Mangal"/>
    </w:rPr>
  </w:style>
  <w:style w:type="paragraph" w:styleId="Footer">
    <w:name w:val="footer"/>
    <w:basedOn w:val="Normal"/>
    <w:link w:val="FooterChar"/>
    <w:uiPriority w:val="99"/>
    <w:unhideWhenUsed/>
    <w:rsid w:val="00B379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7906"/>
    <w:rPr>
      <w:rFonts w:ascii="Calibri" w:eastAsia="Times New Roman" w:hAnsi="Calibri" w:cs="Mangal"/>
    </w:rPr>
  </w:style>
  <w:style w:type="character" w:customStyle="1" w:styleId="Heading3Char">
    <w:name w:val="Heading 3 Char"/>
    <w:basedOn w:val="DefaultParagraphFont"/>
    <w:link w:val="Heading3"/>
    <w:uiPriority w:val="9"/>
    <w:rsid w:val="006A711B"/>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D56BB0"/>
    <w:rPr>
      <w:rFonts w:asciiTheme="majorHAnsi" w:eastAsiaTheme="majorEastAsia" w:hAnsiTheme="majorHAnsi" w:cstheme="majorBidi"/>
      <w:b/>
      <w:bCs/>
      <w:i/>
      <w:iCs/>
      <w:color w:val="4F81BD" w:themeColor="accent1"/>
    </w:rPr>
  </w:style>
  <w:style w:type="paragraph" w:styleId="TOC3">
    <w:name w:val="toc 3"/>
    <w:basedOn w:val="Normal"/>
    <w:next w:val="Normal"/>
    <w:autoRedefine/>
    <w:uiPriority w:val="39"/>
    <w:unhideWhenUsed/>
    <w:rsid w:val="00562FA8"/>
    <w:pPr>
      <w:spacing w:after="100"/>
      <w:ind w:left="440"/>
    </w:pPr>
  </w:style>
  <w:style w:type="paragraph" w:styleId="PlainText">
    <w:name w:val="Plain Text"/>
    <w:basedOn w:val="Normal"/>
    <w:link w:val="PlainTextChar"/>
    <w:uiPriority w:val="99"/>
    <w:semiHidden/>
    <w:unhideWhenUsed/>
    <w:rsid w:val="00AB5AEF"/>
    <w:pPr>
      <w:spacing w:after="0" w:line="240" w:lineRule="auto"/>
    </w:pPr>
    <w:rPr>
      <w:rFonts w:ascii="Courier New" w:hAnsi="Courier New" w:cs="Courier New"/>
      <w:sz w:val="20"/>
      <w:szCs w:val="20"/>
    </w:rPr>
  </w:style>
  <w:style w:type="character" w:customStyle="1" w:styleId="PlainTextChar">
    <w:name w:val="Plain Text Char"/>
    <w:basedOn w:val="DefaultParagraphFont"/>
    <w:link w:val="PlainText"/>
    <w:uiPriority w:val="99"/>
    <w:semiHidden/>
    <w:rsid w:val="00AB5AEF"/>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73F4"/>
    <w:rPr>
      <w:rFonts w:ascii="Calibri" w:eastAsia="Times New Roman" w:hAnsi="Calibri" w:cs="Mangal"/>
    </w:rPr>
  </w:style>
  <w:style w:type="paragraph" w:styleId="Heading1">
    <w:name w:val="heading 1"/>
    <w:basedOn w:val="Normal"/>
    <w:next w:val="Normal"/>
    <w:link w:val="Heading1Char"/>
    <w:qFormat/>
    <w:rsid w:val="006E73F4"/>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6E73F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A711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56BB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E73F4"/>
    <w:rPr>
      <w:rFonts w:ascii="Cambria" w:eastAsia="Times New Roman" w:hAnsi="Cambria" w:cs="Mangal"/>
      <w:b/>
      <w:bCs/>
      <w:kern w:val="32"/>
      <w:sz w:val="32"/>
      <w:szCs w:val="32"/>
    </w:rPr>
  </w:style>
  <w:style w:type="character" w:customStyle="1" w:styleId="Heading2Char">
    <w:name w:val="Heading 2 Char"/>
    <w:basedOn w:val="DefaultParagraphFont"/>
    <w:link w:val="Heading2"/>
    <w:uiPriority w:val="9"/>
    <w:rsid w:val="006E73F4"/>
    <w:rPr>
      <w:rFonts w:asciiTheme="majorHAnsi" w:eastAsiaTheme="majorEastAsia" w:hAnsiTheme="majorHAnsi" w:cstheme="majorBidi"/>
      <w:b/>
      <w:bCs/>
      <w:color w:val="4F81BD" w:themeColor="accent1"/>
      <w:sz w:val="26"/>
      <w:szCs w:val="26"/>
    </w:rPr>
  </w:style>
  <w:style w:type="paragraph" w:styleId="FootnoteText">
    <w:name w:val="footnote text"/>
    <w:basedOn w:val="Normal"/>
    <w:link w:val="FootnoteTextChar"/>
    <w:semiHidden/>
    <w:rsid w:val="006E73F4"/>
    <w:pPr>
      <w:spacing w:after="0" w:line="240" w:lineRule="auto"/>
    </w:pPr>
    <w:rPr>
      <w:sz w:val="20"/>
      <w:szCs w:val="20"/>
    </w:rPr>
  </w:style>
  <w:style w:type="character" w:customStyle="1" w:styleId="FootnoteTextChar">
    <w:name w:val="Footnote Text Char"/>
    <w:basedOn w:val="DefaultParagraphFont"/>
    <w:link w:val="FootnoteText"/>
    <w:semiHidden/>
    <w:rsid w:val="006E73F4"/>
    <w:rPr>
      <w:rFonts w:ascii="Calibri" w:eastAsia="Times New Roman" w:hAnsi="Calibri" w:cs="Mangal"/>
      <w:sz w:val="20"/>
      <w:szCs w:val="20"/>
    </w:rPr>
  </w:style>
  <w:style w:type="character" w:styleId="FootnoteReference">
    <w:name w:val="footnote reference"/>
    <w:basedOn w:val="DefaultParagraphFont"/>
    <w:uiPriority w:val="99"/>
    <w:semiHidden/>
    <w:rsid w:val="006E73F4"/>
    <w:rPr>
      <w:rFonts w:cs="Times New Roman"/>
      <w:vertAlign w:val="superscript"/>
    </w:rPr>
  </w:style>
  <w:style w:type="character" w:styleId="Hyperlink">
    <w:name w:val="Hyperlink"/>
    <w:basedOn w:val="DefaultParagraphFont"/>
    <w:uiPriority w:val="99"/>
    <w:rsid w:val="006E73F4"/>
    <w:rPr>
      <w:rFonts w:cs="Times New Roman"/>
      <w:color w:val="0000FF"/>
      <w:u w:val="single"/>
    </w:rPr>
  </w:style>
  <w:style w:type="paragraph" w:styleId="ListParagraph">
    <w:name w:val="List Paragraph"/>
    <w:basedOn w:val="Normal"/>
    <w:uiPriority w:val="34"/>
    <w:qFormat/>
    <w:rsid w:val="006E73F4"/>
    <w:pPr>
      <w:ind w:left="720"/>
      <w:contextualSpacing/>
    </w:pPr>
  </w:style>
  <w:style w:type="paragraph" w:styleId="TOCHeading">
    <w:name w:val="TOC Heading"/>
    <w:basedOn w:val="Heading1"/>
    <w:next w:val="Normal"/>
    <w:uiPriority w:val="39"/>
    <w:unhideWhenUsed/>
    <w:qFormat/>
    <w:rsid w:val="00CC0259"/>
    <w:pPr>
      <w:keepLines/>
      <w:spacing w:before="480" w:after="0"/>
      <w:outlineLvl w:val="9"/>
    </w:pPr>
    <w:rPr>
      <w:rFonts w:asciiTheme="majorHAnsi" w:eastAsiaTheme="majorEastAsia" w:hAnsiTheme="majorHAnsi" w:cstheme="majorBidi"/>
      <w:color w:val="365F91" w:themeColor="accent1" w:themeShade="BF"/>
      <w:kern w:val="0"/>
      <w:sz w:val="28"/>
      <w:szCs w:val="28"/>
    </w:rPr>
  </w:style>
  <w:style w:type="paragraph" w:styleId="TOC1">
    <w:name w:val="toc 1"/>
    <w:basedOn w:val="Normal"/>
    <w:next w:val="Normal"/>
    <w:autoRedefine/>
    <w:uiPriority w:val="39"/>
    <w:unhideWhenUsed/>
    <w:rsid w:val="00CC0259"/>
    <w:pPr>
      <w:spacing w:after="100"/>
    </w:pPr>
  </w:style>
  <w:style w:type="paragraph" w:styleId="TOC2">
    <w:name w:val="toc 2"/>
    <w:basedOn w:val="Normal"/>
    <w:next w:val="Normal"/>
    <w:autoRedefine/>
    <w:uiPriority w:val="39"/>
    <w:unhideWhenUsed/>
    <w:rsid w:val="00CC0259"/>
    <w:pPr>
      <w:spacing w:after="100"/>
      <w:ind w:left="220"/>
    </w:pPr>
  </w:style>
  <w:style w:type="paragraph" w:styleId="BalloonText">
    <w:name w:val="Balloon Text"/>
    <w:basedOn w:val="Normal"/>
    <w:link w:val="BalloonTextChar"/>
    <w:uiPriority w:val="99"/>
    <w:semiHidden/>
    <w:unhideWhenUsed/>
    <w:rsid w:val="00CC02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0259"/>
    <w:rPr>
      <w:rFonts w:ascii="Tahoma" w:eastAsia="Times New Roman" w:hAnsi="Tahoma" w:cs="Tahoma"/>
      <w:sz w:val="16"/>
      <w:szCs w:val="16"/>
    </w:rPr>
  </w:style>
  <w:style w:type="paragraph" w:styleId="Caption">
    <w:name w:val="caption"/>
    <w:basedOn w:val="Normal"/>
    <w:next w:val="Normal"/>
    <w:unhideWhenUsed/>
    <w:qFormat/>
    <w:rsid w:val="00AA770F"/>
    <w:rPr>
      <w:b/>
      <w:bCs/>
      <w:sz w:val="20"/>
      <w:szCs w:val="20"/>
    </w:rPr>
  </w:style>
  <w:style w:type="character" w:styleId="FollowedHyperlink">
    <w:name w:val="FollowedHyperlink"/>
    <w:basedOn w:val="DefaultParagraphFont"/>
    <w:uiPriority w:val="99"/>
    <w:semiHidden/>
    <w:unhideWhenUsed/>
    <w:rsid w:val="006C1977"/>
    <w:rPr>
      <w:color w:val="800080" w:themeColor="followedHyperlink"/>
      <w:u w:val="single"/>
    </w:rPr>
  </w:style>
  <w:style w:type="character" w:styleId="PlaceholderText">
    <w:name w:val="Placeholder Text"/>
    <w:basedOn w:val="DefaultParagraphFont"/>
    <w:uiPriority w:val="99"/>
    <w:semiHidden/>
    <w:rsid w:val="003654F1"/>
    <w:rPr>
      <w:color w:val="808080"/>
    </w:rPr>
  </w:style>
  <w:style w:type="paragraph" w:customStyle="1" w:styleId="Default">
    <w:name w:val="Default"/>
    <w:rsid w:val="00D846E5"/>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B379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7906"/>
    <w:rPr>
      <w:rFonts w:ascii="Calibri" w:eastAsia="Times New Roman" w:hAnsi="Calibri" w:cs="Mangal"/>
    </w:rPr>
  </w:style>
  <w:style w:type="paragraph" w:styleId="Footer">
    <w:name w:val="footer"/>
    <w:basedOn w:val="Normal"/>
    <w:link w:val="FooterChar"/>
    <w:uiPriority w:val="99"/>
    <w:unhideWhenUsed/>
    <w:rsid w:val="00B379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7906"/>
    <w:rPr>
      <w:rFonts w:ascii="Calibri" w:eastAsia="Times New Roman" w:hAnsi="Calibri" w:cs="Mangal"/>
    </w:rPr>
  </w:style>
  <w:style w:type="character" w:customStyle="1" w:styleId="Heading3Char">
    <w:name w:val="Heading 3 Char"/>
    <w:basedOn w:val="DefaultParagraphFont"/>
    <w:link w:val="Heading3"/>
    <w:uiPriority w:val="9"/>
    <w:rsid w:val="006A711B"/>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D56BB0"/>
    <w:rPr>
      <w:rFonts w:asciiTheme="majorHAnsi" w:eastAsiaTheme="majorEastAsia" w:hAnsiTheme="majorHAnsi" w:cstheme="majorBidi"/>
      <w:b/>
      <w:bCs/>
      <w:i/>
      <w:iCs/>
      <w:color w:val="4F81BD" w:themeColor="accent1"/>
    </w:rPr>
  </w:style>
  <w:style w:type="paragraph" w:styleId="TOC3">
    <w:name w:val="toc 3"/>
    <w:basedOn w:val="Normal"/>
    <w:next w:val="Normal"/>
    <w:autoRedefine/>
    <w:uiPriority w:val="39"/>
    <w:unhideWhenUsed/>
    <w:rsid w:val="00562FA8"/>
    <w:pPr>
      <w:spacing w:after="100"/>
      <w:ind w:left="440"/>
    </w:pPr>
  </w:style>
  <w:style w:type="paragraph" w:styleId="PlainText">
    <w:name w:val="Plain Text"/>
    <w:basedOn w:val="Normal"/>
    <w:link w:val="PlainTextChar"/>
    <w:uiPriority w:val="99"/>
    <w:semiHidden/>
    <w:unhideWhenUsed/>
    <w:rsid w:val="00AB5AEF"/>
    <w:pPr>
      <w:spacing w:after="0" w:line="240" w:lineRule="auto"/>
    </w:pPr>
    <w:rPr>
      <w:rFonts w:ascii="Courier New" w:hAnsi="Courier New" w:cs="Courier New"/>
      <w:sz w:val="20"/>
      <w:szCs w:val="20"/>
    </w:rPr>
  </w:style>
  <w:style w:type="character" w:customStyle="1" w:styleId="PlainTextChar">
    <w:name w:val="Plain Text Char"/>
    <w:basedOn w:val="DefaultParagraphFont"/>
    <w:link w:val="PlainText"/>
    <w:uiPriority w:val="99"/>
    <w:semiHidden/>
    <w:rsid w:val="00AB5AEF"/>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51251">
      <w:bodyDiv w:val="1"/>
      <w:marLeft w:val="0"/>
      <w:marRight w:val="0"/>
      <w:marTop w:val="0"/>
      <w:marBottom w:val="0"/>
      <w:divBdr>
        <w:top w:val="none" w:sz="0" w:space="0" w:color="auto"/>
        <w:left w:val="none" w:sz="0" w:space="0" w:color="auto"/>
        <w:bottom w:val="none" w:sz="0" w:space="0" w:color="auto"/>
        <w:right w:val="none" w:sz="0" w:space="0" w:color="auto"/>
      </w:divBdr>
    </w:div>
    <w:div w:id="127482519">
      <w:bodyDiv w:val="1"/>
      <w:marLeft w:val="0"/>
      <w:marRight w:val="0"/>
      <w:marTop w:val="0"/>
      <w:marBottom w:val="0"/>
      <w:divBdr>
        <w:top w:val="none" w:sz="0" w:space="0" w:color="auto"/>
        <w:left w:val="none" w:sz="0" w:space="0" w:color="auto"/>
        <w:bottom w:val="none" w:sz="0" w:space="0" w:color="auto"/>
        <w:right w:val="none" w:sz="0" w:space="0" w:color="auto"/>
      </w:divBdr>
    </w:div>
    <w:div w:id="154077597">
      <w:bodyDiv w:val="1"/>
      <w:marLeft w:val="0"/>
      <w:marRight w:val="0"/>
      <w:marTop w:val="0"/>
      <w:marBottom w:val="0"/>
      <w:divBdr>
        <w:top w:val="none" w:sz="0" w:space="0" w:color="auto"/>
        <w:left w:val="none" w:sz="0" w:space="0" w:color="auto"/>
        <w:bottom w:val="none" w:sz="0" w:space="0" w:color="auto"/>
        <w:right w:val="none" w:sz="0" w:space="0" w:color="auto"/>
      </w:divBdr>
    </w:div>
    <w:div w:id="154730959">
      <w:bodyDiv w:val="1"/>
      <w:marLeft w:val="0"/>
      <w:marRight w:val="0"/>
      <w:marTop w:val="0"/>
      <w:marBottom w:val="0"/>
      <w:divBdr>
        <w:top w:val="none" w:sz="0" w:space="0" w:color="auto"/>
        <w:left w:val="none" w:sz="0" w:space="0" w:color="auto"/>
        <w:bottom w:val="none" w:sz="0" w:space="0" w:color="auto"/>
        <w:right w:val="none" w:sz="0" w:space="0" w:color="auto"/>
      </w:divBdr>
    </w:div>
    <w:div w:id="177891995">
      <w:bodyDiv w:val="1"/>
      <w:marLeft w:val="0"/>
      <w:marRight w:val="0"/>
      <w:marTop w:val="0"/>
      <w:marBottom w:val="0"/>
      <w:divBdr>
        <w:top w:val="none" w:sz="0" w:space="0" w:color="auto"/>
        <w:left w:val="none" w:sz="0" w:space="0" w:color="auto"/>
        <w:bottom w:val="none" w:sz="0" w:space="0" w:color="auto"/>
        <w:right w:val="none" w:sz="0" w:space="0" w:color="auto"/>
      </w:divBdr>
    </w:div>
    <w:div w:id="197549464">
      <w:bodyDiv w:val="1"/>
      <w:marLeft w:val="0"/>
      <w:marRight w:val="0"/>
      <w:marTop w:val="0"/>
      <w:marBottom w:val="0"/>
      <w:divBdr>
        <w:top w:val="none" w:sz="0" w:space="0" w:color="auto"/>
        <w:left w:val="none" w:sz="0" w:space="0" w:color="auto"/>
        <w:bottom w:val="none" w:sz="0" w:space="0" w:color="auto"/>
        <w:right w:val="none" w:sz="0" w:space="0" w:color="auto"/>
      </w:divBdr>
    </w:div>
    <w:div w:id="218827869">
      <w:bodyDiv w:val="1"/>
      <w:marLeft w:val="0"/>
      <w:marRight w:val="0"/>
      <w:marTop w:val="0"/>
      <w:marBottom w:val="0"/>
      <w:divBdr>
        <w:top w:val="none" w:sz="0" w:space="0" w:color="auto"/>
        <w:left w:val="none" w:sz="0" w:space="0" w:color="auto"/>
        <w:bottom w:val="none" w:sz="0" w:space="0" w:color="auto"/>
        <w:right w:val="none" w:sz="0" w:space="0" w:color="auto"/>
      </w:divBdr>
    </w:div>
    <w:div w:id="230039989">
      <w:bodyDiv w:val="1"/>
      <w:marLeft w:val="0"/>
      <w:marRight w:val="0"/>
      <w:marTop w:val="0"/>
      <w:marBottom w:val="0"/>
      <w:divBdr>
        <w:top w:val="none" w:sz="0" w:space="0" w:color="auto"/>
        <w:left w:val="none" w:sz="0" w:space="0" w:color="auto"/>
        <w:bottom w:val="none" w:sz="0" w:space="0" w:color="auto"/>
        <w:right w:val="none" w:sz="0" w:space="0" w:color="auto"/>
      </w:divBdr>
    </w:div>
    <w:div w:id="257718957">
      <w:bodyDiv w:val="1"/>
      <w:marLeft w:val="0"/>
      <w:marRight w:val="0"/>
      <w:marTop w:val="0"/>
      <w:marBottom w:val="0"/>
      <w:divBdr>
        <w:top w:val="none" w:sz="0" w:space="0" w:color="auto"/>
        <w:left w:val="none" w:sz="0" w:space="0" w:color="auto"/>
        <w:bottom w:val="none" w:sz="0" w:space="0" w:color="auto"/>
        <w:right w:val="none" w:sz="0" w:space="0" w:color="auto"/>
      </w:divBdr>
    </w:div>
    <w:div w:id="271204257">
      <w:bodyDiv w:val="1"/>
      <w:marLeft w:val="0"/>
      <w:marRight w:val="0"/>
      <w:marTop w:val="0"/>
      <w:marBottom w:val="0"/>
      <w:divBdr>
        <w:top w:val="none" w:sz="0" w:space="0" w:color="auto"/>
        <w:left w:val="none" w:sz="0" w:space="0" w:color="auto"/>
        <w:bottom w:val="none" w:sz="0" w:space="0" w:color="auto"/>
        <w:right w:val="none" w:sz="0" w:space="0" w:color="auto"/>
      </w:divBdr>
    </w:div>
    <w:div w:id="321786164">
      <w:bodyDiv w:val="1"/>
      <w:marLeft w:val="0"/>
      <w:marRight w:val="0"/>
      <w:marTop w:val="0"/>
      <w:marBottom w:val="0"/>
      <w:divBdr>
        <w:top w:val="none" w:sz="0" w:space="0" w:color="auto"/>
        <w:left w:val="none" w:sz="0" w:space="0" w:color="auto"/>
        <w:bottom w:val="none" w:sz="0" w:space="0" w:color="auto"/>
        <w:right w:val="none" w:sz="0" w:space="0" w:color="auto"/>
      </w:divBdr>
    </w:div>
    <w:div w:id="321855606">
      <w:bodyDiv w:val="1"/>
      <w:marLeft w:val="0"/>
      <w:marRight w:val="0"/>
      <w:marTop w:val="0"/>
      <w:marBottom w:val="0"/>
      <w:divBdr>
        <w:top w:val="none" w:sz="0" w:space="0" w:color="auto"/>
        <w:left w:val="none" w:sz="0" w:space="0" w:color="auto"/>
        <w:bottom w:val="none" w:sz="0" w:space="0" w:color="auto"/>
        <w:right w:val="none" w:sz="0" w:space="0" w:color="auto"/>
      </w:divBdr>
    </w:div>
    <w:div w:id="446579521">
      <w:bodyDiv w:val="1"/>
      <w:marLeft w:val="0"/>
      <w:marRight w:val="0"/>
      <w:marTop w:val="0"/>
      <w:marBottom w:val="0"/>
      <w:divBdr>
        <w:top w:val="none" w:sz="0" w:space="0" w:color="auto"/>
        <w:left w:val="none" w:sz="0" w:space="0" w:color="auto"/>
        <w:bottom w:val="none" w:sz="0" w:space="0" w:color="auto"/>
        <w:right w:val="none" w:sz="0" w:space="0" w:color="auto"/>
      </w:divBdr>
    </w:div>
    <w:div w:id="467356564">
      <w:bodyDiv w:val="1"/>
      <w:marLeft w:val="0"/>
      <w:marRight w:val="0"/>
      <w:marTop w:val="0"/>
      <w:marBottom w:val="0"/>
      <w:divBdr>
        <w:top w:val="none" w:sz="0" w:space="0" w:color="auto"/>
        <w:left w:val="none" w:sz="0" w:space="0" w:color="auto"/>
        <w:bottom w:val="none" w:sz="0" w:space="0" w:color="auto"/>
        <w:right w:val="none" w:sz="0" w:space="0" w:color="auto"/>
      </w:divBdr>
    </w:div>
    <w:div w:id="475684067">
      <w:bodyDiv w:val="1"/>
      <w:marLeft w:val="0"/>
      <w:marRight w:val="0"/>
      <w:marTop w:val="0"/>
      <w:marBottom w:val="0"/>
      <w:divBdr>
        <w:top w:val="none" w:sz="0" w:space="0" w:color="auto"/>
        <w:left w:val="none" w:sz="0" w:space="0" w:color="auto"/>
        <w:bottom w:val="none" w:sz="0" w:space="0" w:color="auto"/>
        <w:right w:val="none" w:sz="0" w:space="0" w:color="auto"/>
      </w:divBdr>
    </w:div>
    <w:div w:id="477767083">
      <w:bodyDiv w:val="1"/>
      <w:marLeft w:val="0"/>
      <w:marRight w:val="0"/>
      <w:marTop w:val="0"/>
      <w:marBottom w:val="0"/>
      <w:divBdr>
        <w:top w:val="none" w:sz="0" w:space="0" w:color="auto"/>
        <w:left w:val="none" w:sz="0" w:space="0" w:color="auto"/>
        <w:bottom w:val="none" w:sz="0" w:space="0" w:color="auto"/>
        <w:right w:val="none" w:sz="0" w:space="0" w:color="auto"/>
      </w:divBdr>
    </w:div>
    <w:div w:id="505753472">
      <w:bodyDiv w:val="1"/>
      <w:marLeft w:val="0"/>
      <w:marRight w:val="0"/>
      <w:marTop w:val="0"/>
      <w:marBottom w:val="0"/>
      <w:divBdr>
        <w:top w:val="none" w:sz="0" w:space="0" w:color="auto"/>
        <w:left w:val="none" w:sz="0" w:space="0" w:color="auto"/>
        <w:bottom w:val="none" w:sz="0" w:space="0" w:color="auto"/>
        <w:right w:val="none" w:sz="0" w:space="0" w:color="auto"/>
      </w:divBdr>
    </w:div>
    <w:div w:id="519663091">
      <w:bodyDiv w:val="1"/>
      <w:marLeft w:val="0"/>
      <w:marRight w:val="0"/>
      <w:marTop w:val="0"/>
      <w:marBottom w:val="0"/>
      <w:divBdr>
        <w:top w:val="none" w:sz="0" w:space="0" w:color="auto"/>
        <w:left w:val="none" w:sz="0" w:space="0" w:color="auto"/>
        <w:bottom w:val="none" w:sz="0" w:space="0" w:color="auto"/>
        <w:right w:val="none" w:sz="0" w:space="0" w:color="auto"/>
      </w:divBdr>
    </w:div>
    <w:div w:id="520239150">
      <w:bodyDiv w:val="1"/>
      <w:marLeft w:val="0"/>
      <w:marRight w:val="0"/>
      <w:marTop w:val="0"/>
      <w:marBottom w:val="0"/>
      <w:divBdr>
        <w:top w:val="none" w:sz="0" w:space="0" w:color="auto"/>
        <w:left w:val="none" w:sz="0" w:space="0" w:color="auto"/>
        <w:bottom w:val="none" w:sz="0" w:space="0" w:color="auto"/>
        <w:right w:val="none" w:sz="0" w:space="0" w:color="auto"/>
      </w:divBdr>
    </w:div>
    <w:div w:id="549145590">
      <w:bodyDiv w:val="1"/>
      <w:marLeft w:val="0"/>
      <w:marRight w:val="0"/>
      <w:marTop w:val="0"/>
      <w:marBottom w:val="0"/>
      <w:divBdr>
        <w:top w:val="none" w:sz="0" w:space="0" w:color="auto"/>
        <w:left w:val="none" w:sz="0" w:space="0" w:color="auto"/>
        <w:bottom w:val="none" w:sz="0" w:space="0" w:color="auto"/>
        <w:right w:val="none" w:sz="0" w:space="0" w:color="auto"/>
      </w:divBdr>
    </w:div>
    <w:div w:id="572398513">
      <w:bodyDiv w:val="1"/>
      <w:marLeft w:val="0"/>
      <w:marRight w:val="0"/>
      <w:marTop w:val="0"/>
      <w:marBottom w:val="0"/>
      <w:divBdr>
        <w:top w:val="none" w:sz="0" w:space="0" w:color="auto"/>
        <w:left w:val="none" w:sz="0" w:space="0" w:color="auto"/>
        <w:bottom w:val="none" w:sz="0" w:space="0" w:color="auto"/>
        <w:right w:val="none" w:sz="0" w:space="0" w:color="auto"/>
      </w:divBdr>
    </w:div>
    <w:div w:id="573592525">
      <w:bodyDiv w:val="1"/>
      <w:marLeft w:val="0"/>
      <w:marRight w:val="0"/>
      <w:marTop w:val="0"/>
      <w:marBottom w:val="0"/>
      <w:divBdr>
        <w:top w:val="none" w:sz="0" w:space="0" w:color="auto"/>
        <w:left w:val="none" w:sz="0" w:space="0" w:color="auto"/>
        <w:bottom w:val="none" w:sz="0" w:space="0" w:color="auto"/>
        <w:right w:val="none" w:sz="0" w:space="0" w:color="auto"/>
      </w:divBdr>
    </w:div>
    <w:div w:id="694966366">
      <w:bodyDiv w:val="1"/>
      <w:marLeft w:val="0"/>
      <w:marRight w:val="0"/>
      <w:marTop w:val="0"/>
      <w:marBottom w:val="0"/>
      <w:divBdr>
        <w:top w:val="none" w:sz="0" w:space="0" w:color="auto"/>
        <w:left w:val="none" w:sz="0" w:space="0" w:color="auto"/>
        <w:bottom w:val="none" w:sz="0" w:space="0" w:color="auto"/>
        <w:right w:val="none" w:sz="0" w:space="0" w:color="auto"/>
      </w:divBdr>
    </w:div>
    <w:div w:id="803157649">
      <w:bodyDiv w:val="1"/>
      <w:marLeft w:val="0"/>
      <w:marRight w:val="0"/>
      <w:marTop w:val="0"/>
      <w:marBottom w:val="0"/>
      <w:divBdr>
        <w:top w:val="none" w:sz="0" w:space="0" w:color="auto"/>
        <w:left w:val="none" w:sz="0" w:space="0" w:color="auto"/>
        <w:bottom w:val="none" w:sz="0" w:space="0" w:color="auto"/>
        <w:right w:val="none" w:sz="0" w:space="0" w:color="auto"/>
      </w:divBdr>
    </w:div>
    <w:div w:id="816994384">
      <w:bodyDiv w:val="1"/>
      <w:marLeft w:val="0"/>
      <w:marRight w:val="0"/>
      <w:marTop w:val="0"/>
      <w:marBottom w:val="0"/>
      <w:divBdr>
        <w:top w:val="none" w:sz="0" w:space="0" w:color="auto"/>
        <w:left w:val="none" w:sz="0" w:space="0" w:color="auto"/>
        <w:bottom w:val="none" w:sz="0" w:space="0" w:color="auto"/>
        <w:right w:val="none" w:sz="0" w:space="0" w:color="auto"/>
      </w:divBdr>
    </w:div>
    <w:div w:id="818813601">
      <w:bodyDiv w:val="1"/>
      <w:marLeft w:val="0"/>
      <w:marRight w:val="0"/>
      <w:marTop w:val="0"/>
      <w:marBottom w:val="0"/>
      <w:divBdr>
        <w:top w:val="none" w:sz="0" w:space="0" w:color="auto"/>
        <w:left w:val="none" w:sz="0" w:space="0" w:color="auto"/>
        <w:bottom w:val="none" w:sz="0" w:space="0" w:color="auto"/>
        <w:right w:val="none" w:sz="0" w:space="0" w:color="auto"/>
      </w:divBdr>
    </w:div>
    <w:div w:id="832374255">
      <w:bodyDiv w:val="1"/>
      <w:marLeft w:val="0"/>
      <w:marRight w:val="0"/>
      <w:marTop w:val="0"/>
      <w:marBottom w:val="0"/>
      <w:divBdr>
        <w:top w:val="none" w:sz="0" w:space="0" w:color="auto"/>
        <w:left w:val="none" w:sz="0" w:space="0" w:color="auto"/>
        <w:bottom w:val="none" w:sz="0" w:space="0" w:color="auto"/>
        <w:right w:val="none" w:sz="0" w:space="0" w:color="auto"/>
      </w:divBdr>
    </w:div>
    <w:div w:id="918755842">
      <w:bodyDiv w:val="1"/>
      <w:marLeft w:val="0"/>
      <w:marRight w:val="0"/>
      <w:marTop w:val="0"/>
      <w:marBottom w:val="0"/>
      <w:divBdr>
        <w:top w:val="none" w:sz="0" w:space="0" w:color="auto"/>
        <w:left w:val="none" w:sz="0" w:space="0" w:color="auto"/>
        <w:bottom w:val="none" w:sz="0" w:space="0" w:color="auto"/>
        <w:right w:val="none" w:sz="0" w:space="0" w:color="auto"/>
      </w:divBdr>
    </w:div>
    <w:div w:id="920218577">
      <w:bodyDiv w:val="1"/>
      <w:marLeft w:val="0"/>
      <w:marRight w:val="0"/>
      <w:marTop w:val="0"/>
      <w:marBottom w:val="0"/>
      <w:divBdr>
        <w:top w:val="none" w:sz="0" w:space="0" w:color="auto"/>
        <w:left w:val="none" w:sz="0" w:space="0" w:color="auto"/>
        <w:bottom w:val="none" w:sz="0" w:space="0" w:color="auto"/>
        <w:right w:val="none" w:sz="0" w:space="0" w:color="auto"/>
      </w:divBdr>
    </w:div>
    <w:div w:id="927887059">
      <w:bodyDiv w:val="1"/>
      <w:marLeft w:val="0"/>
      <w:marRight w:val="0"/>
      <w:marTop w:val="0"/>
      <w:marBottom w:val="0"/>
      <w:divBdr>
        <w:top w:val="none" w:sz="0" w:space="0" w:color="auto"/>
        <w:left w:val="none" w:sz="0" w:space="0" w:color="auto"/>
        <w:bottom w:val="none" w:sz="0" w:space="0" w:color="auto"/>
        <w:right w:val="none" w:sz="0" w:space="0" w:color="auto"/>
      </w:divBdr>
    </w:div>
    <w:div w:id="965159007">
      <w:bodyDiv w:val="1"/>
      <w:marLeft w:val="0"/>
      <w:marRight w:val="0"/>
      <w:marTop w:val="0"/>
      <w:marBottom w:val="0"/>
      <w:divBdr>
        <w:top w:val="none" w:sz="0" w:space="0" w:color="auto"/>
        <w:left w:val="none" w:sz="0" w:space="0" w:color="auto"/>
        <w:bottom w:val="none" w:sz="0" w:space="0" w:color="auto"/>
        <w:right w:val="none" w:sz="0" w:space="0" w:color="auto"/>
      </w:divBdr>
    </w:div>
    <w:div w:id="1010065998">
      <w:bodyDiv w:val="1"/>
      <w:marLeft w:val="0"/>
      <w:marRight w:val="0"/>
      <w:marTop w:val="0"/>
      <w:marBottom w:val="0"/>
      <w:divBdr>
        <w:top w:val="none" w:sz="0" w:space="0" w:color="auto"/>
        <w:left w:val="none" w:sz="0" w:space="0" w:color="auto"/>
        <w:bottom w:val="none" w:sz="0" w:space="0" w:color="auto"/>
        <w:right w:val="none" w:sz="0" w:space="0" w:color="auto"/>
      </w:divBdr>
    </w:div>
    <w:div w:id="1011375497">
      <w:bodyDiv w:val="1"/>
      <w:marLeft w:val="0"/>
      <w:marRight w:val="0"/>
      <w:marTop w:val="0"/>
      <w:marBottom w:val="0"/>
      <w:divBdr>
        <w:top w:val="none" w:sz="0" w:space="0" w:color="auto"/>
        <w:left w:val="none" w:sz="0" w:space="0" w:color="auto"/>
        <w:bottom w:val="none" w:sz="0" w:space="0" w:color="auto"/>
        <w:right w:val="none" w:sz="0" w:space="0" w:color="auto"/>
      </w:divBdr>
    </w:div>
    <w:div w:id="1026373419">
      <w:bodyDiv w:val="1"/>
      <w:marLeft w:val="0"/>
      <w:marRight w:val="0"/>
      <w:marTop w:val="0"/>
      <w:marBottom w:val="0"/>
      <w:divBdr>
        <w:top w:val="none" w:sz="0" w:space="0" w:color="auto"/>
        <w:left w:val="none" w:sz="0" w:space="0" w:color="auto"/>
        <w:bottom w:val="none" w:sz="0" w:space="0" w:color="auto"/>
        <w:right w:val="none" w:sz="0" w:space="0" w:color="auto"/>
      </w:divBdr>
    </w:div>
    <w:div w:id="1049918762">
      <w:bodyDiv w:val="1"/>
      <w:marLeft w:val="0"/>
      <w:marRight w:val="0"/>
      <w:marTop w:val="0"/>
      <w:marBottom w:val="0"/>
      <w:divBdr>
        <w:top w:val="none" w:sz="0" w:space="0" w:color="auto"/>
        <w:left w:val="none" w:sz="0" w:space="0" w:color="auto"/>
        <w:bottom w:val="none" w:sz="0" w:space="0" w:color="auto"/>
        <w:right w:val="none" w:sz="0" w:space="0" w:color="auto"/>
      </w:divBdr>
    </w:div>
    <w:div w:id="1093864075">
      <w:bodyDiv w:val="1"/>
      <w:marLeft w:val="0"/>
      <w:marRight w:val="0"/>
      <w:marTop w:val="0"/>
      <w:marBottom w:val="0"/>
      <w:divBdr>
        <w:top w:val="none" w:sz="0" w:space="0" w:color="auto"/>
        <w:left w:val="none" w:sz="0" w:space="0" w:color="auto"/>
        <w:bottom w:val="none" w:sz="0" w:space="0" w:color="auto"/>
        <w:right w:val="none" w:sz="0" w:space="0" w:color="auto"/>
      </w:divBdr>
    </w:div>
    <w:div w:id="1122724382">
      <w:bodyDiv w:val="1"/>
      <w:marLeft w:val="0"/>
      <w:marRight w:val="0"/>
      <w:marTop w:val="0"/>
      <w:marBottom w:val="0"/>
      <w:divBdr>
        <w:top w:val="none" w:sz="0" w:space="0" w:color="auto"/>
        <w:left w:val="none" w:sz="0" w:space="0" w:color="auto"/>
        <w:bottom w:val="none" w:sz="0" w:space="0" w:color="auto"/>
        <w:right w:val="none" w:sz="0" w:space="0" w:color="auto"/>
      </w:divBdr>
    </w:div>
    <w:div w:id="1167867618">
      <w:bodyDiv w:val="1"/>
      <w:marLeft w:val="0"/>
      <w:marRight w:val="0"/>
      <w:marTop w:val="0"/>
      <w:marBottom w:val="0"/>
      <w:divBdr>
        <w:top w:val="none" w:sz="0" w:space="0" w:color="auto"/>
        <w:left w:val="none" w:sz="0" w:space="0" w:color="auto"/>
        <w:bottom w:val="none" w:sz="0" w:space="0" w:color="auto"/>
        <w:right w:val="none" w:sz="0" w:space="0" w:color="auto"/>
      </w:divBdr>
    </w:div>
    <w:div w:id="1182207365">
      <w:bodyDiv w:val="1"/>
      <w:marLeft w:val="0"/>
      <w:marRight w:val="0"/>
      <w:marTop w:val="0"/>
      <w:marBottom w:val="0"/>
      <w:divBdr>
        <w:top w:val="none" w:sz="0" w:space="0" w:color="auto"/>
        <w:left w:val="none" w:sz="0" w:space="0" w:color="auto"/>
        <w:bottom w:val="none" w:sz="0" w:space="0" w:color="auto"/>
        <w:right w:val="none" w:sz="0" w:space="0" w:color="auto"/>
      </w:divBdr>
    </w:div>
    <w:div w:id="1184247163">
      <w:bodyDiv w:val="1"/>
      <w:marLeft w:val="0"/>
      <w:marRight w:val="0"/>
      <w:marTop w:val="0"/>
      <w:marBottom w:val="0"/>
      <w:divBdr>
        <w:top w:val="none" w:sz="0" w:space="0" w:color="auto"/>
        <w:left w:val="none" w:sz="0" w:space="0" w:color="auto"/>
        <w:bottom w:val="none" w:sz="0" w:space="0" w:color="auto"/>
        <w:right w:val="none" w:sz="0" w:space="0" w:color="auto"/>
      </w:divBdr>
    </w:div>
    <w:div w:id="1222474856">
      <w:bodyDiv w:val="1"/>
      <w:marLeft w:val="0"/>
      <w:marRight w:val="0"/>
      <w:marTop w:val="0"/>
      <w:marBottom w:val="0"/>
      <w:divBdr>
        <w:top w:val="none" w:sz="0" w:space="0" w:color="auto"/>
        <w:left w:val="none" w:sz="0" w:space="0" w:color="auto"/>
        <w:bottom w:val="none" w:sz="0" w:space="0" w:color="auto"/>
        <w:right w:val="none" w:sz="0" w:space="0" w:color="auto"/>
      </w:divBdr>
    </w:div>
    <w:div w:id="1312439294">
      <w:bodyDiv w:val="1"/>
      <w:marLeft w:val="0"/>
      <w:marRight w:val="0"/>
      <w:marTop w:val="0"/>
      <w:marBottom w:val="0"/>
      <w:divBdr>
        <w:top w:val="none" w:sz="0" w:space="0" w:color="auto"/>
        <w:left w:val="none" w:sz="0" w:space="0" w:color="auto"/>
        <w:bottom w:val="none" w:sz="0" w:space="0" w:color="auto"/>
        <w:right w:val="none" w:sz="0" w:space="0" w:color="auto"/>
      </w:divBdr>
    </w:div>
    <w:div w:id="1342468213">
      <w:bodyDiv w:val="1"/>
      <w:marLeft w:val="0"/>
      <w:marRight w:val="0"/>
      <w:marTop w:val="0"/>
      <w:marBottom w:val="0"/>
      <w:divBdr>
        <w:top w:val="none" w:sz="0" w:space="0" w:color="auto"/>
        <w:left w:val="none" w:sz="0" w:space="0" w:color="auto"/>
        <w:bottom w:val="none" w:sz="0" w:space="0" w:color="auto"/>
        <w:right w:val="none" w:sz="0" w:space="0" w:color="auto"/>
      </w:divBdr>
    </w:div>
    <w:div w:id="1361473997">
      <w:bodyDiv w:val="1"/>
      <w:marLeft w:val="0"/>
      <w:marRight w:val="0"/>
      <w:marTop w:val="0"/>
      <w:marBottom w:val="0"/>
      <w:divBdr>
        <w:top w:val="none" w:sz="0" w:space="0" w:color="auto"/>
        <w:left w:val="none" w:sz="0" w:space="0" w:color="auto"/>
        <w:bottom w:val="none" w:sz="0" w:space="0" w:color="auto"/>
        <w:right w:val="none" w:sz="0" w:space="0" w:color="auto"/>
      </w:divBdr>
    </w:div>
    <w:div w:id="1452168140">
      <w:bodyDiv w:val="1"/>
      <w:marLeft w:val="0"/>
      <w:marRight w:val="0"/>
      <w:marTop w:val="0"/>
      <w:marBottom w:val="0"/>
      <w:divBdr>
        <w:top w:val="none" w:sz="0" w:space="0" w:color="auto"/>
        <w:left w:val="none" w:sz="0" w:space="0" w:color="auto"/>
        <w:bottom w:val="none" w:sz="0" w:space="0" w:color="auto"/>
        <w:right w:val="none" w:sz="0" w:space="0" w:color="auto"/>
      </w:divBdr>
    </w:div>
    <w:div w:id="1482113339">
      <w:bodyDiv w:val="1"/>
      <w:marLeft w:val="0"/>
      <w:marRight w:val="0"/>
      <w:marTop w:val="0"/>
      <w:marBottom w:val="0"/>
      <w:divBdr>
        <w:top w:val="none" w:sz="0" w:space="0" w:color="auto"/>
        <w:left w:val="none" w:sz="0" w:space="0" w:color="auto"/>
        <w:bottom w:val="none" w:sz="0" w:space="0" w:color="auto"/>
        <w:right w:val="none" w:sz="0" w:space="0" w:color="auto"/>
      </w:divBdr>
    </w:div>
    <w:div w:id="1485777621">
      <w:bodyDiv w:val="1"/>
      <w:marLeft w:val="0"/>
      <w:marRight w:val="0"/>
      <w:marTop w:val="0"/>
      <w:marBottom w:val="0"/>
      <w:divBdr>
        <w:top w:val="none" w:sz="0" w:space="0" w:color="auto"/>
        <w:left w:val="none" w:sz="0" w:space="0" w:color="auto"/>
        <w:bottom w:val="none" w:sz="0" w:space="0" w:color="auto"/>
        <w:right w:val="none" w:sz="0" w:space="0" w:color="auto"/>
      </w:divBdr>
    </w:div>
    <w:div w:id="1490251563">
      <w:bodyDiv w:val="1"/>
      <w:marLeft w:val="0"/>
      <w:marRight w:val="0"/>
      <w:marTop w:val="0"/>
      <w:marBottom w:val="0"/>
      <w:divBdr>
        <w:top w:val="none" w:sz="0" w:space="0" w:color="auto"/>
        <w:left w:val="none" w:sz="0" w:space="0" w:color="auto"/>
        <w:bottom w:val="none" w:sz="0" w:space="0" w:color="auto"/>
        <w:right w:val="none" w:sz="0" w:space="0" w:color="auto"/>
      </w:divBdr>
    </w:div>
    <w:div w:id="1584993725">
      <w:bodyDiv w:val="1"/>
      <w:marLeft w:val="0"/>
      <w:marRight w:val="0"/>
      <w:marTop w:val="0"/>
      <w:marBottom w:val="0"/>
      <w:divBdr>
        <w:top w:val="none" w:sz="0" w:space="0" w:color="auto"/>
        <w:left w:val="none" w:sz="0" w:space="0" w:color="auto"/>
        <w:bottom w:val="none" w:sz="0" w:space="0" w:color="auto"/>
        <w:right w:val="none" w:sz="0" w:space="0" w:color="auto"/>
      </w:divBdr>
    </w:div>
    <w:div w:id="1616861647">
      <w:bodyDiv w:val="1"/>
      <w:marLeft w:val="0"/>
      <w:marRight w:val="0"/>
      <w:marTop w:val="0"/>
      <w:marBottom w:val="0"/>
      <w:divBdr>
        <w:top w:val="none" w:sz="0" w:space="0" w:color="auto"/>
        <w:left w:val="none" w:sz="0" w:space="0" w:color="auto"/>
        <w:bottom w:val="none" w:sz="0" w:space="0" w:color="auto"/>
        <w:right w:val="none" w:sz="0" w:space="0" w:color="auto"/>
      </w:divBdr>
    </w:div>
    <w:div w:id="1694726332">
      <w:bodyDiv w:val="1"/>
      <w:marLeft w:val="0"/>
      <w:marRight w:val="0"/>
      <w:marTop w:val="0"/>
      <w:marBottom w:val="0"/>
      <w:divBdr>
        <w:top w:val="none" w:sz="0" w:space="0" w:color="auto"/>
        <w:left w:val="none" w:sz="0" w:space="0" w:color="auto"/>
        <w:bottom w:val="none" w:sz="0" w:space="0" w:color="auto"/>
        <w:right w:val="none" w:sz="0" w:space="0" w:color="auto"/>
      </w:divBdr>
    </w:div>
    <w:div w:id="1737194369">
      <w:bodyDiv w:val="1"/>
      <w:marLeft w:val="0"/>
      <w:marRight w:val="0"/>
      <w:marTop w:val="0"/>
      <w:marBottom w:val="0"/>
      <w:divBdr>
        <w:top w:val="none" w:sz="0" w:space="0" w:color="auto"/>
        <w:left w:val="none" w:sz="0" w:space="0" w:color="auto"/>
        <w:bottom w:val="none" w:sz="0" w:space="0" w:color="auto"/>
        <w:right w:val="none" w:sz="0" w:space="0" w:color="auto"/>
      </w:divBdr>
    </w:div>
    <w:div w:id="1776629901">
      <w:bodyDiv w:val="1"/>
      <w:marLeft w:val="0"/>
      <w:marRight w:val="0"/>
      <w:marTop w:val="0"/>
      <w:marBottom w:val="0"/>
      <w:divBdr>
        <w:top w:val="none" w:sz="0" w:space="0" w:color="auto"/>
        <w:left w:val="none" w:sz="0" w:space="0" w:color="auto"/>
        <w:bottom w:val="none" w:sz="0" w:space="0" w:color="auto"/>
        <w:right w:val="none" w:sz="0" w:space="0" w:color="auto"/>
      </w:divBdr>
    </w:div>
    <w:div w:id="1792018808">
      <w:bodyDiv w:val="1"/>
      <w:marLeft w:val="0"/>
      <w:marRight w:val="0"/>
      <w:marTop w:val="0"/>
      <w:marBottom w:val="0"/>
      <w:divBdr>
        <w:top w:val="none" w:sz="0" w:space="0" w:color="auto"/>
        <w:left w:val="none" w:sz="0" w:space="0" w:color="auto"/>
        <w:bottom w:val="none" w:sz="0" w:space="0" w:color="auto"/>
        <w:right w:val="none" w:sz="0" w:space="0" w:color="auto"/>
      </w:divBdr>
    </w:div>
    <w:div w:id="1804887725">
      <w:bodyDiv w:val="1"/>
      <w:marLeft w:val="0"/>
      <w:marRight w:val="0"/>
      <w:marTop w:val="0"/>
      <w:marBottom w:val="0"/>
      <w:divBdr>
        <w:top w:val="none" w:sz="0" w:space="0" w:color="auto"/>
        <w:left w:val="none" w:sz="0" w:space="0" w:color="auto"/>
        <w:bottom w:val="none" w:sz="0" w:space="0" w:color="auto"/>
        <w:right w:val="none" w:sz="0" w:space="0" w:color="auto"/>
      </w:divBdr>
    </w:div>
    <w:div w:id="1820144723">
      <w:bodyDiv w:val="1"/>
      <w:marLeft w:val="0"/>
      <w:marRight w:val="0"/>
      <w:marTop w:val="0"/>
      <w:marBottom w:val="0"/>
      <w:divBdr>
        <w:top w:val="none" w:sz="0" w:space="0" w:color="auto"/>
        <w:left w:val="none" w:sz="0" w:space="0" w:color="auto"/>
        <w:bottom w:val="none" w:sz="0" w:space="0" w:color="auto"/>
        <w:right w:val="none" w:sz="0" w:space="0" w:color="auto"/>
      </w:divBdr>
    </w:div>
    <w:div w:id="1824589755">
      <w:bodyDiv w:val="1"/>
      <w:marLeft w:val="0"/>
      <w:marRight w:val="0"/>
      <w:marTop w:val="0"/>
      <w:marBottom w:val="0"/>
      <w:divBdr>
        <w:top w:val="none" w:sz="0" w:space="0" w:color="auto"/>
        <w:left w:val="none" w:sz="0" w:space="0" w:color="auto"/>
        <w:bottom w:val="none" w:sz="0" w:space="0" w:color="auto"/>
        <w:right w:val="none" w:sz="0" w:space="0" w:color="auto"/>
      </w:divBdr>
    </w:div>
    <w:div w:id="1842118444">
      <w:bodyDiv w:val="1"/>
      <w:marLeft w:val="0"/>
      <w:marRight w:val="0"/>
      <w:marTop w:val="0"/>
      <w:marBottom w:val="0"/>
      <w:divBdr>
        <w:top w:val="none" w:sz="0" w:space="0" w:color="auto"/>
        <w:left w:val="none" w:sz="0" w:space="0" w:color="auto"/>
        <w:bottom w:val="none" w:sz="0" w:space="0" w:color="auto"/>
        <w:right w:val="none" w:sz="0" w:space="0" w:color="auto"/>
      </w:divBdr>
    </w:div>
    <w:div w:id="1858231066">
      <w:bodyDiv w:val="1"/>
      <w:marLeft w:val="0"/>
      <w:marRight w:val="0"/>
      <w:marTop w:val="0"/>
      <w:marBottom w:val="0"/>
      <w:divBdr>
        <w:top w:val="none" w:sz="0" w:space="0" w:color="auto"/>
        <w:left w:val="none" w:sz="0" w:space="0" w:color="auto"/>
        <w:bottom w:val="none" w:sz="0" w:space="0" w:color="auto"/>
        <w:right w:val="none" w:sz="0" w:space="0" w:color="auto"/>
      </w:divBdr>
    </w:div>
    <w:div w:id="1918053978">
      <w:bodyDiv w:val="1"/>
      <w:marLeft w:val="0"/>
      <w:marRight w:val="0"/>
      <w:marTop w:val="0"/>
      <w:marBottom w:val="0"/>
      <w:divBdr>
        <w:top w:val="none" w:sz="0" w:space="0" w:color="auto"/>
        <w:left w:val="none" w:sz="0" w:space="0" w:color="auto"/>
        <w:bottom w:val="none" w:sz="0" w:space="0" w:color="auto"/>
        <w:right w:val="none" w:sz="0" w:space="0" w:color="auto"/>
      </w:divBdr>
    </w:div>
    <w:div w:id="1926458436">
      <w:bodyDiv w:val="1"/>
      <w:marLeft w:val="0"/>
      <w:marRight w:val="0"/>
      <w:marTop w:val="0"/>
      <w:marBottom w:val="0"/>
      <w:divBdr>
        <w:top w:val="none" w:sz="0" w:space="0" w:color="auto"/>
        <w:left w:val="none" w:sz="0" w:space="0" w:color="auto"/>
        <w:bottom w:val="none" w:sz="0" w:space="0" w:color="auto"/>
        <w:right w:val="none" w:sz="0" w:space="0" w:color="auto"/>
      </w:divBdr>
    </w:div>
    <w:div w:id="1927224339">
      <w:bodyDiv w:val="1"/>
      <w:marLeft w:val="0"/>
      <w:marRight w:val="0"/>
      <w:marTop w:val="0"/>
      <w:marBottom w:val="0"/>
      <w:divBdr>
        <w:top w:val="none" w:sz="0" w:space="0" w:color="auto"/>
        <w:left w:val="none" w:sz="0" w:space="0" w:color="auto"/>
        <w:bottom w:val="none" w:sz="0" w:space="0" w:color="auto"/>
        <w:right w:val="none" w:sz="0" w:space="0" w:color="auto"/>
      </w:divBdr>
    </w:div>
    <w:div w:id="1935480036">
      <w:bodyDiv w:val="1"/>
      <w:marLeft w:val="0"/>
      <w:marRight w:val="0"/>
      <w:marTop w:val="0"/>
      <w:marBottom w:val="0"/>
      <w:divBdr>
        <w:top w:val="none" w:sz="0" w:space="0" w:color="auto"/>
        <w:left w:val="none" w:sz="0" w:space="0" w:color="auto"/>
        <w:bottom w:val="none" w:sz="0" w:space="0" w:color="auto"/>
        <w:right w:val="none" w:sz="0" w:space="0" w:color="auto"/>
      </w:divBdr>
    </w:div>
    <w:div w:id="1942225790">
      <w:bodyDiv w:val="1"/>
      <w:marLeft w:val="0"/>
      <w:marRight w:val="0"/>
      <w:marTop w:val="0"/>
      <w:marBottom w:val="0"/>
      <w:divBdr>
        <w:top w:val="none" w:sz="0" w:space="0" w:color="auto"/>
        <w:left w:val="none" w:sz="0" w:space="0" w:color="auto"/>
        <w:bottom w:val="none" w:sz="0" w:space="0" w:color="auto"/>
        <w:right w:val="none" w:sz="0" w:space="0" w:color="auto"/>
      </w:divBdr>
    </w:div>
    <w:div w:id="2004428445">
      <w:bodyDiv w:val="1"/>
      <w:marLeft w:val="0"/>
      <w:marRight w:val="0"/>
      <w:marTop w:val="0"/>
      <w:marBottom w:val="0"/>
      <w:divBdr>
        <w:top w:val="none" w:sz="0" w:space="0" w:color="auto"/>
        <w:left w:val="none" w:sz="0" w:space="0" w:color="auto"/>
        <w:bottom w:val="none" w:sz="0" w:space="0" w:color="auto"/>
        <w:right w:val="none" w:sz="0" w:space="0" w:color="auto"/>
      </w:divBdr>
    </w:div>
    <w:div w:id="2056082777">
      <w:bodyDiv w:val="1"/>
      <w:marLeft w:val="0"/>
      <w:marRight w:val="0"/>
      <w:marTop w:val="0"/>
      <w:marBottom w:val="0"/>
      <w:divBdr>
        <w:top w:val="none" w:sz="0" w:space="0" w:color="auto"/>
        <w:left w:val="none" w:sz="0" w:space="0" w:color="auto"/>
        <w:bottom w:val="none" w:sz="0" w:space="0" w:color="auto"/>
        <w:right w:val="none" w:sz="0" w:space="0" w:color="auto"/>
      </w:divBdr>
    </w:div>
    <w:div w:id="2061399787">
      <w:bodyDiv w:val="1"/>
      <w:marLeft w:val="0"/>
      <w:marRight w:val="0"/>
      <w:marTop w:val="0"/>
      <w:marBottom w:val="0"/>
      <w:divBdr>
        <w:top w:val="none" w:sz="0" w:space="0" w:color="auto"/>
        <w:left w:val="none" w:sz="0" w:space="0" w:color="auto"/>
        <w:bottom w:val="none" w:sz="0" w:space="0" w:color="auto"/>
        <w:right w:val="none" w:sz="0" w:space="0" w:color="auto"/>
      </w:divBdr>
    </w:div>
    <w:div w:id="2092239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mailto:sankarshanb@iimb.ernet.in" TargetMode="External"/><Relationship Id="rId2" Type="http://schemas.openxmlformats.org/officeDocument/2006/relationships/hyperlink" Target="mailto:vandanarao.a@gmail.com" TargetMode="External"/><Relationship Id="rId1" Type="http://schemas.openxmlformats.org/officeDocument/2006/relationships/hyperlink" Target="mailto:vandana.rao08@iimb.ernet.in" TargetMode="External"/><Relationship Id="rId4" Type="http://schemas.openxmlformats.org/officeDocument/2006/relationships/hyperlink" Target="http://www.value-at-risk.net/backtesting-coverage-tes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259EC3-A6BB-42E7-A2C1-BA7EBDB5A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6646</Words>
  <Characters>37884</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naren</dc:creator>
  <cp:lastModifiedBy>Edith Nicodemus</cp:lastModifiedBy>
  <cp:revision>2</cp:revision>
  <cp:lastPrinted>2016-01-08T18:59:00Z</cp:lastPrinted>
  <dcterms:created xsi:type="dcterms:W3CDTF">2017-06-29T01:29:00Z</dcterms:created>
  <dcterms:modified xsi:type="dcterms:W3CDTF">2017-06-29T01:29:00Z</dcterms:modified>
</cp:coreProperties>
</file>