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2525D" w14:textId="77777777" w:rsidR="00D95302" w:rsidRPr="00182FB1" w:rsidRDefault="00D95302" w:rsidP="00D95302">
      <w:pPr>
        <w:spacing w:after="0" w:line="260" w:lineRule="exact"/>
        <w:jc w:val="right"/>
        <w:rPr>
          <w:rStyle w:val="Heading1Char"/>
          <w:rFonts w:eastAsiaTheme="minorEastAsia"/>
          <w:sz w:val="16"/>
          <w:szCs w:val="16"/>
          <w:lang w:eastAsia="zh-HK"/>
        </w:rPr>
      </w:pPr>
      <w:bookmarkStart w:id="0" w:name="_GoBack"/>
      <w:bookmarkEnd w:id="0"/>
    </w:p>
    <w:p w14:paraId="74F09B39" w14:textId="432A2A2D" w:rsidR="007936F2" w:rsidRDefault="007936F2" w:rsidP="00A701C5">
      <w:pPr>
        <w:spacing w:after="0" w:line="260" w:lineRule="exact"/>
        <w:jc w:val="center"/>
        <w:rPr>
          <w:rStyle w:val="Heading1Char"/>
          <w:rFonts w:eastAsiaTheme="minorEastAsia"/>
          <w:sz w:val="24"/>
          <w:szCs w:val="24"/>
          <w:lang w:eastAsia="zh-HK"/>
        </w:rPr>
      </w:pPr>
      <w:r>
        <w:rPr>
          <w:rStyle w:val="Heading1Char"/>
          <w:rFonts w:eastAsiaTheme="minorEastAsia"/>
          <w:sz w:val="24"/>
          <w:szCs w:val="24"/>
          <w:lang w:eastAsia="zh-HK"/>
        </w:rPr>
        <w:t xml:space="preserve">Is the New Regulation Successful in Reducing Systemic Risk </w:t>
      </w:r>
      <w:proofErr w:type="gramStart"/>
      <w:r>
        <w:rPr>
          <w:rStyle w:val="Heading1Char"/>
          <w:rFonts w:eastAsiaTheme="minorEastAsia"/>
          <w:sz w:val="24"/>
          <w:szCs w:val="24"/>
          <w:lang w:eastAsia="zh-HK"/>
        </w:rPr>
        <w:t>of</w:t>
      </w:r>
      <w:proofErr w:type="gramEnd"/>
      <w:r>
        <w:rPr>
          <w:rStyle w:val="Heading1Char"/>
          <w:rFonts w:eastAsiaTheme="minorEastAsia"/>
          <w:sz w:val="24"/>
          <w:szCs w:val="24"/>
          <w:lang w:eastAsia="zh-HK"/>
        </w:rPr>
        <w:t xml:space="preserve"> </w:t>
      </w:r>
    </w:p>
    <w:p w14:paraId="1EFB96E9" w14:textId="5D287A81" w:rsidR="007936F2" w:rsidRDefault="007936F2" w:rsidP="00A701C5">
      <w:pPr>
        <w:spacing w:after="0" w:line="260" w:lineRule="exact"/>
        <w:jc w:val="center"/>
        <w:rPr>
          <w:rStyle w:val="Heading1Char"/>
          <w:rFonts w:eastAsiaTheme="minorEastAsia"/>
          <w:sz w:val="24"/>
          <w:szCs w:val="24"/>
          <w:lang w:eastAsia="zh-HK"/>
        </w:rPr>
      </w:pPr>
      <w:r>
        <w:rPr>
          <w:rStyle w:val="Heading1Char"/>
          <w:rFonts w:eastAsiaTheme="minorEastAsia"/>
          <w:sz w:val="24"/>
          <w:szCs w:val="24"/>
          <w:lang w:eastAsia="zh-HK"/>
        </w:rPr>
        <w:t>Global Systemically Important Insurers?</w:t>
      </w:r>
    </w:p>
    <w:p w14:paraId="179BC324" w14:textId="69AFE7B6" w:rsidR="008B635D" w:rsidRPr="00E61146" w:rsidRDefault="007936F2" w:rsidP="00A701C5">
      <w:pPr>
        <w:spacing w:after="0" w:line="260" w:lineRule="exact"/>
        <w:jc w:val="center"/>
        <w:rPr>
          <w:rFonts w:ascii="Times New Roman" w:eastAsiaTheme="minorEastAsia" w:hAnsi="Times New Roman"/>
          <w:sz w:val="16"/>
          <w:szCs w:val="16"/>
          <w:lang w:eastAsia="zh-TW"/>
        </w:rPr>
      </w:pPr>
      <w:r>
        <w:rPr>
          <w:rStyle w:val="Heading1Char"/>
          <w:rFonts w:eastAsiaTheme="minorEastAsia"/>
          <w:sz w:val="24"/>
          <w:szCs w:val="24"/>
          <w:lang w:eastAsia="zh-HK"/>
        </w:rPr>
        <w:t>Empirical Evidence from Insurers around the Globe</w:t>
      </w:r>
      <w:r w:rsidR="00BE4CBF" w:rsidRPr="00B86E32">
        <w:rPr>
          <w:rStyle w:val="Heading1Char"/>
          <w:rFonts w:eastAsiaTheme="minorEastAsia"/>
          <w:sz w:val="24"/>
          <w:szCs w:val="24"/>
          <w:lang w:eastAsia="zh-HK"/>
        </w:rPr>
        <w:t xml:space="preserve"> </w:t>
      </w:r>
      <w:r w:rsidR="00BD1E15">
        <w:rPr>
          <w:rStyle w:val="Heading1Char"/>
          <w:rFonts w:eastAsiaTheme="minorEastAsia"/>
          <w:sz w:val="24"/>
          <w:szCs w:val="24"/>
          <w:lang w:eastAsia="zh-HK"/>
        </w:rPr>
        <w:br/>
      </w:r>
    </w:p>
    <w:p w14:paraId="63EE85D4" w14:textId="77777777" w:rsidR="00212491" w:rsidRPr="00B86E32" w:rsidRDefault="00212491" w:rsidP="00212491">
      <w:pPr>
        <w:spacing w:after="0" w:line="260" w:lineRule="exact"/>
        <w:jc w:val="both"/>
        <w:rPr>
          <w:rFonts w:eastAsiaTheme="minorEastAsia"/>
          <w:lang w:eastAsia="zh-TW"/>
        </w:rPr>
      </w:pPr>
    </w:p>
    <w:p w14:paraId="5090FA45" w14:textId="77777777" w:rsidR="00212491" w:rsidRPr="00B86E32" w:rsidRDefault="00212491" w:rsidP="00212491">
      <w:pPr>
        <w:spacing w:after="0" w:line="260" w:lineRule="exact"/>
        <w:jc w:val="center"/>
        <w:rPr>
          <w:rFonts w:ascii="Times New Roman" w:eastAsiaTheme="minorEastAsia" w:hAnsi="Times New Roman"/>
          <w:sz w:val="16"/>
          <w:szCs w:val="16"/>
          <w:lang w:eastAsia="zh-HK"/>
        </w:rPr>
      </w:pPr>
      <w:r w:rsidRPr="00B86E32">
        <w:rPr>
          <w:rFonts w:ascii="Times New Roman" w:eastAsiaTheme="minorEastAsia" w:hAnsi="Times New Roman"/>
          <w:sz w:val="16"/>
          <w:szCs w:val="16"/>
          <w:lang w:eastAsia="zh-HK"/>
        </w:rPr>
        <w:t>Derrick W.H. Fung</w:t>
      </w:r>
    </w:p>
    <w:p w14:paraId="64DE0441" w14:textId="77777777" w:rsidR="00212491" w:rsidRPr="00B86E32" w:rsidRDefault="00212491" w:rsidP="00212491">
      <w:pPr>
        <w:spacing w:after="0" w:line="260" w:lineRule="exact"/>
        <w:jc w:val="center"/>
        <w:rPr>
          <w:rFonts w:ascii="Times New Roman" w:eastAsiaTheme="minorEastAsia" w:hAnsi="Times New Roman"/>
          <w:i/>
          <w:sz w:val="16"/>
          <w:szCs w:val="16"/>
          <w:lang w:eastAsia="zh-HK"/>
        </w:rPr>
      </w:pPr>
      <w:r w:rsidRPr="00B86E32">
        <w:rPr>
          <w:rFonts w:ascii="Times New Roman" w:hAnsi="Times New Roman"/>
          <w:i/>
          <w:sz w:val="16"/>
          <w:szCs w:val="16"/>
        </w:rPr>
        <w:t>Department of Finance</w:t>
      </w:r>
      <w:r w:rsidRPr="00B86E32">
        <w:rPr>
          <w:rFonts w:ascii="Times New Roman" w:eastAsiaTheme="minorEastAsia" w:hAnsi="Times New Roman"/>
          <w:i/>
          <w:sz w:val="16"/>
          <w:szCs w:val="16"/>
          <w:lang w:eastAsia="zh-HK"/>
        </w:rPr>
        <w:t xml:space="preserve">, </w:t>
      </w:r>
      <w:r w:rsidRPr="00B86E32">
        <w:rPr>
          <w:rFonts w:ascii="Times New Roman" w:hAnsi="Times New Roman"/>
          <w:i/>
          <w:sz w:val="16"/>
          <w:szCs w:val="16"/>
        </w:rPr>
        <w:t>The Chinese University of Hong Kong</w:t>
      </w:r>
    </w:p>
    <w:p w14:paraId="34560DA0" w14:textId="77777777" w:rsidR="00212491" w:rsidRDefault="00212491" w:rsidP="00212491">
      <w:pPr>
        <w:spacing w:after="0" w:line="260" w:lineRule="exact"/>
        <w:jc w:val="center"/>
        <w:rPr>
          <w:rFonts w:ascii="Times New Roman" w:eastAsiaTheme="minorEastAsia" w:hAnsi="Times New Roman"/>
          <w:i/>
          <w:sz w:val="16"/>
          <w:szCs w:val="16"/>
          <w:lang w:eastAsia="zh-HK"/>
        </w:rPr>
      </w:pPr>
      <w:proofErr w:type="spellStart"/>
      <w:r w:rsidRPr="00B86E32">
        <w:rPr>
          <w:rFonts w:ascii="Times New Roman" w:eastAsiaTheme="minorEastAsia" w:hAnsi="Times New Roman"/>
          <w:i/>
          <w:sz w:val="16"/>
          <w:szCs w:val="16"/>
          <w:lang w:eastAsia="zh-HK"/>
        </w:rPr>
        <w:t>Shatin</w:t>
      </w:r>
      <w:proofErr w:type="spellEnd"/>
      <w:r w:rsidRPr="00B86E32">
        <w:rPr>
          <w:rFonts w:ascii="Times New Roman" w:eastAsiaTheme="minorEastAsia" w:hAnsi="Times New Roman"/>
          <w:i/>
          <w:sz w:val="16"/>
          <w:szCs w:val="16"/>
          <w:lang w:eastAsia="zh-HK"/>
        </w:rPr>
        <w:t>, N</w:t>
      </w:r>
      <w:r>
        <w:rPr>
          <w:rFonts w:ascii="Times New Roman" w:eastAsiaTheme="minorEastAsia" w:hAnsi="Times New Roman"/>
          <w:i/>
          <w:sz w:val="16"/>
          <w:szCs w:val="16"/>
          <w:lang w:eastAsia="zh-HK"/>
        </w:rPr>
        <w:t>ew Territories</w:t>
      </w:r>
    </w:p>
    <w:p w14:paraId="64558F0F" w14:textId="77777777" w:rsidR="00212491" w:rsidRPr="00B86E32" w:rsidRDefault="00212491" w:rsidP="00212491">
      <w:pPr>
        <w:spacing w:after="0" w:line="260" w:lineRule="exact"/>
        <w:jc w:val="center"/>
        <w:rPr>
          <w:rFonts w:ascii="Times New Roman" w:eastAsiaTheme="minorEastAsia" w:hAnsi="Times New Roman"/>
          <w:i/>
          <w:sz w:val="16"/>
          <w:szCs w:val="16"/>
          <w:lang w:eastAsia="zh-HK"/>
        </w:rPr>
      </w:pPr>
      <w:r w:rsidRPr="00B86E32">
        <w:rPr>
          <w:rFonts w:ascii="Times New Roman" w:eastAsiaTheme="minorEastAsia" w:hAnsi="Times New Roman"/>
          <w:i/>
          <w:sz w:val="16"/>
          <w:szCs w:val="16"/>
          <w:lang w:eastAsia="zh-HK"/>
        </w:rPr>
        <w:t>Hong Kong</w:t>
      </w:r>
    </w:p>
    <w:p w14:paraId="415E2DC8" w14:textId="77777777" w:rsidR="00212491" w:rsidRPr="00B86E32" w:rsidRDefault="00212491" w:rsidP="00212491">
      <w:pPr>
        <w:spacing w:after="0" w:line="260" w:lineRule="exact"/>
        <w:jc w:val="center"/>
        <w:rPr>
          <w:rFonts w:eastAsiaTheme="minorEastAsia"/>
          <w:i/>
          <w:sz w:val="16"/>
          <w:szCs w:val="16"/>
          <w:lang w:eastAsia="zh-HK"/>
        </w:rPr>
      </w:pPr>
      <w:r w:rsidRPr="00B86E32">
        <w:rPr>
          <w:rFonts w:ascii="Times New Roman" w:hAnsi="Times New Roman"/>
          <w:i/>
          <w:sz w:val="16"/>
          <w:szCs w:val="16"/>
        </w:rPr>
        <w:t>winghong@baf.cuhk.edu.hk</w:t>
      </w:r>
    </w:p>
    <w:p w14:paraId="550F2ABF" w14:textId="77777777" w:rsidR="00212491" w:rsidRPr="00B86E32" w:rsidRDefault="00212491" w:rsidP="00212491">
      <w:pPr>
        <w:spacing w:after="0" w:line="260" w:lineRule="exact"/>
        <w:jc w:val="both"/>
        <w:rPr>
          <w:rFonts w:eastAsiaTheme="minorEastAsia"/>
          <w:sz w:val="16"/>
          <w:szCs w:val="16"/>
          <w:lang w:eastAsia="zh-HK"/>
        </w:rPr>
      </w:pPr>
    </w:p>
    <w:p w14:paraId="41E7BA1A" w14:textId="77777777" w:rsidR="00212491" w:rsidRPr="00B86E32" w:rsidRDefault="00212491" w:rsidP="00212491">
      <w:pPr>
        <w:spacing w:after="0" w:line="260" w:lineRule="exact"/>
        <w:jc w:val="both"/>
        <w:rPr>
          <w:rFonts w:eastAsiaTheme="minorEastAsia"/>
          <w:sz w:val="16"/>
          <w:szCs w:val="16"/>
          <w:lang w:eastAsia="zh-HK"/>
        </w:rPr>
      </w:pPr>
    </w:p>
    <w:p w14:paraId="71DB53AE" w14:textId="77777777" w:rsidR="00212491" w:rsidRPr="00B86E32" w:rsidRDefault="00212491" w:rsidP="00212491">
      <w:pPr>
        <w:spacing w:after="0" w:line="260" w:lineRule="exact"/>
        <w:jc w:val="center"/>
        <w:rPr>
          <w:rFonts w:ascii="Times New Roman" w:hAnsi="Times New Roman"/>
          <w:sz w:val="16"/>
          <w:szCs w:val="16"/>
        </w:rPr>
      </w:pPr>
      <w:r w:rsidRPr="00B86E32">
        <w:rPr>
          <w:rFonts w:ascii="Times New Roman" w:hAnsi="Times New Roman"/>
          <w:sz w:val="16"/>
          <w:szCs w:val="16"/>
        </w:rPr>
        <w:t xml:space="preserve">Jason </w:t>
      </w:r>
      <w:r w:rsidRPr="00B86E32">
        <w:rPr>
          <w:rFonts w:ascii="Times New Roman" w:eastAsiaTheme="minorEastAsia" w:hAnsi="Times New Roman"/>
          <w:sz w:val="16"/>
          <w:szCs w:val="16"/>
          <w:lang w:eastAsia="zh-HK"/>
        </w:rPr>
        <w:t xml:space="preserve">J. H. </w:t>
      </w:r>
      <w:proofErr w:type="spellStart"/>
      <w:r w:rsidRPr="00B86E32">
        <w:rPr>
          <w:rFonts w:ascii="Times New Roman" w:hAnsi="Times New Roman"/>
          <w:sz w:val="16"/>
          <w:szCs w:val="16"/>
        </w:rPr>
        <w:t>Yeh</w:t>
      </w:r>
      <w:proofErr w:type="spellEnd"/>
    </w:p>
    <w:p w14:paraId="06262B0F" w14:textId="77777777" w:rsidR="00212491" w:rsidRPr="00B86E32" w:rsidRDefault="00212491" w:rsidP="00212491">
      <w:pPr>
        <w:spacing w:after="0" w:line="260" w:lineRule="exact"/>
        <w:jc w:val="center"/>
        <w:rPr>
          <w:rFonts w:ascii="Times New Roman" w:hAnsi="Times New Roman"/>
          <w:i/>
          <w:sz w:val="16"/>
          <w:szCs w:val="16"/>
        </w:rPr>
      </w:pPr>
      <w:r w:rsidRPr="00B86E32">
        <w:rPr>
          <w:rFonts w:ascii="Times New Roman" w:hAnsi="Times New Roman"/>
          <w:i/>
          <w:sz w:val="16"/>
          <w:szCs w:val="16"/>
        </w:rPr>
        <w:t>Department of Finance</w:t>
      </w:r>
      <w:r w:rsidRPr="00B86E32">
        <w:rPr>
          <w:rFonts w:ascii="Times New Roman" w:eastAsiaTheme="minorEastAsia" w:hAnsi="Times New Roman"/>
          <w:i/>
          <w:sz w:val="16"/>
          <w:szCs w:val="16"/>
          <w:lang w:eastAsia="zh-HK"/>
        </w:rPr>
        <w:t xml:space="preserve">, </w:t>
      </w:r>
      <w:r w:rsidRPr="00B86E32">
        <w:rPr>
          <w:rFonts w:ascii="Times New Roman" w:hAnsi="Times New Roman"/>
          <w:i/>
          <w:sz w:val="16"/>
          <w:szCs w:val="16"/>
        </w:rPr>
        <w:t>The Chinese University of Hong Kong</w:t>
      </w:r>
    </w:p>
    <w:p w14:paraId="014E80D8" w14:textId="77777777" w:rsidR="00212491" w:rsidRDefault="00212491" w:rsidP="00212491">
      <w:pPr>
        <w:spacing w:after="0" w:line="260" w:lineRule="exact"/>
        <w:jc w:val="center"/>
        <w:rPr>
          <w:rFonts w:ascii="Times New Roman" w:eastAsiaTheme="minorEastAsia" w:hAnsi="Times New Roman"/>
          <w:i/>
          <w:sz w:val="16"/>
          <w:szCs w:val="16"/>
          <w:lang w:eastAsia="zh-HK"/>
        </w:rPr>
      </w:pPr>
      <w:proofErr w:type="spellStart"/>
      <w:r w:rsidRPr="00B86E32">
        <w:rPr>
          <w:rFonts w:ascii="Times New Roman" w:eastAsiaTheme="minorEastAsia" w:hAnsi="Times New Roman"/>
          <w:i/>
          <w:sz w:val="16"/>
          <w:szCs w:val="16"/>
          <w:lang w:eastAsia="zh-HK"/>
        </w:rPr>
        <w:t>Shatin</w:t>
      </w:r>
      <w:proofErr w:type="spellEnd"/>
      <w:r w:rsidRPr="00B86E32">
        <w:rPr>
          <w:rFonts w:ascii="Times New Roman" w:eastAsiaTheme="minorEastAsia" w:hAnsi="Times New Roman"/>
          <w:i/>
          <w:sz w:val="16"/>
          <w:szCs w:val="16"/>
          <w:lang w:eastAsia="zh-HK"/>
        </w:rPr>
        <w:t>, N</w:t>
      </w:r>
      <w:r>
        <w:rPr>
          <w:rFonts w:ascii="Times New Roman" w:eastAsiaTheme="minorEastAsia" w:hAnsi="Times New Roman"/>
          <w:i/>
          <w:sz w:val="16"/>
          <w:szCs w:val="16"/>
          <w:lang w:eastAsia="zh-HK"/>
        </w:rPr>
        <w:t>ew Territories</w:t>
      </w:r>
    </w:p>
    <w:p w14:paraId="3BB1A042" w14:textId="77777777" w:rsidR="00212491" w:rsidRPr="00B86E32" w:rsidRDefault="00212491" w:rsidP="00212491">
      <w:pPr>
        <w:spacing w:after="0" w:line="260" w:lineRule="exact"/>
        <w:jc w:val="center"/>
        <w:rPr>
          <w:rFonts w:ascii="Times New Roman" w:eastAsiaTheme="minorEastAsia" w:hAnsi="Times New Roman"/>
          <w:i/>
          <w:sz w:val="16"/>
          <w:szCs w:val="16"/>
          <w:lang w:eastAsia="zh-HK"/>
        </w:rPr>
      </w:pPr>
      <w:r w:rsidRPr="00B86E32">
        <w:rPr>
          <w:rFonts w:ascii="Times New Roman" w:eastAsiaTheme="minorEastAsia" w:hAnsi="Times New Roman"/>
          <w:i/>
          <w:sz w:val="16"/>
          <w:szCs w:val="16"/>
          <w:lang w:eastAsia="zh-HK"/>
        </w:rPr>
        <w:t>Hong Kong</w:t>
      </w:r>
    </w:p>
    <w:p w14:paraId="285DC9E3" w14:textId="77777777" w:rsidR="00212491" w:rsidRPr="00B86E32" w:rsidRDefault="00212491" w:rsidP="00212491">
      <w:pPr>
        <w:spacing w:after="0" w:line="260" w:lineRule="exact"/>
        <w:jc w:val="center"/>
        <w:rPr>
          <w:rFonts w:eastAsiaTheme="minorEastAsia"/>
          <w:i/>
          <w:sz w:val="16"/>
          <w:szCs w:val="16"/>
          <w:lang w:eastAsia="zh-HK"/>
        </w:rPr>
      </w:pPr>
      <w:r w:rsidRPr="00B86E32">
        <w:rPr>
          <w:rFonts w:ascii="Times New Roman" w:hAnsi="Times New Roman"/>
          <w:i/>
          <w:sz w:val="16"/>
          <w:szCs w:val="16"/>
        </w:rPr>
        <w:t>jasonyeh@baf.cuhk.edu.hk</w:t>
      </w:r>
    </w:p>
    <w:p w14:paraId="0AC93781" w14:textId="53CC5D12" w:rsidR="001B586C" w:rsidRPr="00212491" w:rsidRDefault="001B586C" w:rsidP="0012544C">
      <w:pPr>
        <w:spacing w:after="0" w:line="240" w:lineRule="auto"/>
        <w:rPr>
          <w:rFonts w:eastAsiaTheme="minorEastAsia"/>
          <w:lang w:eastAsia="zh-HK"/>
        </w:rPr>
      </w:pPr>
    </w:p>
    <w:p w14:paraId="6462F3D4" w14:textId="77777777" w:rsidR="00C83734" w:rsidRPr="00B86E32" w:rsidRDefault="00C83734" w:rsidP="0012544C">
      <w:pPr>
        <w:spacing w:after="0" w:line="240" w:lineRule="auto"/>
        <w:rPr>
          <w:rFonts w:eastAsiaTheme="minorEastAsia"/>
          <w:lang w:eastAsia="zh-HK"/>
        </w:rPr>
      </w:pPr>
    </w:p>
    <w:p w14:paraId="4330ED0C" w14:textId="77777777" w:rsidR="00F81185" w:rsidRPr="00B86E32" w:rsidRDefault="00DC63F4" w:rsidP="0012544C">
      <w:pPr>
        <w:spacing w:after="260" w:line="240" w:lineRule="auto"/>
        <w:rPr>
          <w:rFonts w:ascii="Times New Roman" w:eastAsiaTheme="minorEastAsia" w:hAnsi="Times New Roman"/>
          <w:b/>
          <w:sz w:val="16"/>
          <w:szCs w:val="16"/>
          <w:lang w:eastAsia="zh-HK"/>
        </w:rPr>
      </w:pPr>
      <w:r w:rsidRPr="00B86E32">
        <w:rPr>
          <w:rFonts w:ascii="Times New Roman" w:eastAsiaTheme="minorEastAsia" w:hAnsi="Times New Roman"/>
          <w:b/>
          <w:sz w:val="16"/>
          <w:szCs w:val="16"/>
          <w:lang w:eastAsia="zh-HK"/>
        </w:rPr>
        <w:t>Abstract</w:t>
      </w:r>
    </w:p>
    <w:p w14:paraId="4702C7D1" w14:textId="788BEE1B" w:rsidR="00DC63F4" w:rsidRPr="00B86E32" w:rsidRDefault="00B3557B" w:rsidP="00BA3FFD">
      <w:pPr>
        <w:spacing w:after="0" w:line="260" w:lineRule="exact"/>
        <w:jc w:val="both"/>
        <w:rPr>
          <w:rFonts w:ascii="Times New Roman" w:eastAsiaTheme="minorEastAsia" w:hAnsi="Times New Roman"/>
          <w:sz w:val="16"/>
          <w:szCs w:val="16"/>
          <w:lang w:eastAsia="zh-HK"/>
        </w:rPr>
      </w:pPr>
      <w:r>
        <w:rPr>
          <w:rFonts w:ascii="Times New Roman" w:eastAsiaTheme="minorEastAsia" w:hAnsi="Times New Roman"/>
          <w:sz w:val="16"/>
          <w:szCs w:val="16"/>
          <w:lang w:eastAsia="zh-HK"/>
        </w:rPr>
        <w:t>In response to the public awareness of the “too-big-to-fail” problem arisen from the financial crisis in 2008, the</w:t>
      </w:r>
      <w:r w:rsidR="008B66B7">
        <w:rPr>
          <w:rFonts w:ascii="Times New Roman" w:eastAsiaTheme="minorEastAsia" w:hAnsi="Times New Roman"/>
          <w:sz w:val="16"/>
          <w:szCs w:val="16"/>
          <w:lang w:eastAsia="zh-HK"/>
        </w:rPr>
        <w:t xml:space="preserve"> G-20 has explicitly expressed the need to tighten </w:t>
      </w:r>
      <w:r w:rsidR="00D35DCA">
        <w:rPr>
          <w:rFonts w:ascii="Times New Roman" w:eastAsiaTheme="minorEastAsia" w:hAnsi="Times New Roman"/>
          <w:sz w:val="16"/>
          <w:szCs w:val="16"/>
          <w:lang w:eastAsia="zh-HK"/>
        </w:rPr>
        <w:t xml:space="preserve">up </w:t>
      </w:r>
      <w:r w:rsidR="008B66B7">
        <w:rPr>
          <w:rFonts w:ascii="Times New Roman" w:eastAsiaTheme="minorEastAsia" w:hAnsi="Times New Roman"/>
          <w:sz w:val="16"/>
          <w:szCs w:val="16"/>
          <w:lang w:eastAsia="zh-HK"/>
        </w:rPr>
        <w:t>supervision on global systemically important insurers (G-SIIs) since November 2011 and the</w:t>
      </w:r>
      <w:r>
        <w:rPr>
          <w:rFonts w:ascii="Times New Roman" w:eastAsiaTheme="minorEastAsia" w:hAnsi="Times New Roman"/>
          <w:sz w:val="16"/>
          <w:szCs w:val="16"/>
          <w:lang w:eastAsia="zh-HK"/>
        </w:rPr>
        <w:t xml:space="preserve"> </w:t>
      </w:r>
      <w:r w:rsidR="00D35DCA">
        <w:rPr>
          <w:rFonts w:ascii="Times New Roman" w:eastAsiaTheme="minorEastAsia" w:hAnsi="Times New Roman"/>
          <w:sz w:val="16"/>
          <w:szCs w:val="16"/>
          <w:lang w:eastAsia="zh-HK"/>
        </w:rPr>
        <w:t>International Association of Insurance Supervisors (</w:t>
      </w:r>
      <w:r>
        <w:rPr>
          <w:rFonts w:ascii="Times New Roman" w:eastAsiaTheme="minorEastAsia" w:hAnsi="Times New Roman"/>
          <w:sz w:val="16"/>
          <w:szCs w:val="16"/>
          <w:lang w:eastAsia="zh-HK"/>
        </w:rPr>
        <w:t>IAIS</w:t>
      </w:r>
      <w:r w:rsidR="00D35DCA">
        <w:rPr>
          <w:rFonts w:ascii="Times New Roman" w:eastAsiaTheme="minorEastAsia" w:hAnsi="Times New Roman"/>
          <w:sz w:val="16"/>
          <w:szCs w:val="16"/>
          <w:lang w:eastAsia="zh-HK"/>
        </w:rPr>
        <w:t>)</w:t>
      </w:r>
      <w:r>
        <w:rPr>
          <w:rFonts w:ascii="Times New Roman" w:eastAsiaTheme="minorEastAsia" w:hAnsi="Times New Roman"/>
          <w:sz w:val="16"/>
          <w:szCs w:val="16"/>
          <w:lang w:eastAsia="zh-HK"/>
        </w:rPr>
        <w:t xml:space="preserve"> </w:t>
      </w:r>
      <w:r w:rsidR="00B6626D">
        <w:rPr>
          <w:rFonts w:ascii="Times New Roman" w:eastAsiaTheme="minorEastAsia" w:hAnsi="Times New Roman"/>
          <w:sz w:val="16"/>
          <w:szCs w:val="16"/>
          <w:lang w:eastAsia="zh-HK"/>
        </w:rPr>
        <w:t xml:space="preserve">has </w:t>
      </w:r>
      <w:r>
        <w:rPr>
          <w:rFonts w:ascii="Times New Roman" w:eastAsiaTheme="minorEastAsia" w:hAnsi="Times New Roman"/>
          <w:sz w:val="16"/>
          <w:szCs w:val="16"/>
          <w:lang w:eastAsia="zh-HK"/>
        </w:rPr>
        <w:t>published a series of polic</w:t>
      </w:r>
      <w:r w:rsidR="008B66B7">
        <w:rPr>
          <w:rFonts w:ascii="Times New Roman" w:eastAsiaTheme="minorEastAsia" w:hAnsi="Times New Roman"/>
          <w:sz w:val="16"/>
          <w:szCs w:val="16"/>
          <w:lang w:eastAsia="zh-HK"/>
        </w:rPr>
        <w:t xml:space="preserve">y measures to supervise </w:t>
      </w:r>
      <w:r>
        <w:rPr>
          <w:rFonts w:ascii="Times New Roman" w:eastAsiaTheme="minorEastAsia" w:hAnsi="Times New Roman"/>
          <w:sz w:val="16"/>
          <w:szCs w:val="16"/>
          <w:lang w:eastAsia="zh-HK"/>
        </w:rPr>
        <w:t>G-SIIs</w:t>
      </w:r>
      <w:r w:rsidR="001B0D1B">
        <w:rPr>
          <w:rFonts w:ascii="Times New Roman" w:eastAsiaTheme="minorEastAsia" w:hAnsi="Times New Roman"/>
          <w:sz w:val="16"/>
          <w:szCs w:val="16"/>
          <w:lang w:eastAsia="zh-HK"/>
        </w:rPr>
        <w:t xml:space="preserve"> </w:t>
      </w:r>
      <w:r w:rsidR="00B6626D">
        <w:rPr>
          <w:rFonts w:ascii="Times New Roman" w:eastAsiaTheme="minorEastAsia" w:hAnsi="Times New Roman"/>
          <w:sz w:val="16"/>
          <w:szCs w:val="16"/>
          <w:lang w:eastAsia="zh-HK"/>
        </w:rPr>
        <w:t xml:space="preserve">since </w:t>
      </w:r>
      <w:r w:rsidR="00886849">
        <w:rPr>
          <w:rFonts w:ascii="Times New Roman" w:eastAsiaTheme="minorEastAsia" w:hAnsi="Times New Roman"/>
          <w:sz w:val="16"/>
          <w:szCs w:val="16"/>
          <w:lang w:eastAsia="zh-HK"/>
        </w:rPr>
        <w:t xml:space="preserve">July </w:t>
      </w:r>
      <w:r w:rsidR="00B6626D">
        <w:rPr>
          <w:rFonts w:ascii="Times New Roman" w:eastAsiaTheme="minorEastAsia" w:hAnsi="Times New Roman"/>
          <w:sz w:val="16"/>
          <w:szCs w:val="16"/>
          <w:lang w:eastAsia="zh-HK"/>
        </w:rPr>
        <w:t>2013</w:t>
      </w:r>
      <w:r w:rsidR="001B0D1B">
        <w:rPr>
          <w:rFonts w:ascii="Times New Roman" w:eastAsiaTheme="minorEastAsia" w:hAnsi="Times New Roman"/>
          <w:sz w:val="16"/>
          <w:szCs w:val="16"/>
          <w:lang w:eastAsia="zh-HK"/>
        </w:rPr>
        <w:t xml:space="preserve"> with the objective of </w:t>
      </w:r>
      <w:r w:rsidR="00EA1DDC">
        <w:rPr>
          <w:rFonts w:ascii="Times New Roman" w:eastAsiaTheme="minorEastAsia" w:hAnsi="Times New Roman"/>
          <w:sz w:val="16"/>
          <w:szCs w:val="16"/>
          <w:lang w:eastAsia="zh-HK"/>
        </w:rPr>
        <w:t xml:space="preserve">addressing the systemic risks of G-SIIs. </w:t>
      </w:r>
      <w:r w:rsidR="003A3552">
        <w:rPr>
          <w:rFonts w:ascii="Times New Roman" w:eastAsiaTheme="minorEastAsia" w:hAnsi="Times New Roman"/>
          <w:sz w:val="16"/>
          <w:szCs w:val="16"/>
          <w:lang w:eastAsia="zh-HK"/>
        </w:rPr>
        <w:t xml:space="preserve">With a panel dataset from 2007 to 2015, we analyze the effect of the new regulation on 174 </w:t>
      </w:r>
      <w:r w:rsidR="00270343">
        <w:rPr>
          <w:rFonts w:ascii="Times New Roman" w:eastAsiaTheme="minorEastAsia" w:hAnsi="Times New Roman"/>
          <w:sz w:val="16"/>
          <w:szCs w:val="16"/>
          <w:lang w:eastAsia="zh-HK"/>
        </w:rPr>
        <w:t>international</w:t>
      </w:r>
      <w:r w:rsidR="003A3552">
        <w:rPr>
          <w:rFonts w:ascii="Times New Roman" w:eastAsiaTheme="minorEastAsia" w:hAnsi="Times New Roman"/>
          <w:sz w:val="16"/>
          <w:szCs w:val="16"/>
          <w:lang w:eastAsia="zh-HK"/>
        </w:rPr>
        <w:t xml:space="preserve"> insurers</w:t>
      </w:r>
      <w:r w:rsidR="00A478BF">
        <w:rPr>
          <w:rFonts w:ascii="Times New Roman" w:eastAsiaTheme="minorEastAsia" w:hAnsi="Times New Roman"/>
          <w:sz w:val="16"/>
          <w:szCs w:val="16"/>
          <w:lang w:eastAsia="zh-HK"/>
        </w:rPr>
        <w:t xml:space="preserve"> from 33 countries</w:t>
      </w:r>
      <w:r w:rsidR="003A3552">
        <w:rPr>
          <w:rFonts w:ascii="Times New Roman" w:eastAsiaTheme="minorEastAsia" w:hAnsi="Times New Roman"/>
          <w:sz w:val="16"/>
          <w:szCs w:val="16"/>
          <w:lang w:eastAsia="zh-HK"/>
        </w:rPr>
        <w:t xml:space="preserve">. We find that </w:t>
      </w:r>
      <w:r w:rsidR="007A2F5A">
        <w:rPr>
          <w:rFonts w:ascii="Times New Roman" w:eastAsiaTheme="minorEastAsia" w:hAnsi="Times New Roman"/>
          <w:sz w:val="16"/>
          <w:szCs w:val="16"/>
          <w:lang w:eastAsia="zh-HK"/>
        </w:rPr>
        <w:t>the systemic risk</w:t>
      </w:r>
      <w:r w:rsidR="002867BD">
        <w:rPr>
          <w:rFonts w:ascii="Times New Roman" w:eastAsiaTheme="minorEastAsia" w:hAnsi="Times New Roman"/>
          <w:sz w:val="16"/>
          <w:szCs w:val="16"/>
          <w:lang w:eastAsia="zh-HK"/>
        </w:rPr>
        <w:t xml:space="preserve"> of G-SIIs </w:t>
      </w:r>
      <w:r w:rsidR="007B04D3">
        <w:rPr>
          <w:rFonts w:ascii="Times New Roman" w:eastAsiaTheme="minorEastAsia" w:hAnsi="Times New Roman"/>
          <w:sz w:val="16"/>
          <w:szCs w:val="16"/>
          <w:lang w:eastAsia="zh-HK"/>
        </w:rPr>
        <w:t>decrease</w:t>
      </w:r>
      <w:r w:rsidR="007A2F5A">
        <w:rPr>
          <w:rFonts w:ascii="Times New Roman" w:eastAsiaTheme="minorEastAsia" w:hAnsi="Times New Roman"/>
          <w:sz w:val="16"/>
          <w:szCs w:val="16"/>
          <w:lang w:eastAsia="zh-HK"/>
        </w:rPr>
        <w:t>s</w:t>
      </w:r>
      <w:r w:rsidR="002867BD">
        <w:rPr>
          <w:rFonts w:ascii="Times New Roman" w:eastAsiaTheme="minorEastAsia" w:hAnsi="Times New Roman"/>
          <w:sz w:val="16"/>
          <w:szCs w:val="16"/>
          <w:lang w:eastAsia="zh-HK"/>
        </w:rPr>
        <w:t xml:space="preserve"> </w:t>
      </w:r>
      <w:r w:rsidR="003056E6">
        <w:rPr>
          <w:rFonts w:ascii="Times New Roman" w:eastAsiaTheme="minorEastAsia" w:hAnsi="Times New Roman"/>
          <w:sz w:val="16"/>
          <w:szCs w:val="16"/>
          <w:lang w:eastAsia="zh-HK"/>
        </w:rPr>
        <w:t>by a</w:t>
      </w:r>
      <w:r w:rsidR="002F59E5">
        <w:rPr>
          <w:rFonts w:ascii="Times New Roman" w:eastAsiaTheme="minorEastAsia" w:hAnsi="Times New Roman"/>
          <w:sz w:val="16"/>
          <w:szCs w:val="16"/>
          <w:lang w:eastAsia="zh-HK"/>
        </w:rPr>
        <w:t>pproximately</w:t>
      </w:r>
      <w:r w:rsidR="003056E6">
        <w:rPr>
          <w:rFonts w:ascii="Times New Roman" w:eastAsiaTheme="minorEastAsia" w:hAnsi="Times New Roman"/>
          <w:sz w:val="16"/>
          <w:szCs w:val="16"/>
          <w:lang w:eastAsia="zh-HK"/>
        </w:rPr>
        <w:t xml:space="preserve"> </w:t>
      </w:r>
      <w:r w:rsidR="00E71800">
        <w:rPr>
          <w:rFonts w:ascii="Times New Roman" w:eastAsiaTheme="minorEastAsia" w:hAnsi="Times New Roman"/>
          <w:sz w:val="16"/>
          <w:szCs w:val="16"/>
          <w:lang w:eastAsia="zh-HK"/>
        </w:rPr>
        <w:t>13</w:t>
      </w:r>
      <w:r w:rsidR="003056E6">
        <w:rPr>
          <w:rFonts w:ascii="Times New Roman" w:eastAsiaTheme="minorEastAsia" w:hAnsi="Times New Roman"/>
          <w:sz w:val="16"/>
          <w:szCs w:val="16"/>
          <w:lang w:eastAsia="zh-HK"/>
        </w:rPr>
        <w:t>% to 2</w:t>
      </w:r>
      <w:r w:rsidR="00E71800">
        <w:rPr>
          <w:rFonts w:ascii="Times New Roman" w:eastAsiaTheme="minorEastAsia" w:hAnsi="Times New Roman"/>
          <w:sz w:val="16"/>
          <w:szCs w:val="16"/>
          <w:lang w:eastAsia="zh-HK"/>
        </w:rPr>
        <w:t>7</w:t>
      </w:r>
      <w:r w:rsidR="003056E6">
        <w:rPr>
          <w:rFonts w:ascii="Times New Roman" w:eastAsiaTheme="minorEastAsia" w:hAnsi="Times New Roman"/>
          <w:sz w:val="16"/>
          <w:szCs w:val="16"/>
          <w:lang w:eastAsia="zh-HK"/>
        </w:rPr>
        <w:t>%</w:t>
      </w:r>
      <w:r w:rsidR="002867BD">
        <w:rPr>
          <w:rFonts w:ascii="Times New Roman" w:eastAsiaTheme="minorEastAsia" w:hAnsi="Times New Roman"/>
          <w:sz w:val="16"/>
          <w:szCs w:val="16"/>
          <w:lang w:eastAsia="zh-HK"/>
        </w:rPr>
        <w:t xml:space="preserve"> after the </w:t>
      </w:r>
      <w:r w:rsidR="007B04D3">
        <w:rPr>
          <w:rFonts w:ascii="Times New Roman" w:eastAsiaTheme="minorEastAsia" w:hAnsi="Times New Roman"/>
          <w:sz w:val="16"/>
          <w:szCs w:val="16"/>
          <w:lang w:eastAsia="zh-HK"/>
        </w:rPr>
        <w:t xml:space="preserve">G-20 declaration and the IAIS’s </w:t>
      </w:r>
      <w:r w:rsidR="002867BD">
        <w:rPr>
          <w:rFonts w:ascii="Times New Roman" w:eastAsiaTheme="minorEastAsia" w:hAnsi="Times New Roman"/>
          <w:sz w:val="16"/>
          <w:szCs w:val="16"/>
          <w:lang w:eastAsia="zh-HK"/>
        </w:rPr>
        <w:t xml:space="preserve">publication of </w:t>
      </w:r>
      <w:r w:rsidR="00A65585">
        <w:rPr>
          <w:rFonts w:ascii="Times New Roman" w:eastAsiaTheme="minorEastAsia" w:hAnsi="Times New Roman"/>
          <w:sz w:val="16"/>
          <w:szCs w:val="16"/>
          <w:lang w:eastAsia="zh-HK"/>
        </w:rPr>
        <w:t xml:space="preserve">the </w:t>
      </w:r>
      <w:r w:rsidR="002867BD">
        <w:rPr>
          <w:rFonts w:ascii="Times New Roman" w:eastAsiaTheme="minorEastAsia" w:hAnsi="Times New Roman"/>
          <w:sz w:val="16"/>
          <w:szCs w:val="16"/>
          <w:lang w:eastAsia="zh-HK"/>
        </w:rPr>
        <w:t xml:space="preserve">new policy measures. </w:t>
      </w:r>
      <w:r w:rsidR="00422F8F">
        <w:rPr>
          <w:rFonts w:ascii="Times New Roman" w:eastAsiaTheme="minorEastAsia" w:hAnsi="Times New Roman"/>
          <w:sz w:val="16"/>
          <w:szCs w:val="16"/>
          <w:lang w:eastAsia="zh-HK"/>
        </w:rPr>
        <w:t>Further analysis reveals that t</w:t>
      </w:r>
      <w:r w:rsidR="00C626FF">
        <w:rPr>
          <w:rFonts w:ascii="Times New Roman" w:eastAsiaTheme="minorEastAsia" w:hAnsi="Times New Roman"/>
          <w:sz w:val="16"/>
          <w:szCs w:val="16"/>
          <w:lang w:eastAsia="zh-HK"/>
        </w:rPr>
        <w:t xml:space="preserve">he new regulation is not only effective in the U.S., but </w:t>
      </w:r>
      <w:r w:rsidR="007A2F5A">
        <w:rPr>
          <w:rFonts w:ascii="Times New Roman" w:eastAsiaTheme="minorEastAsia" w:hAnsi="Times New Roman"/>
          <w:sz w:val="16"/>
          <w:szCs w:val="16"/>
          <w:lang w:eastAsia="zh-HK"/>
        </w:rPr>
        <w:t>also reduces the systemic risk</w:t>
      </w:r>
      <w:r w:rsidR="00C626FF">
        <w:rPr>
          <w:rFonts w:ascii="Times New Roman" w:eastAsiaTheme="minorEastAsia" w:hAnsi="Times New Roman"/>
          <w:sz w:val="16"/>
          <w:szCs w:val="16"/>
          <w:lang w:eastAsia="zh-HK"/>
        </w:rPr>
        <w:t xml:space="preserve"> of </w:t>
      </w:r>
      <w:r w:rsidR="007B5AC8">
        <w:rPr>
          <w:rFonts w:ascii="Times New Roman" w:eastAsiaTheme="minorEastAsia" w:hAnsi="Times New Roman"/>
          <w:sz w:val="16"/>
          <w:szCs w:val="16"/>
          <w:lang w:eastAsia="zh-HK"/>
        </w:rPr>
        <w:t>G-SIIs</w:t>
      </w:r>
      <w:r w:rsidR="00C626FF">
        <w:rPr>
          <w:rFonts w:ascii="Times New Roman" w:eastAsiaTheme="minorEastAsia" w:hAnsi="Times New Roman"/>
          <w:sz w:val="16"/>
          <w:szCs w:val="16"/>
          <w:lang w:eastAsia="zh-HK"/>
        </w:rPr>
        <w:t xml:space="preserve"> on a worldwide basis. We also find that </w:t>
      </w:r>
      <w:r w:rsidR="00B927A8">
        <w:rPr>
          <w:rFonts w:ascii="Times New Roman" w:eastAsiaTheme="minorEastAsia" w:hAnsi="Times New Roman"/>
          <w:sz w:val="16"/>
          <w:szCs w:val="16"/>
          <w:lang w:eastAsia="zh-HK"/>
        </w:rPr>
        <w:t xml:space="preserve">the new policy measures reduce the systemic </w:t>
      </w:r>
      <w:r w:rsidR="008B08AB">
        <w:rPr>
          <w:rFonts w:ascii="Times New Roman" w:eastAsiaTheme="minorEastAsia" w:hAnsi="Times New Roman"/>
          <w:sz w:val="16"/>
          <w:szCs w:val="16"/>
          <w:lang w:eastAsia="zh-HK"/>
        </w:rPr>
        <w:t>risk</w:t>
      </w:r>
      <w:r w:rsidR="00B927A8">
        <w:rPr>
          <w:rFonts w:ascii="Times New Roman" w:eastAsiaTheme="minorEastAsia" w:hAnsi="Times New Roman"/>
          <w:sz w:val="16"/>
          <w:szCs w:val="16"/>
          <w:lang w:eastAsia="zh-HK"/>
        </w:rPr>
        <w:t xml:space="preserve"> of large insurers</w:t>
      </w:r>
      <w:r w:rsidR="00C626FF">
        <w:rPr>
          <w:rFonts w:ascii="Times New Roman" w:eastAsiaTheme="minorEastAsia" w:hAnsi="Times New Roman"/>
          <w:sz w:val="16"/>
          <w:szCs w:val="16"/>
          <w:lang w:eastAsia="zh-HK"/>
        </w:rPr>
        <w:t xml:space="preserve"> </w:t>
      </w:r>
      <w:r w:rsidR="00B927A8">
        <w:rPr>
          <w:rFonts w:ascii="Times New Roman" w:eastAsiaTheme="minorEastAsia" w:hAnsi="Times New Roman"/>
          <w:sz w:val="16"/>
          <w:szCs w:val="16"/>
          <w:lang w:eastAsia="zh-HK"/>
        </w:rPr>
        <w:t>regardless of their G-SII status, suggesting that the threat of being designated as G-SIIs</w:t>
      </w:r>
      <w:r w:rsidR="00422F8F">
        <w:rPr>
          <w:rFonts w:ascii="Times New Roman" w:eastAsiaTheme="minorEastAsia" w:hAnsi="Times New Roman"/>
          <w:sz w:val="16"/>
          <w:szCs w:val="16"/>
          <w:lang w:eastAsia="zh-HK"/>
        </w:rPr>
        <w:t xml:space="preserve"> motivates </w:t>
      </w:r>
      <w:r w:rsidR="00B927A8">
        <w:rPr>
          <w:rFonts w:ascii="Times New Roman" w:eastAsiaTheme="minorEastAsia" w:hAnsi="Times New Roman"/>
          <w:sz w:val="16"/>
          <w:szCs w:val="16"/>
          <w:lang w:eastAsia="zh-HK"/>
        </w:rPr>
        <w:t xml:space="preserve">large insurers to </w:t>
      </w:r>
      <w:r w:rsidR="009A225F">
        <w:rPr>
          <w:rFonts w:ascii="Times New Roman" w:eastAsiaTheme="minorEastAsia" w:hAnsi="Times New Roman"/>
          <w:sz w:val="16"/>
          <w:szCs w:val="16"/>
          <w:lang w:eastAsia="zh-HK"/>
        </w:rPr>
        <w:t xml:space="preserve">change their risk-taking </w:t>
      </w:r>
      <w:r w:rsidR="00200709">
        <w:rPr>
          <w:rFonts w:ascii="Times New Roman" w:eastAsiaTheme="minorEastAsia" w:hAnsi="Times New Roman"/>
          <w:sz w:val="16"/>
          <w:szCs w:val="16"/>
          <w:lang w:eastAsia="zh-HK"/>
        </w:rPr>
        <w:t>behaviors</w:t>
      </w:r>
      <w:r w:rsidR="00B927A8">
        <w:rPr>
          <w:rFonts w:ascii="Times New Roman" w:eastAsiaTheme="minorEastAsia" w:hAnsi="Times New Roman"/>
          <w:sz w:val="16"/>
          <w:szCs w:val="16"/>
          <w:lang w:eastAsia="zh-HK"/>
        </w:rPr>
        <w:t>. Our</w:t>
      </w:r>
      <w:r w:rsidR="002867BD">
        <w:rPr>
          <w:rFonts w:ascii="Times New Roman" w:eastAsiaTheme="minorEastAsia" w:hAnsi="Times New Roman"/>
          <w:sz w:val="16"/>
          <w:szCs w:val="16"/>
          <w:lang w:eastAsia="zh-HK"/>
        </w:rPr>
        <w:t xml:space="preserve"> results are robust to different kind</w:t>
      </w:r>
      <w:r w:rsidR="007B5AC8">
        <w:rPr>
          <w:rFonts w:ascii="Times New Roman" w:eastAsiaTheme="minorEastAsia" w:hAnsi="Times New Roman"/>
          <w:sz w:val="16"/>
          <w:szCs w:val="16"/>
          <w:lang w:eastAsia="zh-HK"/>
        </w:rPr>
        <w:t xml:space="preserve">s of systemic risk measures, different </w:t>
      </w:r>
      <w:r w:rsidR="002867BD">
        <w:rPr>
          <w:rFonts w:ascii="Times New Roman" w:eastAsiaTheme="minorEastAsia" w:hAnsi="Times New Roman"/>
          <w:sz w:val="16"/>
          <w:szCs w:val="16"/>
          <w:lang w:eastAsia="zh-HK"/>
        </w:rPr>
        <w:t>proxies for market index</w:t>
      </w:r>
      <w:r w:rsidR="007B5AC8">
        <w:rPr>
          <w:rFonts w:ascii="Times New Roman" w:eastAsiaTheme="minorEastAsia" w:hAnsi="Times New Roman"/>
          <w:sz w:val="16"/>
          <w:szCs w:val="16"/>
          <w:lang w:eastAsia="zh-HK"/>
        </w:rPr>
        <w:t xml:space="preserve">, </w:t>
      </w:r>
      <w:r w:rsidR="005969F3">
        <w:rPr>
          <w:rFonts w:ascii="Times New Roman" w:eastAsiaTheme="minorEastAsia" w:hAnsi="Times New Roman"/>
          <w:sz w:val="16"/>
          <w:szCs w:val="16"/>
          <w:lang w:eastAsia="zh-HK"/>
        </w:rPr>
        <w:t xml:space="preserve">alternative time period of the treatment effect, </w:t>
      </w:r>
      <w:r w:rsidR="007B5AC8">
        <w:rPr>
          <w:rFonts w:ascii="Times New Roman" w:eastAsiaTheme="minorEastAsia" w:hAnsi="Times New Roman"/>
          <w:sz w:val="16"/>
          <w:szCs w:val="16"/>
          <w:lang w:eastAsia="zh-HK"/>
        </w:rPr>
        <w:t xml:space="preserve">and the </w:t>
      </w:r>
      <w:r w:rsidR="00DD146F">
        <w:rPr>
          <w:rFonts w:ascii="Times New Roman" w:eastAsiaTheme="minorEastAsia" w:hAnsi="Times New Roman"/>
          <w:sz w:val="16"/>
          <w:szCs w:val="16"/>
          <w:lang w:eastAsia="zh-HK"/>
        </w:rPr>
        <w:t>multiple imputation method for addressing</w:t>
      </w:r>
      <w:r w:rsidR="007B5AC8">
        <w:rPr>
          <w:rFonts w:ascii="Times New Roman" w:eastAsiaTheme="minorEastAsia" w:hAnsi="Times New Roman"/>
          <w:sz w:val="16"/>
          <w:szCs w:val="16"/>
          <w:lang w:eastAsia="zh-HK"/>
        </w:rPr>
        <w:t xml:space="preserve"> </w:t>
      </w:r>
      <w:r w:rsidR="00843AC1">
        <w:rPr>
          <w:rFonts w:ascii="Times New Roman" w:eastAsiaTheme="minorEastAsia" w:hAnsi="Times New Roman"/>
          <w:sz w:val="16"/>
          <w:szCs w:val="16"/>
          <w:lang w:eastAsia="zh-HK"/>
        </w:rPr>
        <w:t xml:space="preserve">the problem of </w:t>
      </w:r>
      <w:r w:rsidR="007B5AC8">
        <w:rPr>
          <w:rFonts w:ascii="Times New Roman" w:eastAsiaTheme="minorEastAsia" w:hAnsi="Times New Roman"/>
          <w:sz w:val="16"/>
          <w:szCs w:val="16"/>
          <w:lang w:eastAsia="zh-HK"/>
        </w:rPr>
        <w:t>missing data</w:t>
      </w:r>
      <w:r w:rsidR="002867BD">
        <w:rPr>
          <w:rFonts w:ascii="Times New Roman" w:eastAsiaTheme="minorEastAsia" w:hAnsi="Times New Roman"/>
          <w:sz w:val="16"/>
          <w:szCs w:val="16"/>
          <w:lang w:eastAsia="zh-HK"/>
        </w:rPr>
        <w:t xml:space="preserve">. </w:t>
      </w:r>
      <w:r w:rsidR="00B927A8">
        <w:rPr>
          <w:rFonts w:ascii="Times New Roman" w:eastAsiaTheme="minorEastAsia" w:hAnsi="Times New Roman"/>
          <w:sz w:val="16"/>
          <w:szCs w:val="16"/>
          <w:lang w:eastAsia="zh-HK"/>
        </w:rPr>
        <w:t>The</w:t>
      </w:r>
      <w:r w:rsidR="008D58E2">
        <w:rPr>
          <w:rFonts w:ascii="Times New Roman" w:eastAsiaTheme="minorEastAsia" w:hAnsi="Times New Roman"/>
          <w:sz w:val="16"/>
          <w:szCs w:val="16"/>
          <w:lang w:eastAsia="zh-HK"/>
        </w:rPr>
        <w:t xml:space="preserve"> findings are </w:t>
      </w:r>
      <w:r w:rsidR="00B927A8">
        <w:rPr>
          <w:rFonts w:ascii="Times New Roman" w:eastAsiaTheme="minorEastAsia" w:hAnsi="Times New Roman"/>
          <w:sz w:val="16"/>
          <w:szCs w:val="16"/>
          <w:lang w:eastAsia="zh-HK"/>
        </w:rPr>
        <w:t xml:space="preserve">also </w:t>
      </w:r>
      <w:r w:rsidR="008D58E2">
        <w:rPr>
          <w:rFonts w:ascii="Times New Roman" w:eastAsiaTheme="minorEastAsia" w:hAnsi="Times New Roman"/>
          <w:sz w:val="16"/>
          <w:szCs w:val="16"/>
          <w:lang w:eastAsia="zh-HK"/>
        </w:rPr>
        <w:t xml:space="preserve">valid </w:t>
      </w:r>
      <w:r w:rsidR="00A37F45">
        <w:rPr>
          <w:rFonts w:ascii="Times New Roman" w:eastAsiaTheme="minorEastAsia" w:hAnsi="Times New Roman"/>
          <w:sz w:val="16"/>
          <w:szCs w:val="16"/>
          <w:lang w:eastAsia="zh-HK"/>
        </w:rPr>
        <w:t>if</w:t>
      </w:r>
      <w:r w:rsidR="008D58E2">
        <w:rPr>
          <w:rFonts w:ascii="Times New Roman" w:eastAsiaTheme="minorEastAsia" w:hAnsi="Times New Roman"/>
          <w:sz w:val="16"/>
          <w:szCs w:val="16"/>
          <w:lang w:eastAsia="zh-HK"/>
        </w:rPr>
        <w:t xml:space="preserve"> we </w:t>
      </w:r>
      <w:r w:rsidR="00A37F45">
        <w:rPr>
          <w:rFonts w:ascii="Times New Roman" w:eastAsiaTheme="minorEastAsia" w:hAnsi="Times New Roman"/>
          <w:sz w:val="16"/>
          <w:szCs w:val="16"/>
          <w:lang w:eastAsia="zh-HK"/>
        </w:rPr>
        <w:t>ex</w:t>
      </w:r>
      <w:r w:rsidR="00422F8F">
        <w:rPr>
          <w:rFonts w:ascii="Times New Roman" w:eastAsiaTheme="minorEastAsia" w:hAnsi="Times New Roman"/>
          <w:sz w:val="16"/>
          <w:szCs w:val="16"/>
          <w:lang w:eastAsia="zh-HK"/>
        </w:rPr>
        <w:t xml:space="preserve">clude data </w:t>
      </w:r>
      <w:r w:rsidR="008E3CF6">
        <w:rPr>
          <w:rFonts w:ascii="Times New Roman" w:eastAsiaTheme="minorEastAsia" w:hAnsi="Times New Roman"/>
          <w:sz w:val="16"/>
          <w:szCs w:val="16"/>
          <w:lang w:eastAsia="zh-HK"/>
        </w:rPr>
        <w:t>from</w:t>
      </w:r>
      <w:r w:rsidR="00A37F45">
        <w:rPr>
          <w:rFonts w:ascii="Times New Roman" w:eastAsiaTheme="minorEastAsia" w:hAnsi="Times New Roman"/>
          <w:sz w:val="16"/>
          <w:szCs w:val="16"/>
          <w:lang w:eastAsia="zh-HK"/>
        </w:rPr>
        <w:t xml:space="preserve"> </w:t>
      </w:r>
      <w:r w:rsidR="00EC3515">
        <w:rPr>
          <w:rFonts w:ascii="Times New Roman" w:eastAsiaTheme="minorEastAsia" w:hAnsi="Times New Roman"/>
          <w:sz w:val="16"/>
          <w:szCs w:val="16"/>
          <w:lang w:eastAsia="zh-HK"/>
        </w:rPr>
        <w:t xml:space="preserve">the </w:t>
      </w:r>
      <w:r w:rsidR="00A37F45">
        <w:rPr>
          <w:rFonts w:ascii="Times New Roman" w:eastAsiaTheme="minorEastAsia" w:hAnsi="Times New Roman"/>
          <w:sz w:val="16"/>
          <w:szCs w:val="16"/>
          <w:lang w:eastAsia="zh-HK"/>
        </w:rPr>
        <w:t>financial crisis</w:t>
      </w:r>
      <w:r w:rsidR="008D58E2">
        <w:rPr>
          <w:rFonts w:ascii="Times New Roman" w:eastAsiaTheme="minorEastAsia" w:hAnsi="Times New Roman"/>
          <w:sz w:val="16"/>
          <w:szCs w:val="16"/>
          <w:lang w:eastAsia="zh-HK"/>
        </w:rPr>
        <w:t xml:space="preserve">. </w:t>
      </w:r>
      <w:r w:rsidR="00B662F1">
        <w:rPr>
          <w:rFonts w:ascii="Times New Roman" w:eastAsiaTheme="minorEastAsia" w:hAnsi="Times New Roman"/>
          <w:sz w:val="16"/>
          <w:szCs w:val="16"/>
          <w:lang w:eastAsia="zh-HK"/>
        </w:rPr>
        <w:t>Finally, we calculate the systemic importance score and find that G-SIIs change their characteristics to decrease systemic importance after the new regulation.</w:t>
      </w:r>
    </w:p>
    <w:p w14:paraId="50B86A53" w14:textId="77777777" w:rsidR="0094406C" w:rsidRPr="00B86E32" w:rsidRDefault="0094406C" w:rsidP="00157184">
      <w:pPr>
        <w:spacing w:after="0" w:line="260" w:lineRule="exact"/>
        <w:ind w:firstLine="357"/>
        <w:jc w:val="both"/>
        <w:rPr>
          <w:rFonts w:ascii="Times New Roman" w:eastAsiaTheme="minorEastAsia" w:hAnsi="Times New Roman"/>
          <w:sz w:val="16"/>
          <w:szCs w:val="16"/>
          <w:lang w:eastAsia="zh-HK"/>
        </w:rPr>
      </w:pPr>
    </w:p>
    <w:p w14:paraId="4DD3E458" w14:textId="7070F440" w:rsidR="00962E3F" w:rsidRPr="00B86E32" w:rsidRDefault="00DC63F4" w:rsidP="00157184">
      <w:pPr>
        <w:spacing w:after="0" w:line="260" w:lineRule="exact"/>
        <w:jc w:val="both"/>
        <w:rPr>
          <w:rFonts w:ascii="Times New Roman" w:eastAsiaTheme="minorEastAsia" w:hAnsi="Times New Roman"/>
          <w:sz w:val="16"/>
          <w:szCs w:val="16"/>
          <w:lang w:eastAsia="zh-HK"/>
        </w:rPr>
      </w:pPr>
      <w:r w:rsidRPr="00B86E32">
        <w:rPr>
          <w:rFonts w:ascii="Times New Roman" w:eastAsiaTheme="minorEastAsia" w:hAnsi="Times New Roman"/>
          <w:b/>
          <w:sz w:val="16"/>
          <w:szCs w:val="16"/>
          <w:lang w:eastAsia="zh-HK"/>
        </w:rPr>
        <w:t>Keywords</w:t>
      </w:r>
      <w:r w:rsidRPr="00B86E32">
        <w:rPr>
          <w:rFonts w:ascii="Times New Roman" w:eastAsiaTheme="minorEastAsia" w:hAnsi="Times New Roman"/>
          <w:sz w:val="16"/>
          <w:szCs w:val="16"/>
          <w:lang w:eastAsia="zh-HK"/>
        </w:rPr>
        <w:t xml:space="preserve">: </w:t>
      </w:r>
      <w:r w:rsidR="007C6B25">
        <w:rPr>
          <w:rFonts w:ascii="Times New Roman" w:eastAsiaTheme="minorEastAsia" w:hAnsi="Times New Roman"/>
          <w:sz w:val="16"/>
          <w:szCs w:val="16"/>
          <w:lang w:eastAsia="zh-HK"/>
        </w:rPr>
        <w:t>Systemic R</w:t>
      </w:r>
      <w:r w:rsidR="007936F2">
        <w:rPr>
          <w:rFonts w:ascii="Times New Roman" w:eastAsiaTheme="minorEastAsia" w:hAnsi="Times New Roman"/>
          <w:sz w:val="16"/>
          <w:szCs w:val="16"/>
          <w:lang w:eastAsia="zh-HK"/>
        </w:rPr>
        <w:t>isk; Global Systemically Important Insurers; G-SII; Too-Big-to-Fail; Insurance Regulation</w:t>
      </w:r>
    </w:p>
    <w:p w14:paraId="76A0ABC4" w14:textId="77777777" w:rsidR="00962E3F" w:rsidRPr="007B5AC8" w:rsidRDefault="00962E3F" w:rsidP="00A73428">
      <w:pPr>
        <w:jc w:val="both"/>
        <w:rPr>
          <w:rFonts w:ascii="Times New Roman" w:eastAsiaTheme="minorEastAsia" w:hAnsi="Times New Roman"/>
          <w:sz w:val="24"/>
          <w:szCs w:val="24"/>
          <w:lang w:eastAsia="zh-HK"/>
        </w:rPr>
        <w:sectPr w:rsidR="00962E3F" w:rsidRPr="007B5AC8" w:rsidSect="00157184">
          <w:footerReference w:type="default" r:id="rId9"/>
          <w:pgSz w:w="11906" w:h="16838" w:code="9"/>
          <w:pgMar w:top="2637" w:right="2364" w:bottom="2648" w:left="2347" w:header="720" w:footer="720" w:gutter="0"/>
          <w:pgNumType w:start="0"/>
          <w:cols w:space="425"/>
          <w:titlePg/>
          <w:docGrid w:type="lines" w:linePitch="360"/>
        </w:sectPr>
      </w:pPr>
    </w:p>
    <w:p w14:paraId="0CEA7977" w14:textId="77777777" w:rsidR="00DC63F4" w:rsidRPr="00B86E32" w:rsidRDefault="009616AB" w:rsidP="007E0778">
      <w:pPr>
        <w:pStyle w:val="ListParagraph"/>
        <w:numPr>
          <w:ilvl w:val="0"/>
          <w:numId w:val="1"/>
        </w:numPr>
        <w:spacing w:after="0" w:line="240" w:lineRule="auto"/>
        <w:ind w:leftChars="0" w:left="0" w:firstLine="0"/>
        <w:jc w:val="both"/>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lastRenderedPageBreak/>
        <w:t>Introduction</w:t>
      </w:r>
    </w:p>
    <w:p w14:paraId="5E14996F" w14:textId="6ABE53A4" w:rsidR="00592B5F" w:rsidRDefault="00592B5F" w:rsidP="00BA3FFD">
      <w:pPr>
        <w:spacing w:after="0" w:line="260" w:lineRule="exact"/>
        <w:jc w:val="both"/>
        <w:rPr>
          <w:rFonts w:ascii="Times New Roman" w:eastAsiaTheme="minorEastAsia" w:hAnsi="Times New Roman"/>
          <w:sz w:val="20"/>
          <w:szCs w:val="20"/>
          <w:lang w:eastAsia="zh-HK"/>
        </w:rPr>
      </w:pPr>
    </w:p>
    <w:p w14:paraId="229BB204" w14:textId="4CB9A31D" w:rsidR="00592B5F" w:rsidRDefault="00592B5F" w:rsidP="00592B5F">
      <w:pPr>
        <w:spacing w:after="0" w:line="260" w:lineRule="exact"/>
        <w:ind w:leftChars="257" w:left="565" w:rightChars="241" w:right="530"/>
        <w:jc w:val="both"/>
        <w:rPr>
          <w:rFonts w:ascii="Times New Roman" w:eastAsiaTheme="minorEastAsia" w:hAnsi="Times New Roman"/>
          <w:i/>
          <w:sz w:val="20"/>
          <w:szCs w:val="20"/>
          <w:lang w:eastAsia="zh-HK"/>
        </w:rPr>
      </w:pPr>
      <w:r w:rsidRPr="00592B5F">
        <w:rPr>
          <w:rFonts w:ascii="Times New Roman" w:eastAsiaTheme="minorEastAsia" w:hAnsi="Times New Roman"/>
          <w:i/>
          <w:sz w:val="20"/>
          <w:szCs w:val="20"/>
          <w:lang w:eastAsia="zh-HK"/>
        </w:rPr>
        <w:t>“It is unacceptable that large firms that the government is now compelled to support to preserve financial stability were among the greatest risk-takers during the boom period.  The existence of too-big-to-fail firms also violates the presumption of a level playing field among financial institutions.  In the future, financial firms of any type whose failure would pose a systemic risk must accept especially close regulatory scrutiny of their risk-taking.”</w:t>
      </w:r>
    </w:p>
    <w:p w14:paraId="08B35E23" w14:textId="77777777" w:rsidR="009A225F" w:rsidRPr="00592B5F" w:rsidRDefault="009A225F" w:rsidP="00592B5F">
      <w:pPr>
        <w:spacing w:after="0" w:line="260" w:lineRule="exact"/>
        <w:ind w:leftChars="257" w:left="565" w:rightChars="241" w:right="530"/>
        <w:jc w:val="both"/>
        <w:rPr>
          <w:rFonts w:ascii="Times New Roman" w:eastAsiaTheme="minorEastAsia" w:hAnsi="Times New Roman"/>
          <w:i/>
          <w:sz w:val="20"/>
          <w:szCs w:val="20"/>
          <w:lang w:eastAsia="zh-HK"/>
        </w:rPr>
      </w:pPr>
    </w:p>
    <w:p w14:paraId="0ADBE203" w14:textId="5FBAF7C1" w:rsidR="00592B5F" w:rsidRDefault="00592B5F" w:rsidP="00916EAC">
      <w:pPr>
        <w:spacing w:after="0" w:line="260" w:lineRule="exact"/>
        <w:ind w:leftChars="257" w:left="993" w:rightChars="241" w:right="530" w:hangingChars="214" w:hanging="428"/>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ab/>
      </w:r>
      <w:r w:rsidRPr="00592B5F">
        <w:rPr>
          <w:rFonts w:ascii="Times New Roman" w:eastAsiaTheme="minorEastAsia" w:hAnsi="Times New Roman"/>
          <w:sz w:val="20"/>
          <w:szCs w:val="20"/>
          <w:lang w:eastAsia="zh-HK"/>
        </w:rPr>
        <w:t>Bernanke</w:t>
      </w:r>
      <w:r>
        <w:rPr>
          <w:rFonts w:ascii="Times New Roman" w:eastAsiaTheme="minorEastAsia" w:hAnsi="Times New Roman"/>
          <w:sz w:val="20"/>
          <w:szCs w:val="20"/>
          <w:lang w:eastAsia="zh-HK"/>
        </w:rPr>
        <w:t xml:space="preserve">, </w:t>
      </w:r>
      <w:r w:rsidR="00916EAC">
        <w:rPr>
          <w:rFonts w:ascii="Times New Roman" w:eastAsiaTheme="minorEastAsia" w:hAnsi="Times New Roman"/>
          <w:sz w:val="20"/>
          <w:szCs w:val="20"/>
          <w:lang w:eastAsia="zh-HK"/>
        </w:rPr>
        <w:t>Ben</w:t>
      </w:r>
      <w:r w:rsidR="008114DD">
        <w:rPr>
          <w:rFonts w:ascii="Times New Roman" w:eastAsiaTheme="minorEastAsia" w:hAnsi="Times New Roman"/>
          <w:sz w:val="20"/>
          <w:szCs w:val="20"/>
          <w:lang w:eastAsia="zh-HK"/>
        </w:rPr>
        <w:t>, former</w:t>
      </w:r>
      <w:r w:rsidR="00683D40">
        <w:rPr>
          <w:rFonts w:ascii="Times New Roman" w:eastAsiaTheme="minorEastAsia" w:hAnsi="Times New Roman"/>
          <w:sz w:val="20"/>
          <w:szCs w:val="20"/>
          <w:lang w:eastAsia="zh-HK"/>
        </w:rPr>
        <w:t xml:space="preserve"> Chairman of Federal Reserve</w:t>
      </w:r>
      <w:r w:rsidR="00916EAC">
        <w:rPr>
          <w:rFonts w:ascii="Times New Roman" w:eastAsiaTheme="minorEastAsia" w:hAnsi="Times New Roman"/>
          <w:sz w:val="20"/>
          <w:szCs w:val="20"/>
          <w:lang w:eastAsia="zh-HK"/>
        </w:rPr>
        <w:t>. “</w:t>
      </w:r>
      <w:r w:rsidR="00916EAC" w:rsidRPr="00916EAC">
        <w:rPr>
          <w:rFonts w:ascii="Times New Roman" w:eastAsiaTheme="minorEastAsia" w:hAnsi="Times New Roman"/>
          <w:sz w:val="20"/>
          <w:szCs w:val="20"/>
          <w:lang w:eastAsia="zh-HK"/>
        </w:rPr>
        <w:t>The Crisis and the Policy Response</w:t>
      </w:r>
      <w:r w:rsidR="00916EAC">
        <w:rPr>
          <w:rFonts w:ascii="Times New Roman" w:eastAsiaTheme="minorEastAsia" w:hAnsi="Times New Roman"/>
          <w:sz w:val="20"/>
          <w:szCs w:val="20"/>
          <w:lang w:eastAsia="zh-HK"/>
        </w:rPr>
        <w:t xml:space="preserve">.” 13 January 2009, </w:t>
      </w:r>
      <w:r w:rsidR="00916EAC" w:rsidRPr="00916EAC">
        <w:rPr>
          <w:rFonts w:ascii="Times New Roman" w:eastAsiaTheme="minorEastAsia" w:hAnsi="Times New Roman"/>
          <w:sz w:val="20"/>
          <w:szCs w:val="20"/>
          <w:lang w:eastAsia="zh-HK"/>
        </w:rPr>
        <w:t>London School of Economics, London, England</w:t>
      </w:r>
      <w:r w:rsidR="00916EAC">
        <w:rPr>
          <w:rFonts w:ascii="Times New Roman" w:eastAsiaTheme="minorEastAsia" w:hAnsi="Times New Roman"/>
          <w:sz w:val="20"/>
          <w:szCs w:val="20"/>
          <w:lang w:eastAsia="zh-HK"/>
        </w:rPr>
        <w:t>. Speech.</w:t>
      </w:r>
    </w:p>
    <w:p w14:paraId="07291257" w14:textId="77777777" w:rsidR="00592B5F" w:rsidRDefault="00592B5F" w:rsidP="00BA3FFD">
      <w:pPr>
        <w:spacing w:after="0" w:line="260" w:lineRule="exact"/>
        <w:jc w:val="both"/>
        <w:rPr>
          <w:rFonts w:ascii="Times New Roman" w:eastAsiaTheme="minorEastAsia" w:hAnsi="Times New Roman"/>
          <w:sz w:val="20"/>
          <w:szCs w:val="20"/>
          <w:lang w:eastAsia="zh-HK"/>
        </w:rPr>
      </w:pPr>
    </w:p>
    <w:p w14:paraId="1A427611" w14:textId="56599C59" w:rsidR="00247C72" w:rsidRPr="00B86E32" w:rsidRDefault="00555D05"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The financial crisis in 2008 raised the public awareness of the “too-big-to-fail” problem. </w:t>
      </w:r>
      <w:r w:rsidR="00A51405">
        <w:rPr>
          <w:rFonts w:ascii="Times New Roman" w:eastAsiaTheme="minorEastAsia" w:hAnsi="Times New Roman"/>
          <w:sz w:val="20"/>
          <w:szCs w:val="20"/>
          <w:lang w:eastAsia="zh-HK"/>
        </w:rPr>
        <w:t>Subsequent</w:t>
      </w:r>
      <w:r>
        <w:rPr>
          <w:rFonts w:ascii="Times New Roman" w:eastAsiaTheme="minorEastAsia" w:hAnsi="Times New Roman"/>
          <w:sz w:val="20"/>
          <w:szCs w:val="20"/>
          <w:lang w:eastAsia="zh-HK"/>
        </w:rPr>
        <w:t xml:space="preserve"> to </w:t>
      </w:r>
      <w:r w:rsidR="00A51405">
        <w:rPr>
          <w:rFonts w:ascii="Times New Roman" w:eastAsiaTheme="minorEastAsia" w:hAnsi="Times New Roman"/>
          <w:sz w:val="20"/>
          <w:szCs w:val="20"/>
          <w:lang w:eastAsia="zh-HK"/>
        </w:rPr>
        <w:t xml:space="preserve">the </w:t>
      </w:r>
      <w:r>
        <w:rPr>
          <w:rFonts w:ascii="Times New Roman" w:eastAsiaTheme="minorEastAsia" w:hAnsi="Times New Roman"/>
          <w:sz w:val="20"/>
          <w:szCs w:val="20"/>
          <w:lang w:eastAsia="zh-HK"/>
        </w:rPr>
        <w:t xml:space="preserve">G20 Leaders’ </w:t>
      </w:r>
      <w:r w:rsidR="00A51405">
        <w:rPr>
          <w:rFonts w:ascii="Times New Roman" w:eastAsiaTheme="minorEastAsia" w:hAnsi="Times New Roman"/>
          <w:sz w:val="20"/>
          <w:szCs w:val="20"/>
          <w:lang w:eastAsia="zh-HK"/>
        </w:rPr>
        <w:t>declaration made in November 201</w:t>
      </w:r>
      <w:r w:rsidR="0023209C">
        <w:rPr>
          <w:rFonts w:ascii="Times New Roman" w:eastAsiaTheme="minorEastAsia" w:hAnsi="Times New Roman"/>
          <w:sz w:val="20"/>
          <w:szCs w:val="20"/>
          <w:lang w:eastAsia="zh-HK"/>
        </w:rPr>
        <w:t>1</w:t>
      </w:r>
      <w:r w:rsidR="00A51405">
        <w:rPr>
          <w:rFonts w:ascii="Times New Roman" w:eastAsiaTheme="minorEastAsia" w:hAnsi="Times New Roman"/>
          <w:sz w:val="20"/>
          <w:szCs w:val="20"/>
          <w:lang w:eastAsia="zh-HK"/>
        </w:rPr>
        <w:t xml:space="preserve"> expressing the need</w:t>
      </w:r>
      <w:r>
        <w:rPr>
          <w:rFonts w:ascii="Times New Roman" w:eastAsiaTheme="minorEastAsia" w:hAnsi="Times New Roman"/>
          <w:sz w:val="20"/>
          <w:szCs w:val="20"/>
          <w:lang w:eastAsia="zh-HK"/>
        </w:rPr>
        <w:t xml:space="preserve"> to address the</w:t>
      </w:r>
      <w:r w:rsidR="0008724B">
        <w:rPr>
          <w:rFonts w:ascii="Times New Roman" w:eastAsiaTheme="minorEastAsia" w:hAnsi="Times New Roman"/>
          <w:sz w:val="20"/>
          <w:szCs w:val="20"/>
          <w:lang w:eastAsia="zh-HK"/>
        </w:rPr>
        <w:t xml:space="preserve"> moral hazard and systemic risk</w:t>
      </w:r>
      <w:r>
        <w:rPr>
          <w:rFonts w:ascii="Times New Roman" w:eastAsiaTheme="minorEastAsia" w:hAnsi="Times New Roman"/>
          <w:sz w:val="20"/>
          <w:szCs w:val="20"/>
          <w:lang w:eastAsia="zh-HK"/>
        </w:rPr>
        <w:t xml:space="preserve"> of </w:t>
      </w:r>
      <w:r w:rsidR="007B04D3">
        <w:rPr>
          <w:rFonts w:ascii="Times New Roman" w:eastAsiaTheme="minorEastAsia" w:hAnsi="Times New Roman"/>
          <w:sz w:val="20"/>
          <w:szCs w:val="20"/>
          <w:lang w:eastAsia="zh-HK"/>
        </w:rPr>
        <w:t>global systemically important in</w:t>
      </w:r>
      <w:r w:rsidR="00A51405">
        <w:rPr>
          <w:rFonts w:ascii="Times New Roman" w:eastAsiaTheme="minorEastAsia" w:hAnsi="Times New Roman"/>
          <w:sz w:val="20"/>
          <w:szCs w:val="20"/>
          <w:lang w:eastAsia="zh-HK"/>
        </w:rPr>
        <w:t>surers (G-SIIs)</w:t>
      </w:r>
      <w:r>
        <w:rPr>
          <w:rFonts w:ascii="Times New Roman" w:eastAsiaTheme="minorEastAsia" w:hAnsi="Times New Roman"/>
          <w:sz w:val="20"/>
          <w:szCs w:val="20"/>
          <w:lang w:eastAsia="zh-HK"/>
        </w:rPr>
        <w:t>, the International Association of Insurance Supervisors (IAIS) published the methodologies</w:t>
      </w:r>
      <w:r w:rsidR="007B04D3">
        <w:rPr>
          <w:rFonts w:ascii="Times New Roman" w:eastAsiaTheme="minorEastAsia" w:hAnsi="Times New Roman"/>
          <w:sz w:val="20"/>
          <w:szCs w:val="20"/>
          <w:lang w:eastAsia="zh-HK"/>
        </w:rPr>
        <w:t xml:space="preserve"> of assessing G-SIIs</w:t>
      </w:r>
      <w:r>
        <w:rPr>
          <w:rFonts w:ascii="Times New Roman" w:eastAsiaTheme="minorEastAsia" w:hAnsi="Times New Roman"/>
          <w:sz w:val="20"/>
          <w:szCs w:val="20"/>
          <w:lang w:eastAsia="zh-HK"/>
        </w:rPr>
        <w:t xml:space="preserve"> (IAIS, 2013a) and the policy measures applicable to them (IAIS, 2013b)</w:t>
      </w:r>
      <w:r w:rsidR="00F52CA5">
        <w:rPr>
          <w:rFonts w:ascii="Times New Roman" w:eastAsiaTheme="minorEastAsia" w:hAnsi="Times New Roman"/>
          <w:sz w:val="20"/>
          <w:szCs w:val="20"/>
          <w:lang w:eastAsia="zh-HK"/>
        </w:rPr>
        <w:t xml:space="preserve"> in July 2013</w:t>
      </w:r>
      <w:r>
        <w:rPr>
          <w:rFonts w:ascii="Times New Roman" w:eastAsiaTheme="minorEastAsia" w:hAnsi="Times New Roman"/>
          <w:sz w:val="20"/>
          <w:szCs w:val="20"/>
          <w:lang w:eastAsia="zh-HK"/>
        </w:rPr>
        <w:t xml:space="preserve">. </w:t>
      </w:r>
      <w:r w:rsidR="00A51405">
        <w:rPr>
          <w:rFonts w:ascii="Times New Roman" w:eastAsiaTheme="minorEastAsia" w:hAnsi="Times New Roman"/>
          <w:sz w:val="20"/>
          <w:szCs w:val="20"/>
          <w:lang w:eastAsia="zh-HK"/>
        </w:rPr>
        <w:t>Shortly after</w:t>
      </w:r>
      <w:r w:rsidR="00A82101">
        <w:rPr>
          <w:rFonts w:ascii="Times New Roman" w:eastAsiaTheme="minorEastAsia" w:hAnsi="Times New Roman"/>
          <w:sz w:val="20"/>
          <w:szCs w:val="20"/>
          <w:lang w:eastAsia="zh-HK"/>
        </w:rPr>
        <w:t>wards</w:t>
      </w:r>
      <w:r w:rsidR="00F52CA5">
        <w:rPr>
          <w:rFonts w:ascii="Times New Roman" w:eastAsiaTheme="minorEastAsia" w:hAnsi="Times New Roman"/>
          <w:sz w:val="20"/>
          <w:szCs w:val="20"/>
          <w:lang w:eastAsia="zh-HK"/>
        </w:rPr>
        <w:t>, the IAIS also publish</w:t>
      </w:r>
      <w:r w:rsidR="007B04D3">
        <w:rPr>
          <w:rFonts w:ascii="Times New Roman" w:eastAsiaTheme="minorEastAsia" w:hAnsi="Times New Roman"/>
          <w:sz w:val="20"/>
          <w:szCs w:val="20"/>
          <w:lang w:eastAsia="zh-HK"/>
        </w:rPr>
        <w:t>ed</w:t>
      </w:r>
      <w:r w:rsidR="00F52CA5">
        <w:rPr>
          <w:rFonts w:ascii="Times New Roman" w:eastAsiaTheme="minorEastAsia" w:hAnsi="Times New Roman"/>
          <w:sz w:val="20"/>
          <w:szCs w:val="20"/>
          <w:lang w:eastAsia="zh-HK"/>
        </w:rPr>
        <w:t xml:space="preserve"> the basic capital requirements (BCR) for G-SIIs </w:t>
      </w:r>
      <w:r w:rsidR="006E056A">
        <w:rPr>
          <w:rFonts w:ascii="Times New Roman" w:eastAsiaTheme="minorEastAsia" w:hAnsi="Times New Roman"/>
          <w:sz w:val="20"/>
          <w:szCs w:val="20"/>
          <w:lang w:eastAsia="zh-HK"/>
        </w:rPr>
        <w:t xml:space="preserve">(IAIS, 2014) </w:t>
      </w:r>
      <w:r w:rsidR="00F52CA5">
        <w:rPr>
          <w:rFonts w:ascii="Times New Roman" w:eastAsiaTheme="minorEastAsia" w:hAnsi="Times New Roman"/>
          <w:sz w:val="20"/>
          <w:szCs w:val="20"/>
          <w:lang w:eastAsia="zh-HK"/>
        </w:rPr>
        <w:t xml:space="preserve">in October 2014 and the higher loss absorbency (HLA) requirements for G-SIIs </w:t>
      </w:r>
      <w:r w:rsidR="006E056A">
        <w:rPr>
          <w:rFonts w:ascii="Times New Roman" w:eastAsiaTheme="minorEastAsia" w:hAnsi="Times New Roman"/>
          <w:sz w:val="20"/>
          <w:szCs w:val="20"/>
          <w:lang w:eastAsia="zh-HK"/>
        </w:rPr>
        <w:t xml:space="preserve">(IAIS, 2015) </w:t>
      </w:r>
      <w:r w:rsidR="00F52CA5">
        <w:rPr>
          <w:rFonts w:ascii="Times New Roman" w:eastAsiaTheme="minorEastAsia" w:hAnsi="Times New Roman"/>
          <w:sz w:val="20"/>
          <w:szCs w:val="20"/>
          <w:lang w:eastAsia="zh-HK"/>
        </w:rPr>
        <w:t xml:space="preserve">in October 2015. </w:t>
      </w:r>
      <w:r w:rsidR="00595C7F">
        <w:rPr>
          <w:rFonts w:ascii="Times New Roman" w:eastAsiaTheme="minorEastAsia" w:hAnsi="Times New Roman"/>
          <w:sz w:val="20"/>
          <w:szCs w:val="20"/>
          <w:lang w:eastAsia="zh-HK"/>
        </w:rPr>
        <w:t>The intention of the new regulation is to</w:t>
      </w:r>
      <w:r w:rsidR="003D7803">
        <w:rPr>
          <w:rFonts w:ascii="Times New Roman" w:eastAsiaTheme="minorEastAsia" w:hAnsi="Times New Roman"/>
          <w:sz w:val="20"/>
          <w:szCs w:val="20"/>
          <w:lang w:eastAsia="zh-HK"/>
        </w:rPr>
        <w:t xml:space="preserve"> reduce the systemic risk</w:t>
      </w:r>
      <w:r w:rsidR="00A2397B">
        <w:rPr>
          <w:rFonts w:ascii="Times New Roman" w:eastAsiaTheme="minorEastAsia" w:hAnsi="Times New Roman"/>
          <w:sz w:val="20"/>
          <w:szCs w:val="20"/>
          <w:lang w:eastAsia="zh-HK"/>
        </w:rPr>
        <w:t xml:space="preserve"> of G-SIIs so that the moral hazard associated with government interventions during the financial distress of G-SIIs can be minimized. </w:t>
      </w:r>
      <w:r w:rsidR="00CE6EA8">
        <w:rPr>
          <w:rFonts w:ascii="Times New Roman" w:eastAsiaTheme="minorEastAsia" w:hAnsi="Times New Roman"/>
          <w:sz w:val="20"/>
          <w:szCs w:val="20"/>
          <w:lang w:eastAsia="zh-HK"/>
        </w:rPr>
        <w:t>Howeve</w:t>
      </w:r>
      <w:r w:rsidR="009F2C83">
        <w:rPr>
          <w:rFonts w:ascii="Times New Roman" w:eastAsiaTheme="minorEastAsia" w:hAnsi="Times New Roman"/>
          <w:sz w:val="20"/>
          <w:szCs w:val="20"/>
          <w:lang w:eastAsia="zh-HK"/>
        </w:rPr>
        <w:t>r, the question of whether the new regulation</w:t>
      </w:r>
      <w:r w:rsidR="00CE6EA8">
        <w:rPr>
          <w:rFonts w:ascii="Times New Roman" w:eastAsiaTheme="minorEastAsia" w:hAnsi="Times New Roman"/>
          <w:sz w:val="20"/>
          <w:szCs w:val="20"/>
          <w:lang w:eastAsia="zh-HK"/>
        </w:rPr>
        <w:t xml:space="preserve"> </w:t>
      </w:r>
      <w:r w:rsidR="0004291E">
        <w:rPr>
          <w:rFonts w:ascii="Times New Roman" w:eastAsiaTheme="minorEastAsia" w:hAnsi="Times New Roman"/>
          <w:sz w:val="20"/>
          <w:szCs w:val="20"/>
          <w:lang w:eastAsia="zh-HK"/>
        </w:rPr>
        <w:t>is</w:t>
      </w:r>
      <w:r w:rsidR="00CE6EA8">
        <w:rPr>
          <w:rFonts w:ascii="Times New Roman" w:eastAsiaTheme="minorEastAsia" w:hAnsi="Times New Roman"/>
          <w:sz w:val="20"/>
          <w:szCs w:val="20"/>
          <w:lang w:eastAsia="zh-HK"/>
        </w:rPr>
        <w:t xml:space="preserve"> successful in achieving the intended objective is </w:t>
      </w:r>
      <w:r w:rsidR="00CE6EA8" w:rsidRPr="00B86E32">
        <w:rPr>
          <w:rFonts w:ascii="Times New Roman" w:eastAsiaTheme="minorEastAsia" w:hAnsi="Times New Roman"/>
          <w:sz w:val="20"/>
          <w:szCs w:val="20"/>
          <w:lang w:eastAsia="zh-HK"/>
        </w:rPr>
        <w:t>contentious</w:t>
      </w:r>
      <w:r w:rsidR="00CE6EA8">
        <w:rPr>
          <w:rFonts w:ascii="Times New Roman" w:eastAsiaTheme="minorEastAsia" w:hAnsi="Times New Roman"/>
          <w:sz w:val="20"/>
          <w:szCs w:val="20"/>
          <w:lang w:eastAsia="zh-HK"/>
        </w:rPr>
        <w:t>.</w:t>
      </w:r>
    </w:p>
    <w:p w14:paraId="02B8279F" w14:textId="77777777" w:rsidR="00247C72" w:rsidRPr="00B86E32" w:rsidRDefault="00247C72" w:rsidP="00BA3FFD">
      <w:pPr>
        <w:spacing w:after="0" w:line="260" w:lineRule="exact"/>
        <w:jc w:val="both"/>
        <w:rPr>
          <w:rFonts w:ascii="Times New Roman" w:eastAsiaTheme="minorEastAsia" w:hAnsi="Times New Roman"/>
          <w:sz w:val="20"/>
          <w:szCs w:val="20"/>
          <w:lang w:eastAsia="zh-HK"/>
        </w:rPr>
      </w:pPr>
    </w:p>
    <w:p w14:paraId="6DD4B023" w14:textId="390F30C0" w:rsidR="00247C72" w:rsidRPr="00B86E32" w:rsidRDefault="0006137C"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On the one hand, </w:t>
      </w:r>
      <w:r w:rsidRPr="0006137C">
        <w:rPr>
          <w:rFonts w:ascii="Times New Roman" w:eastAsiaTheme="minorEastAsia" w:hAnsi="Times New Roman"/>
          <w:sz w:val="20"/>
          <w:szCs w:val="20"/>
          <w:lang w:eastAsia="zh-HK"/>
        </w:rPr>
        <w:t xml:space="preserve">the grounds of enhancing supervision on G-SIIs </w:t>
      </w:r>
      <w:r w:rsidR="005D3AC0">
        <w:rPr>
          <w:rFonts w:ascii="Times New Roman" w:eastAsiaTheme="minorEastAsia" w:hAnsi="Times New Roman"/>
          <w:sz w:val="20"/>
          <w:szCs w:val="20"/>
          <w:lang w:eastAsia="zh-HK"/>
        </w:rPr>
        <w:t>have been well documented in</w:t>
      </w:r>
      <w:r w:rsidRPr="0006137C">
        <w:rPr>
          <w:rFonts w:ascii="Times New Roman" w:eastAsiaTheme="minorEastAsia" w:hAnsi="Times New Roman"/>
          <w:sz w:val="20"/>
          <w:szCs w:val="20"/>
          <w:lang w:eastAsia="zh-HK"/>
        </w:rPr>
        <w:t xml:space="preserve"> literature. One of the most discussed problems about G</w:t>
      </w:r>
      <w:r w:rsidR="003D7803">
        <w:rPr>
          <w:rFonts w:ascii="Times New Roman" w:eastAsiaTheme="minorEastAsia" w:hAnsi="Times New Roman"/>
          <w:sz w:val="20"/>
          <w:szCs w:val="20"/>
          <w:lang w:eastAsia="zh-HK"/>
        </w:rPr>
        <w:t xml:space="preserve">-SIIs is moral hazard (e.g. </w:t>
      </w:r>
      <w:r w:rsidRPr="0006137C">
        <w:rPr>
          <w:rFonts w:ascii="Times New Roman" w:eastAsiaTheme="minorEastAsia" w:hAnsi="Times New Roman"/>
          <w:sz w:val="20"/>
          <w:szCs w:val="20"/>
          <w:lang w:eastAsia="zh-HK"/>
        </w:rPr>
        <w:t xml:space="preserve">Kim, 2011; </w:t>
      </w:r>
      <w:proofErr w:type="spellStart"/>
      <w:r w:rsidRPr="0006137C">
        <w:rPr>
          <w:rFonts w:ascii="Times New Roman" w:eastAsiaTheme="minorEastAsia" w:hAnsi="Times New Roman"/>
          <w:sz w:val="20"/>
          <w:szCs w:val="20"/>
          <w:lang w:eastAsia="zh-HK"/>
        </w:rPr>
        <w:t>Ötker</w:t>
      </w:r>
      <w:proofErr w:type="spellEnd"/>
      <w:r w:rsidRPr="0006137C">
        <w:rPr>
          <w:rFonts w:ascii="Times New Roman" w:eastAsiaTheme="minorEastAsia" w:hAnsi="Times New Roman"/>
          <w:sz w:val="20"/>
          <w:szCs w:val="20"/>
          <w:lang w:eastAsia="zh-HK"/>
        </w:rPr>
        <w:t xml:space="preserve"> </w:t>
      </w:r>
      <w:r w:rsidRPr="00FF6AED">
        <w:rPr>
          <w:rFonts w:ascii="Times New Roman" w:eastAsiaTheme="minorEastAsia" w:hAnsi="Times New Roman"/>
          <w:i/>
          <w:sz w:val="20"/>
          <w:szCs w:val="20"/>
          <w:lang w:eastAsia="zh-HK"/>
        </w:rPr>
        <w:t>et al</w:t>
      </w:r>
      <w:r w:rsidR="00FF6AED">
        <w:rPr>
          <w:rFonts w:ascii="Times New Roman" w:eastAsiaTheme="minorEastAsia" w:hAnsi="Times New Roman"/>
          <w:sz w:val="20"/>
          <w:szCs w:val="20"/>
          <w:lang w:eastAsia="zh-HK"/>
        </w:rPr>
        <w:t>.</w:t>
      </w:r>
      <w:r w:rsidRPr="0006137C">
        <w:rPr>
          <w:rFonts w:ascii="Times New Roman" w:eastAsiaTheme="minorEastAsia" w:hAnsi="Times New Roman"/>
          <w:sz w:val="20"/>
          <w:szCs w:val="20"/>
          <w:lang w:eastAsia="zh-HK"/>
        </w:rPr>
        <w:t>, 2011). When the failure of a G-SII can threaten the stability of the economy, the market would expect the government to provide assistance to prevent the G-SII from liquidating or to provide guarantees to protect the creditors. With such expectation, creditors and credit rating agencies do not fully price the credit risk of lending to the G-SII, resulting in a lower cost of finance. In fact, Ueda and Di Mauro (2013) estimate that</w:t>
      </w:r>
      <w:r w:rsidR="005358B6">
        <w:rPr>
          <w:rFonts w:ascii="Times New Roman" w:eastAsiaTheme="minorEastAsia" w:hAnsi="Times New Roman"/>
          <w:sz w:val="20"/>
          <w:szCs w:val="20"/>
          <w:lang w:eastAsia="zh-HK"/>
        </w:rPr>
        <w:t xml:space="preserve"> systemically important financial institutions</w:t>
      </w:r>
      <w:r w:rsidRPr="0006137C">
        <w:rPr>
          <w:rFonts w:ascii="Times New Roman" w:eastAsiaTheme="minorEastAsia" w:hAnsi="Times New Roman"/>
          <w:sz w:val="20"/>
          <w:szCs w:val="20"/>
          <w:lang w:eastAsia="zh-HK"/>
        </w:rPr>
        <w:t xml:space="preserve"> </w:t>
      </w:r>
      <w:r w:rsidR="005358B6">
        <w:rPr>
          <w:rFonts w:ascii="Times New Roman" w:eastAsiaTheme="minorEastAsia" w:hAnsi="Times New Roman"/>
          <w:sz w:val="20"/>
          <w:szCs w:val="20"/>
          <w:lang w:eastAsia="zh-HK"/>
        </w:rPr>
        <w:t>(</w:t>
      </w:r>
      <w:r w:rsidRPr="0006137C">
        <w:rPr>
          <w:rFonts w:ascii="Times New Roman" w:eastAsiaTheme="minorEastAsia" w:hAnsi="Times New Roman"/>
          <w:sz w:val="20"/>
          <w:szCs w:val="20"/>
          <w:lang w:eastAsia="zh-HK"/>
        </w:rPr>
        <w:t>SIFIs</w:t>
      </w:r>
      <w:r w:rsidR="005358B6">
        <w:rPr>
          <w:rFonts w:ascii="Times New Roman" w:eastAsiaTheme="minorEastAsia" w:hAnsi="Times New Roman"/>
          <w:sz w:val="20"/>
          <w:szCs w:val="20"/>
          <w:lang w:eastAsia="zh-HK"/>
        </w:rPr>
        <w:t>)</w:t>
      </w:r>
      <w:r w:rsidRPr="0006137C">
        <w:rPr>
          <w:rFonts w:ascii="Times New Roman" w:eastAsiaTheme="minorEastAsia" w:hAnsi="Times New Roman"/>
          <w:sz w:val="20"/>
          <w:szCs w:val="20"/>
          <w:lang w:eastAsia="zh-HK"/>
        </w:rPr>
        <w:t xml:space="preserve"> have a funding cost advantage of between 60bps and 80bps, which is also consistent with </w:t>
      </w:r>
      <w:proofErr w:type="spellStart"/>
      <w:r w:rsidRPr="0006137C">
        <w:rPr>
          <w:rFonts w:ascii="Times New Roman" w:eastAsiaTheme="minorEastAsia" w:hAnsi="Times New Roman"/>
          <w:sz w:val="20"/>
          <w:szCs w:val="20"/>
          <w:lang w:eastAsia="zh-HK"/>
        </w:rPr>
        <w:t>Araten</w:t>
      </w:r>
      <w:proofErr w:type="spellEnd"/>
      <w:r w:rsidRPr="0006137C">
        <w:rPr>
          <w:rFonts w:ascii="Times New Roman" w:eastAsiaTheme="minorEastAsia" w:hAnsi="Times New Roman"/>
          <w:sz w:val="20"/>
          <w:szCs w:val="20"/>
          <w:lang w:eastAsia="zh-HK"/>
        </w:rPr>
        <w:t xml:space="preserve"> and Turner (2013)’s findings. The funding cost advantage </w:t>
      </w:r>
      <w:r w:rsidR="00340F60">
        <w:rPr>
          <w:rFonts w:ascii="Times New Roman" w:eastAsiaTheme="minorEastAsia" w:hAnsi="Times New Roman"/>
          <w:sz w:val="20"/>
          <w:szCs w:val="20"/>
          <w:lang w:eastAsia="zh-HK"/>
        </w:rPr>
        <w:t>reduces market discipline on</w:t>
      </w:r>
      <w:r w:rsidRPr="0006137C">
        <w:rPr>
          <w:rFonts w:ascii="Times New Roman" w:eastAsiaTheme="minorEastAsia" w:hAnsi="Times New Roman"/>
          <w:sz w:val="20"/>
          <w:szCs w:val="20"/>
          <w:lang w:eastAsia="zh-HK"/>
        </w:rPr>
        <w:t xml:space="preserve"> G-SII</w:t>
      </w:r>
      <w:r w:rsidR="00340F60">
        <w:rPr>
          <w:rFonts w:ascii="Times New Roman" w:eastAsiaTheme="minorEastAsia" w:hAnsi="Times New Roman"/>
          <w:sz w:val="20"/>
          <w:szCs w:val="20"/>
          <w:lang w:eastAsia="zh-HK"/>
        </w:rPr>
        <w:t>s</w:t>
      </w:r>
      <w:r w:rsidRPr="0006137C">
        <w:rPr>
          <w:rFonts w:ascii="Times New Roman" w:eastAsiaTheme="minorEastAsia" w:hAnsi="Times New Roman"/>
          <w:sz w:val="20"/>
          <w:szCs w:val="20"/>
          <w:lang w:eastAsia="zh-HK"/>
        </w:rPr>
        <w:t xml:space="preserve"> and encourages G-SII</w:t>
      </w:r>
      <w:r w:rsidR="00340F60">
        <w:rPr>
          <w:rFonts w:ascii="Times New Roman" w:eastAsiaTheme="minorEastAsia" w:hAnsi="Times New Roman"/>
          <w:sz w:val="20"/>
          <w:szCs w:val="20"/>
          <w:lang w:eastAsia="zh-HK"/>
        </w:rPr>
        <w:t>s</w:t>
      </w:r>
      <w:r w:rsidRPr="0006137C">
        <w:rPr>
          <w:rFonts w:ascii="Times New Roman" w:eastAsiaTheme="minorEastAsia" w:hAnsi="Times New Roman"/>
          <w:sz w:val="20"/>
          <w:szCs w:val="20"/>
          <w:lang w:eastAsia="zh-HK"/>
        </w:rPr>
        <w:t xml:space="preserve"> to take greater risks and further expansion. This moral hazard leads to inefficient capital allocation and taxpayers have to pay for the cost of bailing out G-SIIs when they are in trouble. This is consistent with </w:t>
      </w:r>
      <w:proofErr w:type="spellStart"/>
      <w:r w:rsidRPr="0006137C">
        <w:rPr>
          <w:rFonts w:ascii="Times New Roman" w:eastAsiaTheme="minorEastAsia" w:hAnsi="Times New Roman"/>
          <w:sz w:val="20"/>
          <w:szCs w:val="20"/>
          <w:lang w:eastAsia="zh-HK"/>
        </w:rPr>
        <w:t>Dombret</w:t>
      </w:r>
      <w:proofErr w:type="spellEnd"/>
      <w:r w:rsidRPr="0006137C">
        <w:rPr>
          <w:rFonts w:ascii="Times New Roman" w:eastAsiaTheme="minorEastAsia" w:hAnsi="Times New Roman"/>
          <w:sz w:val="20"/>
          <w:szCs w:val="20"/>
          <w:lang w:eastAsia="zh-HK"/>
        </w:rPr>
        <w:t xml:space="preserve"> and </w:t>
      </w:r>
      <w:proofErr w:type="spellStart"/>
      <w:r w:rsidRPr="0006137C">
        <w:rPr>
          <w:rFonts w:ascii="Times New Roman" w:eastAsiaTheme="minorEastAsia" w:hAnsi="Times New Roman"/>
          <w:sz w:val="20"/>
          <w:szCs w:val="20"/>
          <w:lang w:eastAsia="zh-HK"/>
        </w:rPr>
        <w:t>Ebner</w:t>
      </w:r>
      <w:proofErr w:type="spellEnd"/>
      <w:r w:rsidRPr="0006137C">
        <w:rPr>
          <w:rFonts w:ascii="Times New Roman" w:eastAsiaTheme="minorEastAsia" w:hAnsi="Times New Roman"/>
          <w:sz w:val="20"/>
          <w:szCs w:val="20"/>
          <w:lang w:eastAsia="zh-HK"/>
        </w:rPr>
        <w:t xml:space="preserve"> (2013) in the sense that SIFIs make decisions mainly based on their private benefits and costs, but lack the incentive to factor the macroec</w:t>
      </w:r>
      <w:r w:rsidR="003D7803">
        <w:rPr>
          <w:rFonts w:ascii="Times New Roman" w:eastAsiaTheme="minorEastAsia" w:hAnsi="Times New Roman"/>
          <w:sz w:val="20"/>
          <w:szCs w:val="20"/>
          <w:lang w:eastAsia="zh-HK"/>
        </w:rPr>
        <w:t>onomic costs arisen from systemic risk</w:t>
      </w:r>
      <w:r w:rsidRPr="0006137C">
        <w:rPr>
          <w:rFonts w:ascii="Times New Roman" w:eastAsiaTheme="minorEastAsia" w:hAnsi="Times New Roman"/>
          <w:sz w:val="20"/>
          <w:szCs w:val="20"/>
          <w:lang w:eastAsia="zh-HK"/>
        </w:rPr>
        <w:t xml:space="preserve"> into their decision-making process. Apart from the moral hazard problem, large financial institutions also have negative impact on social welfare. Boyd and </w:t>
      </w:r>
      <w:proofErr w:type="spellStart"/>
      <w:r w:rsidRPr="0006137C">
        <w:rPr>
          <w:rFonts w:ascii="Times New Roman" w:eastAsiaTheme="minorEastAsia" w:hAnsi="Times New Roman"/>
          <w:sz w:val="20"/>
          <w:szCs w:val="20"/>
          <w:lang w:eastAsia="zh-HK"/>
        </w:rPr>
        <w:t>Heitz</w:t>
      </w:r>
      <w:proofErr w:type="spellEnd"/>
      <w:r w:rsidRPr="0006137C">
        <w:rPr>
          <w:rFonts w:ascii="Times New Roman" w:eastAsiaTheme="minorEastAsia" w:hAnsi="Times New Roman"/>
          <w:sz w:val="20"/>
          <w:szCs w:val="20"/>
          <w:lang w:eastAsia="zh-HK"/>
        </w:rPr>
        <w:t xml:space="preserve"> (2016)’s </w:t>
      </w:r>
      <w:r w:rsidRPr="0006137C">
        <w:rPr>
          <w:rFonts w:ascii="Times New Roman" w:eastAsiaTheme="minorEastAsia" w:hAnsi="Times New Roman"/>
          <w:sz w:val="20"/>
          <w:szCs w:val="20"/>
          <w:lang w:eastAsia="zh-HK"/>
        </w:rPr>
        <w:lastRenderedPageBreak/>
        <w:t xml:space="preserve">calculations indicate that the costs of large financial institutions’ systemic risk brought to the economy are always much larger than the potential benefits due to economies of scale, suggesting that the social costs of large financial institutions exceed the social benefits. All of the above findings support the need to enhance supervision on G-SIIs and provide incentive for G-SIIs to </w:t>
      </w:r>
      <w:r w:rsidR="009A225F">
        <w:rPr>
          <w:rFonts w:ascii="Times New Roman" w:eastAsiaTheme="minorEastAsia" w:hAnsi="Times New Roman"/>
          <w:sz w:val="20"/>
          <w:szCs w:val="20"/>
          <w:lang w:eastAsia="zh-HK"/>
        </w:rPr>
        <w:t>change their risk taking behaviors</w:t>
      </w:r>
      <w:r w:rsidRPr="0006137C">
        <w:rPr>
          <w:rFonts w:ascii="Times New Roman" w:eastAsiaTheme="minorEastAsia" w:hAnsi="Times New Roman"/>
          <w:sz w:val="20"/>
          <w:szCs w:val="20"/>
          <w:lang w:eastAsia="zh-HK"/>
        </w:rPr>
        <w:t>.</w:t>
      </w:r>
    </w:p>
    <w:p w14:paraId="13762375" w14:textId="77777777" w:rsidR="00247C72" w:rsidRPr="00B86E32" w:rsidRDefault="00247C72" w:rsidP="00BA3FFD">
      <w:pPr>
        <w:spacing w:after="0" w:line="260" w:lineRule="exact"/>
        <w:jc w:val="both"/>
        <w:rPr>
          <w:rFonts w:ascii="Times New Roman" w:eastAsiaTheme="minorEastAsia" w:hAnsi="Times New Roman"/>
          <w:sz w:val="20"/>
          <w:szCs w:val="20"/>
          <w:lang w:eastAsia="zh-HK"/>
        </w:rPr>
      </w:pPr>
    </w:p>
    <w:p w14:paraId="363B09E9" w14:textId="530C52F5" w:rsidR="009616AB" w:rsidRPr="00B86E32" w:rsidRDefault="0006137C"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On the other hand, </w:t>
      </w:r>
      <w:r w:rsidRPr="0006137C">
        <w:rPr>
          <w:rFonts w:ascii="Times New Roman" w:eastAsiaTheme="minorEastAsia" w:hAnsi="Times New Roman"/>
          <w:sz w:val="20"/>
          <w:szCs w:val="20"/>
          <w:lang w:eastAsia="zh-HK"/>
        </w:rPr>
        <w:t xml:space="preserve">many studies raise concerns about the details of </w:t>
      </w:r>
      <w:r w:rsidR="00B106D1">
        <w:rPr>
          <w:rFonts w:ascii="Times New Roman" w:eastAsiaTheme="minorEastAsia" w:hAnsi="Times New Roman"/>
          <w:sz w:val="20"/>
          <w:szCs w:val="20"/>
          <w:lang w:eastAsia="zh-HK"/>
        </w:rPr>
        <w:t xml:space="preserve">the </w:t>
      </w:r>
      <w:r w:rsidRPr="0006137C">
        <w:rPr>
          <w:rFonts w:ascii="Times New Roman" w:eastAsiaTheme="minorEastAsia" w:hAnsi="Times New Roman"/>
          <w:sz w:val="20"/>
          <w:szCs w:val="20"/>
          <w:lang w:eastAsia="zh-HK"/>
        </w:rPr>
        <w:t xml:space="preserve">IAIS’s proposed G-SII supervisory framework. First, the G-SII </w:t>
      </w:r>
      <w:r w:rsidR="007B04D3" w:rsidRPr="0006137C">
        <w:rPr>
          <w:rFonts w:ascii="Times New Roman" w:eastAsiaTheme="minorEastAsia" w:hAnsi="Times New Roman"/>
          <w:sz w:val="20"/>
          <w:szCs w:val="20"/>
          <w:lang w:eastAsia="zh-HK"/>
        </w:rPr>
        <w:t>designation reinforces</w:t>
      </w:r>
      <w:r w:rsidRPr="0006137C">
        <w:rPr>
          <w:rFonts w:ascii="Times New Roman" w:eastAsiaTheme="minorEastAsia" w:hAnsi="Times New Roman"/>
          <w:sz w:val="20"/>
          <w:szCs w:val="20"/>
          <w:lang w:eastAsia="zh-HK"/>
        </w:rPr>
        <w:t xml:space="preserve"> the market perception that G-SII</w:t>
      </w:r>
      <w:r w:rsidR="00340F60">
        <w:rPr>
          <w:rFonts w:ascii="Times New Roman" w:eastAsiaTheme="minorEastAsia" w:hAnsi="Times New Roman"/>
          <w:sz w:val="20"/>
          <w:szCs w:val="20"/>
          <w:lang w:eastAsia="zh-HK"/>
        </w:rPr>
        <w:t>s</w:t>
      </w:r>
      <w:r w:rsidRPr="0006137C">
        <w:rPr>
          <w:rFonts w:ascii="Times New Roman" w:eastAsiaTheme="minorEastAsia" w:hAnsi="Times New Roman"/>
          <w:sz w:val="20"/>
          <w:szCs w:val="20"/>
          <w:lang w:eastAsia="zh-HK"/>
        </w:rPr>
        <w:t xml:space="preserve"> will be supported by governments when they are in trouble (Kessler, 2014). In other words, an insurer is viewed by the market as safer after it has been designated as G-SII because of the implicit government guarantees. If the benefits of increased safety exceed the costs of being designated as G-SII (e.g. greater compliance costs and more stringent capital requirements, etc.), insurers h</w:t>
      </w:r>
      <w:r w:rsidR="00B76638">
        <w:rPr>
          <w:rFonts w:ascii="Times New Roman" w:eastAsiaTheme="minorEastAsia" w:hAnsi="Times New Roman"/>
          <w:sz w:val="20"/>
          <w:szCs w:val="20"/>
          <w:lang w:eastAsia="zh-HK"/>
        </w:rPr>
        <w:t>ave incentive to generate more</w:t>
      </w:r>
      <w:r w:rsidRPr="0006137C">
        <w:rPr>
          <w:rFonts w:ascii="Times New Roman" w:eastAsiaTheme="minorEastAsia" w:hAnsi="Times New Roman"/>
          <w:sz w:val="20"/>
          <w:szCs w:val="20"/>
          <w:lang w:eastAsia="zh-HK"/>
        </w:rPr>
        <w:t xml:space="preserve"> risks so that they can be designated as G-SIIs (</w:t>
      </w:r>
      <w:proofErr w:type="spellStart"/>
      <w:r w:rsidRPr="0006137C">
        <w:rPr>
          <w:rFonts w:ascii="Times New Roman" w:eastAsiaTheme="minorEastAsia" w:hAnsi="Times New Roman"/>
          <w:sz w:val="20"/>
          <w:szCs w:val="20"/>
          <w:lang w:eastAsia="zh-HK"/>
        </w:rPr>
        <w:t>Guiné</w:t>
      </w:r>
      <w:proofErr w:type="spellEnd"/>
      <w:r w:rsidRPr="0006137C">
        <w:rPr>
          <w:rFonts w:ascii="Times New Roman" w:eastAsiaTheme="minorEastAsia" w:hAnsi="Times New Roman"/>
          <w:sz w:val="20"/>
          <w:szCs w:val="20"/>
          <w:lang w:eastAsia="zh-HK"/>
        </w:rPr>
        <w:t xml:space="preserve">, 2014), which is </w:t>
      </w:r>
      <w:r w:rsidR="00E05BA0">
        <w:rPr>
          <w:rFonts w:ascii="Times New Roman" w:eastAsiaTheme="minorEastAsia" w:hAnsi="Times New Roman"/>
          <w:sz w:val="20"/>
          <w:szCs w:val="20"/>
          <w:lang w:eastAsia="zh-HK"/>
        </w:rPr>
        <w:t>contrary to</w:t>
      </w:r>
      <w:r w:rsidRPr="0006137C">
        <w:rPr>
          <w:rFonts w:ascii="Times New Roman" w:eastAsiaTheme="minorEastAsia" w:hAnsi="Times New Roman"/>
          <w:sz w:val="20"/>
          <w:szCs w:val="20"/>
          <w:lang w:eastAsia="zh-HK"/>
        </w:rPr>
        <w:t xml:space="preserve"> the policy intention of the </w:t>
      </w:r>
      <w:r w:rsidR="00E05BA0">
        <w:rPr>
          <w:rFonts w:ascii="Times New Roman" w:eastAsiaTheme="minorEastAsia" w:hAnsi="Times New Roman"/>
          <w:sz w:val="20"/>
          <w:szCs w:val="20"/>
          <w:lang w:eastAsia="zh-HK"/>
        </w:rPr>
        <w:t xml:space="preserve">G-20 and the </w:t>
      </w:r>
      <w:r w:rsidRPr="0006137C">
        <w:rPr>
          <w:rFonts w:ascii="Times New Roman" w:eastAsiaTheme="minorEastAsia" w:hAnsi="Times New Roman"/>
          <w:sz w:val="20"/>
          <w:szCs w:val="20"/>
          <w:lang w:eastAsia="zh-HK"/>
        </w:rPr>
        <w:t xml:space="preserve">IAIS. Whether the costs of G-SII designation </w:t>
      </w:r>
      <w:r w:rsidR="007B04D3" w:rsidRPr="0006137C">
        <w:rPr>
          <w:rFonts w:ascii="Times New Roman" w:eastAsiaTheme="minorEastAsia" w:hAnsi="Times New Roman"/>
          <w:sz w:val="20"/>
          <w:szCs w:val="20"/>
          <w:lang w:eastAsia="zh-HK"/>
        </w:rPr>
        <w:t>exceed</w:t>
      </w:r>
      <w:r w:rsidRPr="0006137C">
        <w:rPr>
          <w:rFonts w:ascii="Times New Roman" w:eastAsiaTheme="minorEastAsia" w:hAnsi="Times New Roman"/>
          <w:sz w:val="20"/>
          <w:szCs w:val="20"/>
          <w:lang w:eastAsia="zh-HK"/>
        </w:rPr>
        <w:t xml:space="preserve"> its benefits remains an unanswered empirical question. Second, as insurers, banks and non-bank financial institutions are subject to three different kinds of designation assessment methodologies, regulatory arbitrage among financial institutions is possible if the risk indicators in these three methodologies are not reconcilable. Jobst (2014) suggests the need to conduct cross-sectoral analysis of assessment approaches for G-SII</w:t>
      </w:r>
      <w:r w:rsidR="00B9036C">
        <w:rPr>
          <w:rFonts w:ascii="Times New Roman" w:eastAsiaTheme="minorEastAsia" w:hAnsi="Times New Roman"/>
          <w:sz w:val="20"/>
          <w:szCs w:val="20"/>
          <w:lang w:eastAsia="zh-HK"/>
        </w:rPr>
        <w:t>s</w:t>
      </w:r>
      <w:r w:rsidRPr="0006137C">
        <w:rPr>
          <w:rFonts w:ascii="Times New Roman" w:eastAsiaTheme="minorEastAsia" w:hAnsi="Times New Roman"/>
          <w:sz w:val="20"/>
          <w:szCs w:val="20"/>
          <w:lang w:eastAsia="zh-HK"/>
        </w:rPr>
        <w:t xml:space="preserve">, </w:t>
      </w:r>
      <w:r w:rsidR="00B9036C">
        <w:rPr>
          <w:rFonts w:ascii="Times New Roman" w:eastAsiaTheme="minorEastAsia" w:hAnsi="Times New Roman"/>
          <w:sz w:val="20"/>
          <w:szCs w:val="20"/>
          <w:lang w:eastAsia="zh-HK"/>
        </w:rPr>
        <w:t>global systemically important banks (G-SIBs),</w:t>
      </w:r>
      <w:r w:rsidRPr="0006137C">
        <w:rPr>
          <w:rFonts w:ascii="Times New Roman" w:eastAsiaTheme="minorEastAsia" w:hAnsi="Times New Roman"/>
          <w:sz w:val="20"/>
          <w:szCs w:val="20"/>
          <w:lang w:eastAsia="zh-HK"/>
        </w:rPr>
        <w:t xml:space="preserve"> and </w:t>
      </w:r>
      <w:r w:rsidR="00B9036C" w:rsidRPr="00B9036C">
        <w:rPr>
          <w:rFonts w:ascii="Times New Roman" w:eastAsiaTheme="minorEastAsia" w:hAnsi="Times New Roman"/>
          <w:sz w:val="20"/>
          <w:szCs w:val="20"/>
          <w:lang w:eastAsia="zh-HK"/>
        </w:rPr>
        <w:t>non-bank non-insurer global systemically important financial institutions</w:t>
      </w:r>
      <w:r w:rsidRPr="0006137C">
        <w:rPr>
          <w:rFonts w:ascii="Times New Roman" w:eastAsiaTheme="minorEastAsia" w:hAnsi="Times New Roman"/>
          <w:sz w:val="20"/>
          <w:szCs w:val="20"/>
          <w:lang w:eastAsia="zh-HK"/>
        </w:rPr>
        <w:t xml:space="preserve"> </w:t>
      </w:r>
      <w:r w:rsidR="00B9036C">
        <w:rPr>
          <w:rFonts w:ascii="Times New Roman" w:eastAsiaTheme="minorEastAsia" w:hAnsi="Times New Roman"/>
          <w:sz w:val="20"/>
          <w:szCs w:val="20"/>
          <w:lang w:eastAsia="zh-HK"/>
        </w:rPr>
        <w:t>(NBNI G-SI</w:t>
      </w:r>
      <w:r w:rsidR="009D02E0">
        <w:rPr>
          <w:rFonts w:ascii="Times New Roman" w:eastAsiaTheme="minorEastAsia" w:hAnsi="Times New Roman"/>
          <w:sz w:val="20"/>
          <w:szCs w:val="20"/>
          <w:lang w:eastAsia="zh-HK"/>
        </w:rPr>
        <w:t>F</w:t>
      </w:r>
      <w:r w:rsidR="00B9036C">
        <w:rPr>
          <w:rFonts w:ascii="Times New Roman" w:eastAsiaTheme="minorEastAsia" w:hAnsi="Times New Roman"/>
          <w:sz w:val="20"/>
          <w:szCs w:val="20"/>
          <w:lang w:eastAsia="zh-HK"/>
        </w:rPr>
        <w:t>Is)</w:t>
      </w:r>
      <w:r w:rsidR="00340F60">
        <w:rPr>
          <w:rFonts w:ascii="Times New Roman" w:eastAsiaTheme="minorEastAsia" w:hAnsi="Times New Roman"/>
          <w:sz w:val="20"/>
          <w:szCs w:val="20"/>
          <w:lang w:eastAsia="zh-HK"/>
        </w:rPr>
        <w:t xml:space="preserve"> </w:t>
      </w:r>
      <w:r w:rsidRPr="0006137C">
        <w:rPr>
          <w:rFonts w:ascii="Times New Roman" w:eastAsiaTheme="minorEastAsia" w:hAnsi="Times New Roman"/>
          <w:sz w:val="20"/>
          <w:szCs w:val="20"/>
          <w:lang w:eastAsia="zh-HK"/>
        </w:rPr>
        <w:t xml:space="preserve">in areas with common risk drivers (e.g. funding sources, derivative trading, intra-financial assets and liabilities, etc.) so as to prevent regulatory arbitrage. Third, how the five factors </w:t>
      </w:r>
      <w:r w:rsidR="00B106D1" w:rsidRPr="0006137C">
        <w:rPr>
          <w:rFonts w:ascii="Times New Roman" w:eastAsiaTheme="minorEastAsia" w:hAnsi="Times New Roman"/>
          <w:sz w:val="20"/>
          <w:szCs w:val="20"/>
          <w:lang w:eastAsia="zh-HK"/>
        </w:rPr>
        <w:t xml:space="preserve">(i.e. size, global activity, interconnectedness, </w:t>
      </w:r>
      <w:r w:rsidR="00B106D1">
        <w:rPr>
          <w:rFonts w:ascii="Times New Roman" w:eastAsiaTheme="minorEastAsia" w:hAnsi="Times New Roman"/>
          <w:sz w:val="20"/>
          <w:szCs w:val="20"/>
          <w:lang w:eastAsia="zh-HK"/>
        </w:rPr>
        <w:t>non-traditional and non-insurance</w:t>
      </w:r>
      <w:r w:rsidR="00B106D1" w:rsidRPr="0006137C">
        <w:rPr>
          <w:rFonts w:ascii="Times New Roman" w:eastAsiaTheme="minorEastAsia" w:hAnsi="Times New Roman"/>
          <w:sz w:val="20"/>
          <w:szCs w:val="20"/>
          <w:lang w:eastAsia="zh-HK"/>
        </w:rPr>
        <w:t xml:space="preserve"> activities, and substitutability)</w:t>
      </w:r>
      <w:r w:rsidR="00B106D1">
        <w:rPr>
          <w:rFonts w:ascii="Times New Roman" w:eastAsiaTheme="minorEastAsia" w:hAnsi="Times New Roman"/>
          <w:sz w:val="20"/>
          <w:szCs w:val="20"/>
          <w:lang w:eastAsia="zh-HK"/>
        </w:rPr>
        <w:t xml:space="preserve"> </w:t>
      </w:r>
      <w:r w:rsidRPr="0006137C">
        <w:rPr>
          <w:rFonts w:ascii="Times New Roman" w:eastAsiaTheme="minorEastAsia" w:hAnsi="Times New Roman"/>
          <w:sz w:val="20"/>
          <w:szCs w:val="20"/>
          <w:lang w:eastAsia="zh-HK"/>
        </w:rPr>
        <w:t xml:space="preserve">in the indicator-based </w:t>
      </w:r>
      <w:r w:rsidR="00814090">
        <w:rPr>
          <w:rFonts w:ascii="Times New Roman" w:eastAsiaTheme="minorEastAsia" w:hAnsi="Times New Roman"/>
          <w:sz w:val="20"/>
          <w:szCs w:val="20"/>
          <w:lang w:eastAsia="zh-HK"/>
        </w:rPr>
        <w:t xml:space="preserve">G-SII </w:t>
      </w:r>
      <w:r w:rsidRPr="0006137C">
        <w:rPr>
          <w:rFonts w:ascii="Times New Roman" w:eastAsiaTheme="minorEastAsia" w:hAnsi="Times New Roman"/>
          <w:sz w:val="20"/>
          <w:szCs w:val="20"/>
          <w:lang w:eastAsia="zh-HK"/>
        </w:rPr>
        <w:t xml:space="preserve">assessment </w:t>
      </w:r>
      <w:r w:rsidR="00B106D1">
        <w:rPr>
          <w:rFonts w:ascii="Times New Roman" w:eastAsiaTheme="minorEastAsia" w:hAnsi="Times New Roman"/>
          <w:sz w:val="20"/>
          <w:szCs w:val="20"/>
          <w:lang w:eastAsia="zh-HK"/>
        </w:rPr>
        <w:t>approach proposed by the IAIS</w:t>
      </w:r>
      <w:r w:rsidR="003D7803">
        <w:rPr>
          <w:rFonts w:ascii="Times New Roman" w:eastAsiaTheme="minorEastAsia" w:hAnsi="Times New Roman"/>
          <w:sz w:val="20"/>
          <w:szCs w:val="20"/>
          <w:lang w:eastAsia="zh-HK"/>
        </w:rPr>
        <w:t xml:space="preserve"> relate to systemic risk</w:t>
      </w:r>
      <w:r w:rsidRPr="0006137C">
        <w:rPr>
          <w:rFonts w:ascii="Times New Roman" w:eastAsiaTheme="minorEastAsia" w:hAnsi="Times New Roman"/>
          <w:sz w:val="20"/>
          <w:szCs w:val="20"/>
          <w:lang w:eastAsia="zh-HK"/>
        </w:rPr>
        <w:t xml:space="preserve"> lacks empirical support. Using data of publicly traded insurers with U.S. headquarters, Weiβ and </w:t>
      </w:r>
      <w:proofErr w:type="spellStart"/>
      <w:r w:rsidRPr="0006137C">
        <w:rPr>
          <w:rFonts w:ascii="Times New Roman" w:eastAsiaTheme="minorEastAsia" w:hAnsi="Times New Roman"/>
          <w:sz w:val="20"/>
          <w:szCs w:val="20"/>
          <w:lang w:eastAsia="zh-HK"/>
        </w:rPr>
        <w:t>Mühlnickel</w:t>
      </w:r>
      <w:proofErr w:type="spellEnd"/>
      <w:r w:rsidRPr="0006137C">
        <w:rPr>
          <w:rFonts w:ascii="Times New Roman" w:eastAsiaTheme="minorEastAsia" w:hAnsi="Times New Roman"/>
          <w:sz w:val="20"/>
          <w:szCs w:val="20"/>
          <w:lang w:eastAsia="zh-HK"/>
        </w:rPr>
        <w:t xml:space="preserve"> (2014) find that global activity and substitutability do not contribute to systemic risk</w:t>
      </w:r>
      <w:r w:rsidR="00373F84">
        <w:rPr>
          <w:rFonts w:ascii="Times New Roman" w:eastAsiaTheme="minorEastAsia" w:hAnsi="Times New Roman"/>
          <w:sz w:val="20"/>
          <w:szCs w:val="20"/>
          <w:lang w:eastAsia="zh-HK"/>
        </w:rPr>
        <w:t>s</w:t>
      </w:r>
      <w:r w:rsidRPr="0006137C">
        <w:rPr>
          <w:rFonts w:ascii="Times New Roman" w:eastAsiaTheme="minorEastAsia" w:hAnsi="Times New Roman"/>
          <w:sz w:val="20"/>
          <w:szCs w:val="20"/>
          <w:lang w:eastAsia="zh-HK"/>
        </w:rPr>
        <w:t>. Instead, insurers’ contribution to systemic risk</w:t>
      </w:r>
      <w:r w:rsidR="00373F84">
        <w:rPr>
          <w:rFonts w:ascii="Times New Roman" w:eastAsiaTheme="minorEastAsia" w:hAnsi="Times New Roman"/>
          <w:sz w:val="20"/>
          <w:szCs w:val="20"/>
          <w:lang w:eastAsia="zh-HK"/>
        </w:rPr>
        <w:t>s</w:t>
      </w:r>
      <w:r w:rsidRPr="0006137C">
        <w:rPr>
          <w:rFonts w:ascii="Times New Roman" w:eastAsiaTheme="minorEastAsia" w:hAnsi="Times New Roman"/>
          <w:sz w:val="20"/>
          <w:szCs w:val="20"/>
          <w:lang w:eastAsia="zh-HK"/>
        </w:rPr>
        <w:t xml:space="preserve"> is mainly driven by their size. Hence, it is clear that the IAIS needs to re-consider the exceptionally low weighting (5%) assigned to size in its proposed indicator-based assessment approach. Based on data from 253 </w:t>
      </w:r>
      <w:r w:rsidR="005A2369">
        <w:rPr>
          <w:rFonts w:ascii="Times New Roman" w:eastAsiaTheme="minorEastAsia" w:hAnsi="Times New Roman"/>
          <w:sz w:val="20"/>
          <w:szCs w:val="20"/>
          <w:lang w:eastAsia="zh-HK"/>
        </w:rPr>
        <w:t xml:space="preserve">international insurers, </w:t>
      </w:r>
      <w:proofErr w:type="spellStart"/>
      <w:r w:rsidR="005A2369">
        <w:rPr>
          <w:rFonts w:ascii="Times New Roman" w:eastAsiaTheme="minorEastAsia" w:hAnsi="Times New Roman"/>
          <w:sz w:val="20"/>
          <w:szCs w:val="20"/>
          <w:lang w:eastAsia="zh-HK"/>
        </w:rPr>
        <w:t>Bierth</w:t>
      </w:r>
      <w:proofErr w:type="spellEnd"/>
      <w:r w:rsidR="005A2369">
        <w:rPr>
          <w:rFonts w:ascii="Times New Roman" w:eastAsiaTheme="minorEastAsia" w:hAnsi="Times New Roman"/>
          <w:sz w:val="20"/>
          <w:szCs w:val="20"/>
          <w:lang w:eastAsia="zh-HK"/>
        </w:rPr>
        <w:t xml:space="preserve"> </w:t>
      </w:r>
      <w:r w:rsidR="005A2369" w:rsidRPr="005A2369">
        <w:rPr>
          <w:rFonts w:ascii="Times New Roman" w:eastAsiaTheme="minorEastAsia" w:hAnsi="Times New Roman"/>
          <w:i/>
          <w:sz w:val="20"/>
          <w:szCs w:val="20"/>
          <w:lang w:eastAsia="zh-HK"/>
        </w:rPr>
        <w:t>et al.</w:t>
      </w:r>
      <w:r w:rsidR="005A2369">
        <w:rPr>
          <w:rFonts w:ascii="Times New Roman" w:eastAsiaTheme="minorEastAsia" w:hAnsi="Times New Roman"/>
          <w:sz w:val="20"/>
          <w:szCs w:val="20"/>
          <w:lang w:eastAsia="zh-HK"/>
        </w:rPr>
        <w:t xml:space="preserve"> </w:t>
      </w:r>
      <w:r w:rsidRPr="0006137C">
        <w:rPr>
          <w:rFonts w:ascii="Times New Roman" w:eastAsiaTheme="minorEastAsia" w:hAnsi="Times New Roman"/>
          <w:sz w:val="20"/>
          <w:szCs w:val="20"/>
          <w:lang w:eastAsia="zh-HK"/>
        </w:rPr>
        <w:t>(2015) also find that leverage is the primary driver for insurers’ contribution to systemic risk</w:t>
      </w:r>
      <w:r w:rsidR="00373F84">
        <w:rPr>
          <w:rFonts w:ascii="Times New Roman" w:eastAsiaTheme="minorEastAsia" w:hAnsi="Times New Roman"/>
          <w:sz w:val="20"/>
          <w:szCs w:val="20"/>
          <w:lang w:eastAsia="zh-HK"/>
        </w:rPr>
        <w:t>s</w:t>
      </w:r>
      <w:r w:rsidRPr="0006137C">
        <w:rPr>
          <w:rFonts w:ascii="Times New Roman" w:eastAsiaTheme="minorEastAsia" w:hAnsi="Times New Roman"/>
          <w:sz w:val="20"/>
          <w:szCs w:val="20"/>
          <w:lang w:eastAsia="zh-HK"/>
        </w:rPr>
        <w:t>. Ironically, the IAIS does not consider leverage as one of the factors in the indicator-based assessment appr</w:t>
      </w:r>
      <w:r w:rsidR="00B9036C">
        <w:rPr>
          <w:rFonts w:ascii="Times New Roman" w:eastAsiaTheme="minorEastAsia" w:hAnsi="Times New Roman"/>
          <w:sz w:val="20"/>
          <w:szCs w:val="20"/>
          <w:lang w:eastAsia="zh-HK"/>
        </w:rPr>
        <w:t>oach. Using factors not related</w:t>
      </w:r>
      <w:r w:rsidRPr="0006137C">
        <w:rPr>
          <w:rFonts w:ascii="Times New Roman" w:eastAsiaTheme="minorEastAsia" w:hAnsi="Times New Roman"/>
          <w:sz w:val="20"/>
          <w:szCs w:val="20"/>
          <w:lang w:eastAsia="zh-HK"/>
        </w:rPr>
        <w:t xml:space="preserve"> to systemic risk</w:t>
      </w:r>
      <w:r w:rsidR="003D7803">
        <w:rPr>
          <w:rFonts w:ascii="Times New Roman" w:eastAsiaTheme="minorEastAsia" w:hAnsi="Times New Roman"/>
          <w:sz w:val="20"/>
          <w:szCs w:val="20"/>
          <w:lang w:eastAsia="zh-HK"/>
        </w:rPr>
        <w:t xml:space="preserve"> or missing factors that drive</w:t>
      </w:r>
      <w:r w:rsidRPr="0006137C">
        <w:rPr>
          <w:rFonts w:ascii="Times New Roman" w:eastAsiaTheme="minorEastAsia" w:hAnsi="Times New Roman"/>
          <w:sz w:val="20"/>
          <w:szCs w:val="20"/>
          <w:lang w:eastAsia="zh-HK"/>
        </w:rPr>
        <w:t xml:space="preserve"> systemic risk in the indicator-based assessment approach not only biases the G-SII assessment results, but also biases the HLA required capital by placing G-SIIs in the wrong bucket. Fourth, the short implementation timeframe of G-SII policy measures together with the uncertainties underlying them generate risks for the effectiveness and accuracy of those measures (</w:t>
      </w:r>
      <w:proofErr w:type="spellStart"/>
      <w:r w:rsidRPr="0006137C">
        <w:rPr>
          <w:rFonts w:ascii="Times New Roman" w:eastAsiaTheme="minorEastAsia" w:hAnsi="Times New Roman"/>
          <w:sz w:val="20"/>
          <w:szCs w:val="20"/>
          <w:lang w:eastAsia="zh-HK"/>
        </w:rPr>
        <w:t>Guiné</w:t>
      </w:r>
      <w:proofErr w:type="spellEnd"/>
      <w:r w:rsidRPr="0006137C">
        <w:rPr>
          <w:rFonts w:ascii="Times New Roman" w:eastAsiaTheme="minorEastAsia" w:hAnsi="Times New Roman"/>
          <w:sz w:val="20"/>
          <w:szCs w:val="20"/>
          <w:lang w:eastAsia="zh-HK"/>
        </w:rPr>
        <w:t xml:space="preserve">, 2014). For example, if an insurer is newly designated as G-SII in November of the current year, it has to implement liquidity management and planning as well as </w:t>
      </w:r>
      <w:r w:rsidR="009D02E0" w:rsidRPr="009D02E0">
        <w:rPr>
          <w:rFonts w:ascii="Times New Roman" w:eastAsiaTheme="minorEastAsia" w:hAnsi="Times New Roman"/>
          <w:sz w:val="20"/>
          <w:szCs w:val="20"/>
          <w:lang w:eastAsia="zh-HK"/>
        </w:rPr>
        <w:t xml:space="preserve">systemic risk management plan </w:t>
      </w:r>
      <w:r w:rsidR="009D02E0">
        <w:rPr>
          <w:rFonts w:ascii="Times New Roman" w:eastAsiaTheme="minorEastAsia" w:hAnsi="Times New Roman"/>
          <w:sz w:val="20"/>
          <w:szCs w:val="20"/>
          <w:lang w:eastAsia="zh-HK"/>
        </w:rPr>
        <w:t>(</w:t>
      </w:r>
      <w:r w:rsidRPr="0006137C">
        <w:rPr>
          <w:rFonts w:ascii="Times New Roman" w:eastAsiaTheme="minorEastAsia" w:hAnsi="Times New Roman"/>
          <w:sz w:val="20"/>
          <w:szCs w:val="20"/>
          <w:lang w:eastAsia="zh-HK"/>
        </w:rPr>
        <w:t>SRMP</w:t>
      </w:r>
      <w:r w:rsidR="009D02E0">
        <w:rPr>
          <w:rFonts w:ascii="Times New Roman" w:eastAsiaTheme="minorEastAsia" w:hAnsi="Times New Roman"/>
          <w:sz w:val="20"/>
          <w:szCs w:val="20"/>
          <w:lang w:eastAsia="zh-HK"/>
        </w:rPr>
        <w:t>)</w:t>
      </w:r>
      <w:r w:rsidRPr="0006137C">
        <w:rPr>
          <w:rFonts w:ascii="Times New Roman" w:eastAsiaTheme="minorEastAsia" w:hAnsi="Times New Roman"/>
          <w:sz w:val="20"/>
          <w:szCs w:val="20"/>
          <w:lang w:eastAsia="zh-HK"/>
        </w:rPr>
        <w:t xml:space="preserve"> by the end of next year. It also has to calculate the BCR required capital and HLA required capital on a consolidated basis with appropriate reporting to regulators in the next year. It is a </w:t>
      </w:r>
      <w:r w:rsidRPr="0006137C">
        <w:rPr>
          <w:rFonts w:ascii="Times New Roman" w:eastAsiaTheme="minorEastAsia" w:hAnsi="Times New Roman"/>
          <w:sz w:val="20"/>
          <w:szCs w:val="20"/>
          <w:lang w:eastAsia="zh-HK"/>
        </w:rPr>
        <w:lastRenderedPageBreak/>
        <w:t xml:space="preserve">challenge to comply with the above enhanced measures within the very short timeframe, even if the G-SII concerned has deployed huge resources on the compliance project. In addition, the </w:t>
      </w:r>
      <w:r w:rsidR="00A06E95">
        <w:rPr>
          <w:rFonts w:ascii="Times New Roman" w:eastAsiaTheme="minorEastAsia" w:hAnsi="Times New Roman"/>
          <w:sz w:val="20"/>
          <w:szCs w:val="20"/>
          <w:lang w:eastAsia="zh-HK"/>
        </w:rPr>
        <w:t>insurance capital standard (</w:t>
      </w:r>
      <w:r w:rsidRPr="0006137C">
        <w:rPr>
          <w:rFonts w:ascii="Times New Roman" w:eastAsiaTheme="minorEastAsia" w:hAnsi="Times New Roman"/>
          <w:sz w:val="20"/>
          <w:szCs w:val="20"/>
          <w:lang w:eastAsia="zh-HK"/>
        </w:rPr>
        <w:t>ICS</w:t>
      </w:r>
      <w:r w:rsidR="00A06E95">
        <w:rPr>
          <w:rFonts w:ascii="Times New Roman" w:eastAsiaTheme="minorEastAsia" w:hAnsi="Times New Roman"/>
          <w:sz w:val="20"/>
          <w:szCs w:val="20"/>
          <w:lang w:eastAsia="zh-HK"/>
        </w:rPr>
        <w:t>)</w:t>
      </w:r>
      <w:r w:rsidRPr="0006137C">
        <w:rPr>
          <w:rFonts w:ascii="Times New Roman" w:eastAsiaTheme="minorEastAsia" w:hAnsi="Times New Roman"/>
          <w:sz w:val="20"/>
          <w:szCs w:val="20"/>
          <w:lang w:eastAsia="zh-HK"/>
        </w:rPr>
        <w:t xml:space="preserve">, which is intended to replace the BCR </w:t>
      </w:r>
      <w:r w:rsidR="003D7803" w:rsidRPr="0006137C">
        <w:rPr>
          <w:rFonts w:ascii="Times New Roman" w:eastAsiaTheme="minorEastAsia" w:hAnsi="Times New Roman"/>
          <w:sz w:val="20"/>
          <w:szCs w:val="20"/>
          <w:lang w:eastAsia="zh-HK"/>
        </w:rPr>
        <w:t>and</w:t>
      </w:r>
      <w:r w:rsidRPr="0006137C">
        <w:rPr>
          <w:rFonts w:ascii="Times New Roman" w:eastAsiaTheme="minorEastAsia" w:hAnsi="Times New Roman"/>
          <w:sz w:val="20"/>
          <w:szCs w:val="20"/>
          <w:lang w:eastAsia="zh-HK"/>
        </w:rPr>
        <w:t xml:space="preserve"> has a significant impact on the </w:t>
      </w:r>
      <w:r w:rsidR="00A06E95">
        <w:rPr>
          <w:rFonts w:ascii="Times New Roman" w:eastAsiaTheme="minorEastAsia" w:hAnsi="Times New Roman"/>
          <w:sz w:val="20"/>
          <w:szCs w:val="20"/>
          <w:lang w:eastAsia="zh-HK"/>
        </w:rPr>
        <w:t>HLA</w:t>
      </w:r>
      <w:r w:rsidRPr="0006137C">
        <w:rPr>
          <w:rFonts w:ascii="Times New Roman" w:eastAsiaTheme="minorEastAsia" w:hAnsi="Times New Roman"/>
          <w:sz w:val="20"/>
          <w:szCs w:val="20"/>
          <w:lang w:eastAsia="zh-HK"/>
        </w:rPr>
        <w:t xml:space="preserve"> required capital, has not been finalized at the time of writing. The uncertainties underlying the capital requirements may lead to undesirable behaviors of G-SIIs (e.g. unable to optimize its business operation given the uncertain capital requirements).</w:t>
      </w:r>
    </w:p>
    <w:p w14:paraId="11F7F149" w14:textId="77777777" w:rsidR="00166635" w:rsidRPr="00B86E32" w:rsidRDefault="00166635" w:rsidP="00BA3FFD">
      <w:pPr>
        <w:spacing w:after="0" w:line="260" w:lineRule="exact"/>
        <w:jc w:val="both"/>
        <w:rPr>
          <w:rFonts w:ascii="Times New Roman" w:eastAsiaTheme="minorEastAsia" w:hAnsi="Times New Roman"/>
          <w:sz w:val="20"/>
          <w:szCs w:val="20"/>
          <w:lang w:eastAsia="zh-HK"/>
        </w:rPr>
      </w:pPr>
    </w:p>
    <w:p w14:paraId="6B124691" w14:textId="76E3B912" w:rsidR="00796802" w:rsidRDefault="0065379E" w:rsidP="00796802">
      <w:pPr>
        <w:spacing w:after="0" w:line="260" w:lineRule="exact"/>
        <w:jc w:val="both"/>
        <w:rPr>
          <w:rFonts w:ascii="Times New Roman" w:eastAsiaTheme="minorEastAsia" w:hAnsi="Times New Roman"/>
          <w:sz w:val="20"/>
          <w:szCs w:val="20"/>
          <w:lang w:eastAsia="zh-HK"/>
        </w:rPr>
      </w:pPr>
      <w:r w:rsidRPr="0065379E">
        <w:rPr>
          <w:rFonts w:ascii="Times New Roman" w:eastAsiaTheme="minorEastAsia" w:hAnsi="Times New Roman"/>
          <w:sz w:val="20"/>
          <w:szCs w:val="20"/>
          <w:lang w:eastAsia="zh-HK"/>
        </w:rPr>
        <w:t>Although numerous studies have been conducted to support the need to enhance supervision on G-SIIs and criticize the details of supervisory framework proposed by the IAIS, very f</w:t>
      </w:r>
      <w:r>
        <w:rPr>
          <w:rFonts w:ascii="Times New Roman" w:eastAsiaTheme="minorEastAsia" w:hAnsi="Times New Roman"/>
          <w:sz w:val="20"/>
          <w:szCs w:val="20"/>
          <w:lang w:eastAsia="zh-HK"/>
        </w:rPr>
        <w:t xml:space="preserve">ew studies have investigated whether the new regulation </w:t>
      </w:r>
      <w:r w:rsidR="000623A7">
        <w:rPr>
          <w:rFonts w:ascii="Times New Roman" w:eastAsiaTheme="minorEastAsia" w:hAnsi="Times New Roman"/>
          <w:sz w:val="20"/>
          <w:szCs w:val="20"/>
          <w:lang w:eastAsia="zh-HK"/>
        </w:rPr>
        <w:t>successfully a</w:t>
      </w:r>
      <w:r w:rsidR="00261770">
        <w:rPr>
          <w:rFonts w:ascii="Times New Roman" w:eastAsiaTheme="minorEastAsia" w:hAnsi="Times New Roman"/>
          <w:sz w:val="20"/>
          <w:szCs w:val="20"/>
          <w:lang w:eastAsia="zh-HK"/>
        </w:rPr>
        <w:t>chieves its intended objective</w:t>
      </w:r>
      <w:r w:rsidR="00597C69">
        <w:rPr>
          <w:rFonts w:ascii="Times New Roman" w:eastAsiaTheme="minorEastAsia" w:hAnsi="Times New Roman"/>
          <w:sz w:val="20"/>
          <w:szCs w:val="20"/>
          <w:lang w:eastAsia="zh-HK"/>
        </w:rPr>
        <w:t xml:space="preserve"> of</w:t>
      </w:r>
      <w:r w:rsidR="000623A7">
        <w:rPr>
          <w:rFonts w:ascii="Times New Roman" w:eastAsiaTheme="minorEastAsia" w:hAnsi="Times New Roman"/>
          <w:sz w:val="20"/>
          <w:szCs w:val="20"/>
          <w:lang w:eastAsia="zh-HK"/>
        </w:rPr>
        <w:t xml:space="preserve"> reducing</w:t>
      </w:r>
      <w:r>
        <w:rPr>
          <w:rFonts w:ascii="Times New Roman" w:eastAsiaTheme="minorEastAsia" w:hAnsi="Times New Roman"/>
          <w:sz w:val="20"/>
          <w:szCs w:val="20"/>
          <w:lang w:eastAsia="zh-HK"/>
        </w:rPr>
        <w:t xml:space="preserve"> the systemic </w:t>
      </w:r>
      <w:r w:rsidR="007A2F5A">
        <w:rPr>
          <w:rFonts w:ascii="Times New Roman" w:eastAsiaTheme="minorEastAsia" w:hAnsi="Times New Roman"/>
          <w:sz w:val="20"/>
          <w:szCs w:val="20"/>
          <w:lang w:eastAsia="zh-HK"/>
        </w:rPr>
        <w:t>risk</w:t>
      </w:r>
      <w:r w:rsidR="000623A7">
        <w:rPr>
          <w:rFonts w:ascii="Times New Roman" w:eastAsiaTheme="minorEastAsia" w:hAnsi="Times New Roman"/>
          <w:sz w:val="20"/>
          <w:szCs w:val="20"/>
          <w:lang w:eastAsia="zh-HK"/>
        </w:rPr>
        <w:t xml:space="preserve"> of G-SIIs</w:t>
      </w:r>
      <w:r w:rsidRPr="0065379E">
        <w:rPr>
          <w:rFonts w:ascii="Times New Roman" w:eastAsiaTheme="minorEastAsia" w:hAnsi="Times New Roman"/>
          <w:sz w:val="20"/>
          <w:szCs w:val="20"/>
          <w:lang w:eastAsia="zh-HK"/>
        </w:rPr>
        <w:t>.</w:t>
      </w:r>
      <w:r w:rsidR="00883D5B">
        <w:rPr>
          <w:rFonts w:ascii="Times New Roman" w:eastAsiaTheme="minorEastAsia" w:hAnsi="Times New Roman"/>
          <w:sz w:val="20"/>
          <w:szCs w:val="20"/>
          <w:lang w:eastAsia="zh-HK"/>
        </w:rPr>
        <w:t xml:space="preserve"> The purpose of this paper is to fill the gap in literature and empirically </w:t>
      </w:r>
      <w:r w:rsidR="00814090">
        <w:rPr>
          <w:rFonts w:ascii="Times New Roman" w:eastAsiaTheme="minorEastAsia" w:hAnsi="Times New Roman"/>
          <w:sz w:val="20"/>
          <w:szCs w:val="20"/>
          <w:lang w:eastAsia="zh-HK"/>
        </w:rPr>
        <w:t>examine</w:t>
      </w:r>
      <w:r w:rsidR="00883D5B">
        <w:rPr>
          <w:rFonts w:ascii="Times New Roman" w:eastAsiaTheme="minorEastAsia" w:hAnsi="Times New Roman"/>
          <w:sz w:val="20"/>
          <w:szCs w:val="20"/>
          <w:lang w:eastAsia="zh-HK"/>
        </w:rPr>
        <w:t xml:space="preserve"> whether the </w:t>
      </w:r>
      <w:r w:rsidR="005A2369">
        <w:rPr>
          <w:rFonts w:ascii="Times New Roman" w:eastAsiaTheme="minorEastAsia" w:hAnsi="Times New Roman"/>
          <w:sz w:val="20"/>
          <w:szCs w:val="20"/>
          <w:lang w:eastAsia="zh-HK"/>
        </w:rPr>
        <w:t>new regulation</w:t>
      </w:r>
      <w:r w:rsidR="00883D5B">
        <w:rPr>
          <w:rFonts w:ascii="Times New Roman" w:eastAsiaTheme="minorEastAsia" w:hAnsi="Times New Roman"/>
          <w:sz w:val="20"/>
          <w:szCs w:val="20"/>
          <w:lang w:eastAsia="zh-HK"/>
        </w:rPr>
        <w:t xml:space="preserve"> reduce</w:t>
      </w:r>
      <w:r w:rsidR="005A2369">
        <w:rPr>
          <w:rFonts w:ascii="Times New Roman" w:eastAsiaTheme="minorEastAsia" w:hAnsi="Times New Roman"/>
          <w:sz w:val="20"/>
          <w:szCs w:val="20"/>
          <w:lang w:eastAsia="zh-HK"/>
        </w:rPr>
        <w:t>s</w:t>
      </w:r>
      <w:r w:rsidR="00883D5B">
        <w:rPr>
          <w:rFonts w:ascii="Times New Roman" w:eastAsiaTheme="minorEastAsia" w:hAnsi="Times New Roman"/>
          <w:sz w:val="20"/>
          <w:szCs w:val="20"/>
          <w:lang w:eastAsia="zh-HK"/>
        </w:rPr>
        <w:t xml:space="preserve"> the systemic ri</w:t>
      </w:r>
      <w:r w:rsidR="007A2F5A">
        <w:rPr>
          <w:rFonts w:ascii="Times New Roman" w:eastAsiaTheme="minorEastAsia" w:hAnsi="Times New Roman"/>
          <w:sz w:val="20"/>
          <w:szCs w:val="20"/>
          <w:lang w:eastAsia="zh-HK"/>
        </w:rPr>
        <w:t>sk</w:t>
      </w:r>
      <w:r w:rsidR="00883D5B">
        <w:rPr>
          <w:rFonts w:ascii="Times New Roman" w:eastAsiaTheme="minorEastAsia" w:hAnsi="Times New Roman"/>
          <w:sz w:val="20"/>
          <w:szCs w:val="20"/>
          <w:lang w:eastAsia="zh-HK"/>
        </w:rPr>
        <w:t xml:space="preserve"> of G-SIIs.</w:t>
      </w:r>
      <w:r w:rsidR="00875290">
        <w:rPr>
          <w:rFonts w:ascii="Times New Roman" w:eastAsiaTheme="minorEastAsia" w:hAnsi="Times New Roman"/>
          <w:sz w:val="20"/>
          <w:szCs w:val="20"/>
          <w:lang w:eastAsia="zh-HK"/>
        </w:rPr>
        <w:t xml:space="preserve"> </w:t>
      </w:r>
      <w:r w:rsidR="003201C0">
        <w:rPr>
          <w:rFonts w:ascii="Times New Roman" w:eastAsiaTheme="minorEastAsia" w:hAnsi="Times New Roman"/>
          <w:sz w:val="20"/>
          <w:szCs w:val="20"/>
          <w:lang w:eastAsia="zh-HK"/>
        </w:rPr>
        <w:t xml:space="preserve">We follow existing literature </w:t>
      </w:r>
      <w:r w:rsidR="002A6639">
        <w:rPr>
          <w:rFonts w:ascii="Times New Roman" w:eastAsiaTheme="minorEastAsia" w:hAnsi="Times New Roman"/>
          <w:sz w:val="20"/>
          <w:szCs w:val="20"/>
          <w:lang w:eastAsia="zh-HK"/>
        </w:rPr>
        <w:t xml:space="preserve">to </w:t>
      </w:r>
      <w:r w:rsidR="007A2F5A">
        <w:rPr>
          <w:rFonts w:ascii="Times New Roman" w:eastAsiaTheme="minorEastAsia" w:hAnsi="Times New Roman"/>
          <w:sz w:val="20"/>
          <w:szCs w:val="20"/>
          <w:lang w:eastAsia="zh-HK"/>
        </w:rPr>
        <w:t>measure insurers’ systemic risk</w:t>
      </w:r>
      <w:r w:rsidR="002A6639">
        <w:rPr>
          <w:rFonts w:ascii="Times New Roman" w:eastAsiaTheme="minorEastAsia" w:hAnsi="Times New Roman"/>
          <w:sz w:val="20"/>
          <w:szCs w:val="20"/>
          <w:lang w:eastAsia="zh-HK"/>
        </w:rPr>
        <w:t xml:space="preserve"> </w:t>
      </w:r>
      <w:r w:rsidR="00900A65">
        <w:rPr>
          <w:rFonts w:ascii="Times New Roman" w:eastAsiaTheme="minorEastAsia" w:hAnsi="Times New Roman"/>
          <w:sz w:val="20"/>
          <w:szCs w:val="20"/>
          <w:lang w:eastAsia="zh-HK"/>
        </w:rPr>
        <w:t>with</w:t>
      </w:r>
      <w:r w:rsidR="003201C0">
        <w:rPr>
          <w:rFonts w:ascii="Times New Roman" w:eastAsiaTheme="minorEastAsia" w:hAnsi="Times New Roman"/>
          <w:sz w:val="20"/>
          <w:szCs w:val="20"/>
          <w:lang w:eastAsia="zh-HK"/>
        </w:rPr>
        <w:t xml:space="preserve"> Marginal Expected Shortfall (MES) proposed by </w:t>
      </w:r>
      <w:r w:rsidR="00F158B6">
        <w:rPr>
          <w:rFonts w:ascii="Times New Roman" w:eastAsiaTheme="minorEastAsia" w:hAnsi="Times New Roman"/>
          <w:sz w:val="20"/>
          <w:szCs w:val="20"/>
          <w:lang w:eastAsia="zh-HK"/>
        </w:rPr>
        <w:t xml:space="preserve">Acharya </w:t>
      </w:r>
      <w:r w:rsidR="00F158B6" w:rsidRPr="00F158B6">
        <w:rPr>
          <w:rFonts w:ascii="Times New Roman" w:eastAsiaTheme="minorEastAsia" w:hAnsi="Times New Roman"/>
          <w:i/>
          <w:sz w:val="20"/>
          <w:szCs w:val="20"/>
          <w:lang w:eastAsia="zh-HK"/>
        </w:rPr>
        <w:t xml:space="preserve">et al. </w:t>
      </w:r>
      <w:r w:rsidR="00F158B6">
        <w:rPr>
          <w:rFonts w:ascii="Times New Roman" w:eastAsiaTheme="minorEastAsia" w:hAnsi="Times New Roman"/>
          <w:sz w:val="20"/>
          <w:szCs w:val="20"/>
          <w:lang w:eastAsia="zh-HK"/>
        </w:rPr>
        <w:t xml:space="preserve">(2010), </w:t>
      </w:r>
      <w:r w:rsidR="00C6276D">
        <w:rPr>
          <w:rFonts w:ascii="Times New Roman" w:eastAsiaTheme="minorEastAsia" w:hAnsi="Times New Roman"/>
          <w:sz w:val="20"/>
          <w:szCs w:val="20"/>
          <w:lang w:eastAsia="zh-HK"/>
        </w:rPr>
        <w:t>Systemic Risk Index (SRISK) pro</w:t>
      </w:r>
      <w:r w:rsidR="002A6639">
        <w:rPr>
          <w:rFonts w:ascii="Times New Roman" w:eastAsiaTheme="minorEastAsia" w:hAnsi="Times New Roman"/>
          <w:sz w:val="20"/>
          <w:szCs w:val="20"/>
          <w:lang w:eastAsia="zh-HK"/>
        </w:rPr>
        <w:t>p</w:t>
      </w:r>
      <w:r w:rsidR="00C6276D">
        <w:rPr>
          <w:rFonts w:ascii="Times New Roman" w:eastAsiaTheme="minorEastAsia" w:hAnsi="Times New Roman"/>
          <w:sz w:val="20"/>
          <w:szCs w:val="20"/>
          <w:lang w:eastAsia="zh-HK"/>
        </w:rPr>
        <w:t xml:space="preserve">osed by Acharya </w:t>
      </w:r>
      <w:r w:rsidR="00C6276D" w:rsidRPr="00F158B6">
        <w:rPr>
          <w:rFonts w:ascii="Times New Roman" w:eastAsiaTheme="minorEastAsia" w:hAnsi="Times New Roman"/>
          <w:i/>
          <w:sz w:val="20"/>
          <w:szCs w:val="20"/>
          <w:lang w:eastAsia="zh-HK"/>
        </w:rPr>
        <w:t xml:space="preserve">et al. </w:t>
      </w:r>
      <w:r w:rsidR="00C6276D">
        <w:rPr>
          <w:rFonts w:ascii="Times New Roman" w:eastAsiaTheme="minorEastAsia" w:hAnsi="Times New Roman"/>
          <w:sz w:val="20"/>
          <w:szCs w:val="20"/>
          <w:lang w:eastAsia="zh-HK"/>
        </w:rPr>
        <w:t xml:space="preserve">(2012), and </w:t>
      </w:r>
      <w:proofErr w:type="spellStart"/>
      <w:r w:rsidR="00C6276D" w:rsidRPr="00C6276D">
        <w:rPr>
          <w:rFonts w:ascii="Times New Roman" w:eastAsia="PMingLiU" w:hAnsi="Times New Roman"/>
          <w:sz w:val="20"/>
          <w:szCs w:val="20"/>
          <w:lang w:eastAsia="zh-HK"/>
        </w:rPr>
        <w:t>Δ</w:t>
      </w:r>
      <w:r w:rsidR="00C6276D">
        <w:rPr>
          <w:rFonts w:ascii="Times New Roman" w:eastAsiaTheme="minorEastAsia" w:hAnsi="Times New Roman"/>
          <w:sz w:val="20"/>
          <w:szCs w:val="20"/>
          <w:lang w:eastAsia="zh-HK"/>
        </w:rPr>
        <w:t>CoVAR</w:t>
      </w:r>
      <w:proofErr w:type="spellEnd"/>
      <w:r w:rsidR="00C6276D">
        <w:rPr>
          <w:rFonts w:ascii="Times New Roman" w:eastAsiaTheme="minorEastAsia" w:hAnsi="Times New Roman"/>
          <w:sz w:val="20"/>
          <w:szCs w:val="20"/>
          <w:lang w:eastAsia="zh-HK"/>
        </w:rPr>
        <w:t xml:space="preserve"> proposed by Adrian and </w:t>
      </w:r>
      <w:proofErr w:type="spellStart"/>
      <w:r w:rsidR="00C6276D">
        <w:rPr>
          <w:rFonts w:ascii="Times New Roman" w:eastAsiaTheme="minorEastAsia" w:hAnsi="Times New Roman"/>
          <w:sz w:val="20"/>
          <w:szCs w:val="20"/>
          <w:lang w:eastAsia="zh-HK"/>
        </w:rPr>
        <w:t>Brunnermeier</w:t>
      </w:r>
      <w:proofErr w:type="spellEnd"/>
      <w:r w:rsidR="00C6276D">
        <w:rPr>
          <w:rFonts w:ascii="Times New Roman" w:eastAsiaTheme="minorEastAsia" w:hAnsi="Times New Roman"/>
          <w:sz w:val="20"/>
          <w:szCs w:val="20"/>
          <w:lang w:eastAsia="zh-HK"/>
        </w:rPr>
        <w:t xml:space="preserve"> (2014)</w:t>
      </w:r>
      <w:r w:rsidR="002A6639">
        <w:rPr>
          <w:rFonts w:ascii="Times New Roman" w:eastAsiaTheme="minorEastAsia" w:hAnsi="Times New Roman"/>
          <w:sz w:val="20"/>
          <w:szCs w:val="20"/>
          <w:lang w:eastAsia="zh-HK"/>
        </w:rPr>
        <w:t xml:space="preserve">. </w:t>
      </w:r>
      <w:r w:rsidR="00875290">
        <w:rPr>
          <w:rFonts w:ascii="Times New Roman" w:eastAsiaTheme="minorEastAsia" w:hAnsi="Times New Roman"/>
          <w:sz w:val="20"/>
          <w:szCs w:val="20"/>
          <w:lang w:eastAsia="zh-HK"/>
        </w:rPr>
        <w:t>Using a panel dataset of 174 international insurers from 2007 to 2015</w:t>
      </w:r>
      <w:r w:rsidR="00411D7A">
        <w:rPr>
          <w:rFonts w:ascii="Times New Roman" w:eastAsiaTheme="minorEastAsia" w:hAnsi="Times New Roman"/>
          <w:sz w:val="20"/>
          <w:szCs w:val="20"/>
          <w:lang w:eastAsia="zh-HK"/>
        </w:rPr>
        <w:t xml:space="preserve"> and the World </w:t>
      </w:r>
      <w:proofErr w:type="spellStart"/>
      <w:r w:rsidR="00411D7A">
        <w:rPr>
          <w:rFonts w:ascii="Times New Roman" w:eastAsiaTheme="minorEastAsia" w:hAnsi="Times New Roman"/>
          <w:sz w:val="20"/>
          <w:szCs w:val="20"/>
          <w:lang w:eastAsia="zh-HK"/>
        </w:rPr>
        <w:t>Datastream</w:t>
      </w:r>
      <w:proofErr w:type="spellEnd"/>
      <w:r w:rsidR="00411D7A">
        <w:rPr>
          <w:rFonts w:ascii="Times New Roman" w:eastAsiaTheme="minorEastAsia" w:hAnsi="Times New Roman"/>
          <w:sz w:val="20"/>
          <w:szCs w:val="20"/>
          <w:lang w:eastAsia="zh-HK"/>
        </w:rPr>
        <w:t xml:space="preserve"> Financial Index as the proxy for market index</w:t>
      </w:r>
      <w:r w:rsidR="00875290">
        <w:rPr>
          <w:rFonts w:ascii="Times New Roman" w:eastAsiaTheme="minorEastAsia" w:hAnsi="Times New Roman"/>
          <w:sz w:val="20"/>
          <w:szCs w:val="20"/>
          <w:lang w:eastAsia="zh-HK"/>
        </w:rPr>
        <w:t xml:space="preserve">, </w:t>
      </w:r>
      <w:r w:rsidR="00D31A61">
        <w:rPr>
          <w:rFonts w:ascii="Times New Roman" w:eastAsiaTheme="minorEastAsia" w:hAnsi="Times New Roman"/>
          <w:sz w:val="20"/>
          <w:szCs w:val="20"/>
          <w:lang w:eastAsia="zh-HK"/>
        </w:rPr>
        <w:t xml:space="preserve">we find that </w:t>
      </w:r>
      <w:r w:rsidR="007A2F5A">
        <w:rPr>
          <w:rFonts w:ascii="Times New Roman" w:eastAsiaTheme="minorEastAsia" w:hAnsi="Times New Roman"/>
          <w:sz w:val="20"/>
          <w:szCs w:val="20"/>
          <w:lang w:eastAsia="zh-HK"/>
        </w:rPr>
        <w:t>the systemic risk</w:t>
      </w:r>
      <w:r w:rsidR="00236483">
        <w:rPr>
          <w:rFonts w:ascii="Times New Roman" w:eastAsiaTheme="minorEastAsia" w:hAnsi="Times New Roman"/>
          <w:sz w:val="20"/>
          <w:szCs w:val="20"/>
          <w:lang w:eastAsia="zh-HK"/>
        </w:rPr>
        <w:t xml:space="preserve"> of G-SIIs decrease</w:t>
      </w:r>
      <w:r w:rsidR="00A433A9">
        <w:rPr>
          <w:rFonts w:ascii="Times New Roman" w:eastAsiaTheme="minorEastAsia" w:hAnsi="Times New Roman"/>
          <w:sz w:val="20"/>
          <w:szCs w:val="20"/>
          <w:lang w:eastAsia="zh-HK"/>
        </w:rPr>
        <w:t>s</w:t>
      </w:r>
      <w:r w:rsidR="00236483">
        <w:rPr>
          <w:rFonts w:ascii="Times New Roman" w:eastAsiaTheme="minorEastAsia" w:hAnsi="Times New Roman"/>
          <w:sz w:val="20"/>
          <w:szCs w:val="20"/>
          <w:lang w:eastAsia="zh-HK"/>
        </w:rPr>
        <w:t xml:space="preserve"> </w:t>
      </w:r>
      <w:r w:rsidR="003056E6">
        <w:rPr>
          <w:rFonts w:ascii="Times New Roman" w:eastAsiaTheme="minorEastAsia" w:hAnsi="Times New Roman"/>
          <w:sz w:val="20"/>
          <w:szCs w:val="20"/>
          <w:lang w:eastAsia="zh-HK"/>
        </w:rPr>
        <w:t>by a</w:t>
      </w:r>
      <w:r w:rsidR="002F59E5">
        <w:rPr>
          <w:rFonts w:ascii="Times New Roman" w:eastAsiaTheme="minorEastAsia" w:hAnsi="Times New Roman"/>
          <w:sz w:val="20"/>
          <w:szCs w:val="20"/>
          <w:lang w:eastAsia="zh-HK"/>
        </w:rPr>
        <w:t xml:space="preserve">pproximately </w:t>
      </w:r>
      <w:r w:rsidR="00952440">
        <w:rPr>
          <w:rFonts w:ascii="Times New Roman" w:eastAsiaTheme="minorEastAsia" w:hAnsi="Times New Roman"/>
          <w:sz w:val="20"/>
          <w:szCs w:val="20"/>
          <w:lang w:eastAsia="zh-HK"/>
        </w:rPr>
        <w:t>13</w:t>
      </w:r>
      <w:r w:rsidR="003056E6">
        <w:rPr>
          <w:rFonts w:ascii="Times New Roman" w:eastAsiaTheme="minorEastAsia" w:hAnsi="Times New Roman"/>
          <w:sz w:val="20"/>
          <w:szCs w:val="20"/>
          <w:lang w:eastAsia="zh-HK"/>
        </w:rPr>
        <w:t>% to 2</w:t>
      </w:r>
      <w:r w:rsidR="007A2F5A">
        <w:rPr>
          <w:rFonts w:ascii="Times New Roman" w:eastAsiaTheme="minorEastAsia" w:hAnsi="Times New Roman"/>
          <w:sz w:val="20"/>
          <w:szCs w:val="20"/>
          <w:lang w:eastAsia="zh-HK"/>
        </w:rPr>
        <w:t>7</w:t>
      </w:r>
      <w:r w:rsidR="003056E6">
        <w:rPr>
          <w:rFonts w:ascii="Times New Roman" w:eastAsiaTheme="minorEastAsia" w:hAnsi="Times New Roman"/>
          <w:sz w:val="20"/>
          <w:szCs w:val="20"/>
          <w:lang w:eastAsia="zh-HK"/>
        </w:rPr>
        <w:t>%</w:t>
      </w:r>
      <w:r w:rsidR="00236483">
        <w:rPr>
          <w:rFonts w:ascii="Times New Roman" w:eastAsiaTheme="minorEastAsia" w:hAnsi="Times New Roman"/>
          <w:sz w:val="20"/>
          <w:szCs w:val="20"/>
          <w:lang w:eastAsia="zh-HK"/>
        </w:rPr>
        <w:t xml:space="preserve"> after the </w:t>
      </w:r>
      <w:r w:rsidR="005A2369">
        <w:rPr>
          <w:rFonts w:ascii="Times New Roman" w:eastAsiaTheme="minorEastAsia" w:hAnsi="Times New Roman"/>
          <w:sz w:val="20"/>
          <w:szCs w:val="20"/>
          <w:lang w:eastAsia="zh-HK"/>
        </w:rPr>
        <w:t xml:space="preserve">G-20 declared to tighten </w:t>
      </w:r>
      <w:r w:rsidR="00373F84">
        <w:rPr>
          <w:rFonts w:ascii="Times New Roman" w:eastAsiaTheme="minorEastAsia" w:hAnsi="Times New Roman"/>
          <w:sz w:val="20"/>
          <w:szCs w:val="20"/>
          <w:lang w:eastAsia="zh-HK"/>
        </w:rPr>
        <w:t xml:space="preserve">up </w:t>
      </w:r>
      <w:r w:rsidR="005A2369">
        <w:rPr>
          <w:rFonts w:ascii="Times New Roman" w:eastAsiaTheme="minorEastAsia" w:hAnsi="Times New Roman"/>
          <w:sz w:val="20"/>
          <w:szCs w:val="20"/>
          <w:lang w:eastAsia="zh-HK"/>
        </w:rPr>
        <w:t xml:space="preserve">supervision on G-SIIs and the </w:t>
      </w:r>
      <w:r w:rsidR="00236483">
        <w:rPr>
          <w:rFonts w:ascii="Times New Roman" w:eastAsiaTheme="minorEastAsia" w:hAnsi="Times New Roman"/>
          <w:sz w:val="20"/>
          <w:szCs w:val="20"/>
          <w:lang w:eastAsia="zh-HK"/>
        </w:rPr>
        <w:t>IAIS published the new policy measures</w:t>
      </w:r>
      <w:r w:rsidR="00D31A61">
        <w:rPr>
          <w:rFonts w:ascii="Times New Roman" w:eastAsiaTheme="minorEastAsia" w:hAnsi="Times New Roman"/>
          <w:sz w:val="20"/>
          <w:szCs w:val="20"/>
          <w:lang w:eastAsia="zh-HK"/>
        </w:rPr>
        <w:t>.</w:t>
      </w:r>
      <w:r w:rsidR="0087100C">
        <w:rPr>
          <w:rFonts w:ascii="Times New Roman" w:eastAsiaTheme="minorEastAsia" w:hAnsi="Times New Roman"/>
          <w:sz w:val="20"/>
          <w:szCs w:val="20"/>
          <w:lang w:eastAsia="zh-HK"/>
        </w:rPr>
        <w:t xml:space="preserve"> The findings suggest that </w:t>
      </w:r>
      <w:r w:rsidR="00DC3E76">
        <w:rPr>
          <w:rFonts w:ascii="Times New Roman" w:eastAsiaTheme="minorEastAsia" w:hAnsi="Times New Roman"/>
          <w:sz w:val="20"/>
          <w:szCs w:val="20"/>
          <w:lang w:eastAsia="zh-HK"/>
        </w:rPr>
        <w:t>the new regulation</w:t>
      </w:r>
      <w:r w:rsidR="0087100C">
        <w:rPr>
          <w:rFonts w:ascii="Times New Roman" w:eastAsiaTheme="minorEastAsia" w:hAnsi="Times New Roman"/>
          <w:sz w:val="20"/>
          <w:szCs w:val="20"/>
          <w:lang w:eastAsia="zh-HK"/>
        </w:rPr>
        <w:t xml:space="preserve"> </w:t>
      </w:r>
      <w:r w:rsidR="00AE5939">
        <w:rPr>
          <w:rFonts w:ascii="Times New Roman" w:eastAsiaTheme="minorEastAsia" w:hAnsi="Times New Roman"/>
          <w:sz w:val="20"/>
          <w:szCs w:val="20"/>
          <w:lang w:eastAsia="zh-HK"/>
        </w:rPr>
        <w:t>motivates</w:t>
      </w:r>
      <w:r w:rsidR="0087100C">
        <w:rPr>
          <w:rFonts w:ascii="Times New Roman" w:eastAsiaTheme="minorEastAsia" w:hAnsi="Times New Roman"/>
          <w:sz w:val="20"/>
          <w:szCs w:val="20"/>
          <w:lang w:eastAsia="zh-HK"/>
        </w:rPr>
        <w:t xml:space="preserve"> </w:t>
      </w:r>
      <w:r w:rsidR="00DC3E76">
        <w:rPr>
          <w:rFonts w:ascii="Times New Roman" w:eastAsiaTheme="minorEastAsia" w:hAnsi="Times New Roman"/>
          <w:sz w:val="20"/>
          <w:szCs w:val="20"/>
          <w:lang w:eastAsia="zh-HK"/>
        </w:rPr>
        <w:t>G-SIIs</w:t>
      </w:r>
      <w:r w:rsidR="0087100C">
        <w:rPr>
          <w:rFonts w:ascii="Times New Roman" w:eastAsiaTheme="minorEastAsia" w:hAnsi="Times New Roman"/>
          <w:sz w:val="20"/>
          <w:szCs w:val="20"/>
          <w:lang w:eastAsia="zh-HK"/>
        </w:rPr>
        <w:t xml:space="preserve"> to </w:t>
      </w:r>
      <w:r w:rsidR="006B33BF">
        <w:rPr>
          <w:rFonts w:ascii="Times New Roman" w:eastAsiaTheme="minorEastAsia" w:hAnsi="Times New Roman"/>
          <w:sz w:val="20"/>
          <w:szCs w:val="20"/>
          <w:lang w:eastAsia="zh-HK"/>
        </w:rPr>
        <w:t>change their risk-taking behaviors</w:t>
      </w:r>
      <w:r w:rsidR="0087100C">
        <w:rPr>
          <w:rFonts w:ascii="Times New Roman" w:eastAsiaTheme="minorEastAsia" w:hAnsi="Times New Roman"/>
          <w:sz w:val="20"/>
          <w:szCs w:val="20"/>
          <w:lang w:eastAsia="zh-HK"/>
        </w:rPr>
        <w:t xml:space="preserve">, which are consistent with </w:t>
      </w:r>
      <w:proofErr w:type="spellStart"/>
      <w:r w:rsidR="0087100C">
        <w:rPr>
          <w:rFonts w:ascii="Times New Roman" w:eastAsiaTheme="minorEastAsia" w:hAnsi="Times New Roman"/>
          <w:sz w:val="20"/>
          <w:szCs w:val="20"/>
          <w:lang w:eastAsia="zh-HK"/>
        </w:rPr>
        <w:t>Moenninghoff</w:t>
      </w:r>
      <w:proofErr w:type="spellEnd"/>
      <w:r w:rsidR="0087100C">
        <w:rPr>
          <w:rFonts w:ascii="Times New Roman" w:eastAsiaTheme="minorEastAsia" w:hAnsi="Times New Roman"/>
          <w:sz w:val="20"/>
          <w:szCs w:val="20"/>
          <w:lang w:eastAsia="zh-HK"/>
        </w:rPr>
        <w:t xml:space="preserve"> </w:t>
      </w:r>
      <w:r w:rsidR="0087100C" w:rsidRPr="0087100C">
        <w:rPr>
          <w:rFonts w:ascii="Times New Roman" w:eastAsiaTheme="minorEastAsia" w:hAnsi="Times New Roman"/>
          <w:i/>
          <w:sz w:val="20"/>
          <w:szCs w:val="20"/>
          <w:lang w:eastAsia="zh-HK"/>
        </w:rPr>
        <w:t>et. al.</w:t>
      </w:r>
      <w:r w:rsidR="0087100C">
        <w:rPr>
          <w:rFonts w:ascii="Times New Roman" w:eastAsiaTheme="minorEastAsia" w:hAnsi="Times New Roman"/>
          <w:sz w:val="20"/>
          <w:szCs w:val="20"/>
          <w:lang w:eastAsia="zh-HK"/>
        </w:rPr>
        <w:t xml:space="preserve"> (2015)’</w:t>
      </w:r>
      <w:r w:rsidR="00DC3E76">
        <w:rPr>
          <w:rFonts w:ascii="Times New Roman" w:eastAsiaTheme="minorEastAsia" w:hAnsi="Times New Roman"/>
          <w:sz w:val="20"/>
          <w:szCs w:val="20"/>
          <w:lang w:eastAsia="zh-HK"/>
        </w:rPr>
        <w:t xml:space="preserve">s </w:t>
      </w:r>
      <w:r w:rsidR="00411D7A">
        <w:rPr>
          <w:rFonts w:ascii="Times New Roman" w:eastAsiaTheme="minorEastAsia" w:hAnsi="Times New Roman"/>
          <w:sz w:val="20"/>
          <w:szCs w:val="20"/>
          <w:lang w:eastAsia="zh-HK"/>
        </w:rPr>
        <w:t>event study</w:t>
      </w:r>
      <w:r w:rsidR="00DC3E76">
        <w:rPr>
          <w:rFonts w:ascii="Times New Roman" w:eastAsiaTheme="minorEastAsia" w:hAnsi="Times New Roman"/>
          <w:sz w:val="20"/>
          <w:szCs w:val="20"/>
          <w:lang w:eastAsia="zh-HK"/>
        </w:rPr>
        <w:t xml:space="preserve"> that </w:t>
      </w:r>
      <w:r w:rsidR="00411D7A">
        <w:rPr>
          <w:rFonts w:ascii="Times New Roman" w:eastAsiaTheme="minorEastAsia" w:hAnsi="Times New Roman"/>
          <w:sz w:val="20"/>
          <w:szCs w:val="20"/>
          <w:lang w:eastAsia="zh-HK"/>
        </w:rPr>
        <w:t xml:space="preserve">argues </w:t>
      </w:r>
      <w:r w:rsidR="00DC3E76">
        <w:rPr>
          <w:rFonts w:ascii="Times New Roman" w:eastAsiaTheme="minorEastAsia" w:hAnsi="Times New Roman"/>
          <w:sz w:val="20"/>
          <w:szCs w:val="20"/>
          <w:lang w:eastAsia="zh-HK"/>
        </w:rPr>
        <w:t>the</w:t>
      </w:r>
      <w:r w:rsidR="0087100C">
        <w:rPr>
          <w:rFonts w:ascii="Times New Roman" w:eastAsiaTheme="minorEastAsia" w:hAnsi="Times New Roman"/>
          <w:sz w:val="20"/>
          <w:szCs w:val="20"/>
          <w:lang w:eastAsia="zh-HK"/>
        </w:rPr>
        <w:t xml:space="preserve"> costs </w:t>
      </w:r>
      <w:r w:rsidR="00DC3E76">
        <w:rPr>
          <w:rFonts w:ascii="Times New Roman" w:eastAsiaTheme="minorEastAsia" w:hAnsi="Times New Roman"/>
          <w:sz w:val="20"/>
          <w:szCs w:val="20"/>
          <w:lang w:eastAsia="zh-HK"/>
        </w:rPr>
        <w:t xml:space="preserve">of complying with </w:t>
      </w:r>
      <w:r w:rsidR="00411D7A">
        <w:rPr>
          <w:rFonts w:ascii="Times New Roman" w:eastAsiaTheme="minorEastAsia" w:hAnsi="Times New Roman"/>
          <w:sz w:val="20"/>
          <w:szCs w:val="20"/>
          <w:lang w:eastAsia="zh-HK"/>
        </w:rPr>
        <w:t xml:space="preserve">the </w:t>
      </w:r>
      <w:r w:rsidR="00DC3E76">
        <w:rPr>
          <w:rFonts w:ascii="Times New Roman" w:eastAsiaTheme="minorEastAsia" w:hAnsi="Times New Roman"/>
          <w:sz w:val="20"/>
          <w:szCs w:val="20"/>
          <w:lang w:eastAsia="zh-HK"/>
        </w:rPr>
        <w:t xml:space="preserve">new </w:t>
      </w:r>
      <w:r w:rsidR="00C71580">
        <w:rPr>
          <w:rFonts w:ascii="Times New Roman" w:eastAsiaTheme="minorEastAsia" w:hAnsi="Times New Roman"/>
          <w:sz w:val="20"/>
          <w:szCs w:val="20"/>
          <w:lang w:eastAsia="zh-HK"/>
        </w:rPr>
        <w:t>international regulation on G-SIBs</w:t>
      </w:r>
      <w:r w:rsidR="00DC3E76">
        <w:rPr>
          <w:rFonts w:ascii="Times New Roman" w:eastAsiaTheme="minorEastAsia" w:hAnsi="Times New Roman"/>
          <w:sz w:val="20"/>
          <w:szCs w:val="20"/>
          <w:lang w:eastAsia="zh-HK"/>
        </w:rPr>
        <w:t xml:space="preserve"> </w:t>
      </w:r>
      <w:r w:rsidR="0087100C">
        <w:rPr>
          <w:rFonts w:ascii="Times New Roman" w:eastAsiaTheme="minorEastAsia" w:hAnsi="Times New Roman"/>
          <w:sz w:val="20"/>
          <w:szCs w:val="20"/>
          <w:lang w:eastAsia="zh-HK"/>
        </w:rPr>
        <w:t>are greater than the benefits of being perceived as safer by the market after G-</w:t>
      </w:r>
      <w:r w:rsidR="00C71580">
        <w:rPr>
          <w:rFonts w:ascii="Times New Roman" w:eastAsiaTheme="minorEastAsia" w:hAnsi="Times New Roman"/>
          <w:sz w:val="20"/>
          <w:szCs w:val="20"/>
          <w:lang w:eastAsia="zh-HK"/>
        </w:rPr>
        <w:t>SIB</w:t>
      </w:r>
      <w:r w:rsidR="0087100C">
        <w:rPr>
          <w:rFonts w:ascii="Times New Roman" w:eastAsiaTheme="minorEastAsia" w:hAnsi="Times New Roman"/>
          <w:sz w:val="20"/>
          <w:szCs w:val="20"/>
          <w:lang w:eastAsia="zh-HK"/>
        </w:rPr>
        <w:t xml:space="preserve"> designation. </w:t>
      </w:r>
    </w:p>
    <w:p w14:paraId="1DA9F8C1" w14:textId="192D0B87" w:rsidR="00411D7A" w:rsidRDefault="00411D7A" w:rsidP="00796802">
      <w:pPr>
        <w:spacing w:after="0" w:line="260" w:lineRule="exact"/>
        <w:jc w:val="both"/>
        <w:rPr>
          <w:rFonts w:ascii="Times New Roman" w:eastAsiaTheme="minorEastAsia" w:hAnsi="Times New Roman"/>
          <w:sz w:val="20"/>
          <w:szCs w:val="20"/>
          <w:lang w:eastAsia="zh-HK"/>
        </w:rPr>
      </w:pPr>
    </w:p>
    <w:p w14:paraId="701FFA1B" w14:textId="26002C0A" w:rsidR="00411D7A" w:rsidRDefault="00411D7A" w:rsidP="00796802">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We further c</w:t>
      </w:r>
      <w:r>
        <w:rPr>
          <w:rFonts w:ascii="Times New Roman" w:eastAsiaTheme="minorEastAsia" w:hAnsi="Times New Roman"/>
          <w:sz w:val="20"/>
          <w:szCs w:val="20"/>
          <w:lang w:eastAsia="zh-HK"/>
        </w:rPr>
        <w:t>onduct</w:t>
      </w:r>
      <w:r>
        <w:rPr>
          <w:rFonts w:ascii="Times New Roman" w:eastAsiaTheme="minorEastAsia" w:hAnsi="Times New Roman" w:hint="eastAsia"/>
          <w:sz w:val="20"/>
          <w:szCs w:val="20"/>
          <w:lang w:eastAsia="zh-HK"/>
        </w:rPr>
        <w:t xml:space="preserve"> additional </w:t>
      </w:r>
      <w:r>
        <w:rPr>
          <w:rFonts w:ascii="Times New Roman" w:eastAsiaTheme="minorEastAsia" w:hAnsi="Times New Roman"/>
          <w:sz w:val="20"/>
          <w:szCs w:val="20"/>
          <w:lang w:eastAsia="zh-HK"/>
        </w:rPr>
        <w:t xml:space="preserve">analysis to the above findings. First, we examine whether the empirical results are sensitive to the choice of </w:t>
      </w:r>
      <w:r w:rsidR="00AD38A7">
        <w:rPr>
          <w:rFonts w:ascii="Times New Roman" w:eastAsiaTheme="minorEastAsia" w:hAnsi="Times New Roman"/>
          <w:sz w:val="20"/>
          <w:szCs w:val="20"/>
          <w:lang w:eastAsia="zh-HK"/>
        </w:rPr>
        <w:t xml:space="preserve">proxy for market index. Using World </w:t>
      </w:r>
      <w:proofErr w:type="spellStart"/>
      <w:r w:rsidR="00AD38A7">
        <w:rPr>
          <w:rFonts w:ascii="Times New Roman" w:eastAsiaTheme="minorEastAsia" w:hAnsi="Times New Roman"/>
          <w:sz w:val="20"/>
          <w:szCs w:val="20"/>
          <w:lang w:eastAsia="zh-HK"/>
        </w:rPr>
        <w:t>Datastream</w:t>
      </w:r>
      <w:proofErr w:type="spellEnd"/>
      <w:r w:rsidR="00AD38A7">
        <w:rPr>
          <w:rFonts w:ascii="Times New Roman" w:eastAsiaTheme="minorEastAsia" w:hAnsi="Times New Roman"/>
          <w:sz w:val="20"/>
          <w:szCs w:val="20"/>
          <w:lang w:eastAsia="zh-HK"/>
        </w:rPr>
        <w:t xml:space="preserve"> Market Index, World </w:t>
      </w:r>
      <w:proofErr w:type="spellStart"/>
      <w:r w:rsidR="00AD38A7">
        <w:rPr>
          <w:rFonts w:ascii="Times New Roman" w:eastAsiaTheme="minorEastAsia" w:hAnsi="Times New Roman"/>
          <w:sz w:val="20"/>
          <w:szCs w:val="20"/>
          <w:lang w:eastAsia="zh-HK"/>
        </w:rPr>
        <w:t>Datastream</w:t>
      </w:r>
      <w:proofErr w:type="spellEnd"/>
      <w:r w:rsidR="00AD38A7">
        <w:rPr>
          <w:rFonts w:ascii="Times New Roman" w:eastAsiaTheme="minorEastAsia" w:hAnsi="Times New Roman"/>
          <w:sz w:val="20"/>
          <w:szCs w:val="20"/>
          <w:lang w:eastAsia="zh-HK"/>
        </w:rPr>
        <w:t xml:space="preserve"> Bank Index, and World </w:t>
      </w:r>
      <w:proofErr w:type="spellStart"/>
      <w:r w:rsidR="00AD38A7">
        <w:rPr>
          <w:rFonts w:ascii="Times New Roman" w:eastAsiaTheme="minorEastAsia" w:hAnsi="Times New Roman"/>
          <w:sz w:val="20"/>
          <w:szCs w:val="20"/>
          <w:lang w:eastAsia="zh-HK"/>
        </w:rPr>
        <w:t>Datastream</w:t>
      </w:r>
      <w:proofErr w:type="spellEnd"/>
      <w:r w:rsidR="00AD38A7">
        <w:rPr>
          <w:rFonts w:ascii="Times New Roman" w:eastAsiaTheme="minorEastAsia" w:hAnsi="Times New Roman"/>
          <w:sz w:val="20"/>
          <w:szCs w:val="20"/>
          <w:lang w:eastAsia="zh-HK"/>
        </w:rPr>
        <w:t xml:space="preserve"> Insurance Index as</w:t>
      </w:r>
      <w:r w:rsidR="00AE5939">
        <w:rPr>
          <w:rFonts w:ascii="Times New Roman" w:eastAsiaTheme="minorEastAsia" w:hAnsi="Times New Roman"/>
          <w:sz w:val="20"/>
          <w:szCs w:val="20"/>
          <w:lang w:eastAsia="zh-HK"/>
        </w:rPr>
        <w:t xml:space="preserve"> alternative</w:t>
      </w:r>
      <w:r w:rsidR="00AD38A7">
        <w:rPr>
          <w:rFonts w:ascii="Times New Roman" w:eastAsiaTheme="minorEastAsia" w:hAnsi="Times New Roman"/>
          <w:sz w:val="20"/>
          <w:szCs w:val="20"/>
          <w:lang w:eastAsia="zh-HK"/>
        </w:rPr>
        <w:t xml:space="preserve"> proxies for market index, we recalculate MES, SRISK and </w:t>
      </w:r>
      <w:proofErr w:type="spellStart"/>
      <w:r w:rsidR="00AD38A7" w:rsidRPr="00C6276D">
        <w:rPr>
          <w:rFonts w:ascii="Times New Roman" w:eastAsia="PMingLiU" w:hAnsi="Times New Roman"/>
          <w:sz w:val="20"/>
          <w:szCs w:val="20"/>
          <w:lang w:eastAsia="zh-HK"/>
        </w:rPr>
        <w:t>Δ</w:t>
      </w:r>
      <w:r w:rsidR="00E57518">
        <w:rPr>
          <w:rFonts w:ascii="Times New Roman" w:eastAsiaTheme="minorEastAsia" w:hAnsi="Times New Roman"/>
          <w:sz w:val="20"/>
          <w:szCs w:val="20"/>
          <w:lang w:eastAsia="zh-HK"/>
        </w:rPr>
        <w:t>CoVAR</w:t>
      </w:r>
      <w:proofErr w:type="spellEnd"/>
      <w:r w:rsidR="00E57518">
        <w:rPr>
          <w:rFonts w:ascii="Times New Roman" w:eastAsiaTheme="minorEastAsia" w:hAnsi="Times New Roman"/>
          <w:sz w:val="20"/>
          <w:szCs w:val="20"/>
          <w:lang w:eastAsia="zh-HK"/>
        </w:rPr>
        <w:t xml:space="preserve"> for each </w:t>
      </w:r>
      <w:r w:rsidR="00AD38A7">
        <w:rPr>
          <w:rFonts w:ascii="Times New Roman" w:eastAsiaTheme="minorEastAsia" w:hAnsi="Times New Roman"/>
          <w:sz w:val="20"/>
          <w:szCs w:val="20"/>
          <w:lang w:eastAsia="zh-HK"/>
        </w:rPr>
        <w:t>insurer and re-perform the regression analysis. The results are similar no matter which index is used as</w:t>
      </w:r>
      <w:r w:rsidR="00B4637E">
        <w:rPr>
          <w:rFonts w:ascii="Times New Roman" w:eastAsiaTheme="minorEastAsia" w:hAnsi="Times New Roman"/>
          <w:sz w:val="20"/>
          <w:szCs w:val="20"/>
          <w:lang w:eastAsia="zh-HK"/>
        </w:rPr>
        <w:t xml:space="preserve"> market</w:t>
      </w:r>
      <w:r w:rsidR="00AD38A7">
        <w:rPr>
          <w:rFonts w:ascii="Times New Roman" w:eastAsiaTheme="minorEastAsia" w:hAnsi="Times New Roman"/>
          <w:sz w:val="20"/>
          <w:szCs w:val="20"/>
          <w:lang w:eastAsia="zh-HK"/>
        </w:rPr>
        <w:t xml:space="preserve"> proxy. Second, </w:t>
      </w:r>
      <w:r w:rsidR="00B25811">
        <w:rPr>
          <w:rFonts w:ascii="Times New Roman" w:eastAsiaTheme="minorEastAsia" w:hAnsi="Times New Roman"/>
          <w:sz w:val="20"/>
          <w:szCs w:val="20"/>
          <w:lang w:eastAsia="zh-HK"/>
        </w:rPr>
        <w:t xml:space="preserve">we investigate whether the results are driven by the </w:t>
      </w:r>
      <w:r w:rsidR="005E048D">
        <w:rPr>
          <w:rFonts w:ascii="Times New Roman" w:eastAsiaTheme="minorEastAsia" w:hAnsi="Times New Roman"/>
          <w:sz w:val="20"/>
          <w:szCs w:val="20"/>
          <w:lang w:eastAsia="zh-HK"/>
        </w:rPr>
        <w:t>extreme values of data from</w:t>
      </w:r>
      <w:r w:rsidR="00B25811">
        <w:rPr>
          <w:rFonts w:ascii="Times New Roman" w:eastAsiaTheme="minorEastAsia" w:hAnsi="Times New Roman"/>
          <w:sz w:val="20"/>
          <w:szCs w:val="20"/>
          <w:lang w:eastAsia="zh-HK"/>
        </w:rPr>
        <w:t xml:space="preserve"> financial crisis. </w:t>
      </w:r>
      <w:r w:rsidR="00E57518">
        <w:rPr>
          <w:rFonts w:ascii="Times New Roman" w:eastAsiaTheme="minorEastAsia" w:hAnsi="Times New Roman"/>
          <w:sz w:val="20"/>
          <w:szCs w:val="20"/>
          <w:lang w:eastAsia="zh-HK"/>
        </w:rPr>
        <w:t>We follow the National Bureau of Economic Research (NBER)’s definition of business cycle contraction and repeat the regression analysis after dropping</w:t>
      </w:r>
      <w:r w:rsidR="00B25811">
        <w:rPr>
          <w:rFonts w:ascii="Times New Roman" w:eastAsiaTheme="minorEastAsia" w:hAnsi="Times New Roman"/>
          <w:sz w:val="20"/>
          <w:szCs w:val="20"/>
          <w:lang w:eastAsia="zh-HK"/>
        </w:rPr>
        <w:t xml:space="preserve"> the data from 2007 </w:t>
      </w:r>
      <w:r w:rsidR="00E57518">
        <w:rPr>
          <w:rFonts w:ascii="Times New Roman" w:eastAsiaTheme="minorEastAsia" w:hAnsi="Times New Roman"/>
          <w:sz w:val="20"/>
          <w:szCs w:val="20"/>
          <w:lang w:eastAsia="zh-HK"/>
        </w:rPr>
        <w:t xml:space="preserve">Q4 </w:t>
      </w:r>
      <w:r w:rsidR="00B25811">
        <w:rPr>
          <w:rFonts w:ascii="Times New Roman" w:eastAsiaTheme="minorEastAsia" w:hAnsi="Times New Roman"/>
          <w:sz w:val="20"/>
          <w:szCs w:val="20"/>
          <w:lang w:eastAsia="zh-HK"/>
        </w:rPr>
        <w:t>to 20</w:t>
      </w:r>
      <w:r w:rsidR="00E57518">
        <w:rPr>
          <w:rFonts w:ascii="Times New Roman" w:eastAsiaTheme="minorEastAsia" w:hAnsi="Times New Roman"/>
          <w:sz w:val="20"/>
          <w:szCs w:val="20"/>
          <w:lang w:eastAsia="zh-HK"/>
        </w:rPr>
        <w:t>09 Q2.</w:t>
      </w:r>
      <w:r w:rsidR="00B25811">
        <w:rPr>
          <w:rFonts w:ascii="Times New Roman" w:eastAsiaTheme="minorEastAsia" w:hAnsi="Times New Roman"/>
          <w:sz w:val="20"/>
          <w:szCs w:val="20"/>
          <w:lang w:eastAsia="zh-HK"/>
        </w:rPr>
        <w:t xml:space="preserve"> </w:t>
      </w:r>
      <w:r w:rsidR="00E57518">
        <w:rPr>
          <w:rFonts w:ascii="Times New Roman" w:eastAsiaTheme="minorEastAsia" w:hAnsi="Times New Roman"/>
          <w:sz w:val="20"/>
          <w:szCs w:val="20"/>
          <w:lang w:eastAsia="zh-HK"/>
        </w:rPr>
        <w:t>T</w:t>
      </w:r>
      <w:r w:rsidR="00B25811">
        <w:rPr>
          <w:rFonts w:ascii="Times New Roman" w:eastAsiaTheme="minorEastAsia" w:hAnsi="Times New Roman"/>
          <w:sz w:val="20"/>
          <w:szCs w:val="20"/>
          <w:lang w:eastAsia="zh-HK"/>
        </w:rPr>
        <w:t xml:space="preserve">he regression results still suggest that the </w:t>
      </w:r>
      <w:r w:rsidR="00C1275B">
        <w:rPr>
          <w:rFonts w:ascii="Times New Roman" w:eastAsiaTheme="minorEastAsia" w:hAnsi="Times New Roman"/>
          <w:sz w:val="20"/>
          <w:szCs w:val="20"/>
          <w:lang w:eastAsia="zh-HK"/>
        </w:rPr>
        <w:t>new regulation</w:t>
      </w:r>
      <w:r w:rsidR="00B25811">
        <w:rPr>
          <w:rFonts w:ascii="Times New Roman" w:eastAsiaTheme="minorEastAsia" w:hAnsi="Times New Roman"/>
          <w:sz w:val="20"/>
          <w:szCs w:val="20"/>
          <w:lang w:eastAsia="zh-HK"/>
        </w:rPr>
        <w:t xml:space="preserve"> significantly decrease</w:t>
      </w:r>
      <w:r w:rsidR="00A433A9">
        <w:rPr>
          <w:rFonts w:ascii="Times New Roman" w:eastAsiaTheme="minorEastAsia" w:hAnsi="Times New Roman"/>
          <w:sz w:val="20"/>
          <w:szCs w:val="20"/>
          <w:lang w:eastAsia="zh-HK"/>
        </w:rPr>
        <w:t>s</w:t>
      </w:r>
      <w:r w:rsidR="00B25811">
        <w:rPr>
          <w:rFonts w:ascii="Times New Roman" w:eastAsiaTheme="minorEastAsia" w:hAnsi="Times New Roman"/>
          <w:sz w:val="20"/>
          <w:szCs w:val="20"/>
          <w:lang w:eastAsia="zh-HK"/>
        </w:rPr>
        <w:t xml:space="preserve"> the systemic risks of G-SIIs. Third, </w:t>
      </w:r>
      <w:r w:rsidR="00C95B5D">
        <w:rPr>
          <w:rFonts w:ascii="Times New Roman" w:eastAsiaTheme="minorEastAsia" w:hAnsi="Times New Roman"/>
          <w:sz w:val="20"/>
          <w:szCs w:val="20"/>
          <w:lang w:eastAsia="zh-HK"/>
        </w:rPr>
        <w:t xml:space="preserve">we </w:t>
      </w:r>
      <w:r w:rsidR="00FD065B">
        <w:rPr>
          <w:rFonts w:ascii="Times New Roman" w:eastAsiaTheme="minorEastAsia" w:hAnsi="Times New Roman"/>
          <w:sz w:val="20"/>
          <w:szCs w:val="20"/>
          <w:lang w:eastAsia="zh-HK"/>
        </w:rPr>
        <w:t xml:space="preserve">check the robustness of the time period of our treatment effect. </w:t>
      </w:r>
      <w:r w:rsidR="0023765E">
        <w:rPr>
          <w:rFonts w:ascii="Times New Roman" w:eastAsiaTheme="minorEastAsia" w:hAnsi="Times New Roman"/>
          <w:sz w:val="20"/>
          <w:szCs w:val="20"/>
          <w:lang w:eastAsia="zh-HK"/>
        </w:rPr>
        <w:t xml:space="preserve">We revise the treatment time period to ensure that all G-SIIs were certain of their G-SII status in the revised period. </w:t>
      </w:r>
      <w:r w:rsidR="005E4F8E">
        <w:rPr>
          <w:rFonts w:ascii="Times New Roman" w:eastAsiaTheme="minorEastAsia" w:hAnsi="Times New Roman"/>
          <w:sz w:val="20"/>
          <w:szCs w:val="20"/>
          <w:lang w:eastAsia="zh-HK"/>
        </w:rPr>
        <w:t xml:space="preserve">The empirical findings do not </w:t>
      </w:r>
      <w:r w:rsidR="008B4DB7">
        <w:rPr>
          <w:rFonts w:ascii="Times New Roman" w:eastAsiaTheme="minorEastAsia" w:hAnsi="Times New Roman"/>
          <w:sz w:val="20"/>
          <w:szCs w:val="20"/>
          <w:lang w:eastAsia="zh-HK"/>
        </w:rPr>
        <w:t xml:space="preserve">materially </w:t>
      </w:r>
      <w:r w:rsidR="005E4F8E">
        <w:rPr>
          <w:rFonts w:ascii="Times New Roman" w:eastAsiaTheme="minorEastAsia" w:hAnsi="Times New Roman"/>
          <w:sz w:val="20"/>
          <w:szCs w:val="20"/>
          <w:lang w:eastAsia="zh-HK"/>
        </w:rPr>
        <w:t>change</w:t>
      </w:r>
      <w:r w:rsidR="00953731">
        <w:rPr>
          <w:rFonts w:ascii="Times New Roman" w:eastAsiaTheme="minorEastAsia" w:hAnsi="Times New Roman"/>
          <w:sz w:val="20"/>
          <w:szCs w:val="20"/>
          <w:lang w:eastAsia="zh-HK"/>
        </w:rPr>
        <w:t xml:space="preserve"> </w:t>
      </w:r>
      <w:r w:rsidR="0023765E">
        <w:rPr>
          <w:rFonts w:ascii="Times New Roman" w:eastAsiaTheme="minorEastAsia" w:hAnsi="Times New Roman"/>
          <w:sz w:val="20"/>
          <w:szCs w:val="20"/>
          <w:lang w:eastAsia="zh-HK"/>
        </w:rPr>
        <w:t xml:space="preserve">with the revised treatment effect. </w:t>
      </w:r>
      <w:r w:rsidR="00FD065B">
        <w:rPr>
          <w:rFonts w:ascii="Times New Roman" w:eastAsiaTheme="minorEastAsia" w:hAnsi="Times New Roman"/>
          <w:sz w:val="20"/>
          <w:szCs w:val="20"/>
          <w:lang w:eastAsia="zh-HK"/>
        </w:rPr>
        <w:t xml:space="preserve">Fourth, we </w:t>
      </w:r>
      <w:r w:rsidR="00C95B5D">
        <w:rPr>
          <w:rFonts w:ascii="Times New Roman" w:eastAsiaTheme="minorEastAsia" w:hAnsi="Times New Roman"/>
          <w:sz w:val="20"/>
          <w:szCs w:val="20"/>
          <w:lang w:eastAsia="zh-HK"/>
        </w:rPr>
        <w:t xml:space="preserve">study whether the new regulation’s impact on G-SIIs remains strong outside the U.S., as the public awareness of the “too-big-to-fail” problem in the insurance sector arose from the financial distress of the American International Group and the subsequent bailout from the U.S. government in 2008. </w:t>
      </w:r>
      <w:r w:rsidR="00D55D8F">
        <w:rPr>
          <w:rFonts w:ascii="Times New Roman" w:eastAsiaTheme="minorEastAsia" w:hAnsi="Times New Roman"/>
          <w:sz w:val="20"/>
          <w:szCs w:val="20"/>
          <w:lang w:eastAsia="zh-HK"/>
        </w:rPr>
        <w:t xml:space="preserve">Some industry practitioners even consider that the regulators around the world </w:t>
      </w:r>
      <w:r w:rsidR="00D55D8F">
        <w:rPr>
          <w:rFonts w:ascii="Times New Roman" w:eastAsiaTheme="minorEastAsia" w:hAnsi="Times New Roman"/>
          <w:sz w:val="20"/>
          <w:szCs w:val="20"/>
          <w:lang w:eastAsia="zh-HK"/>
        </w:rPr>
        <w:lastRenderedPageBreak/>
        <w:t xml:space="preserve">follow the U.S. lead in regulation of G-SIIs (PricewaterhouseCoopers, 2013). </w:t>
      </w:r>
      <w:r w:rsidR="00E759D4">
        <w:rPr>
          <w:rFonts w:ascii="Times New Roman" w:eastAsiaTheme="minorEastAsia" w:hAnsi="Times New Roman"/>
          <w:sz w:val="20"/>
          <w:szCs w:val="20"/>
          <w:lang w:eastAsia="zh-HK"/>
        </w:rPr>
        <w:t xml:space="preserve">After </w:t>
      </w:r>
      <w:r w:rsidR="002F59E5">
        <w:rPr>
          <w:rFonts w:ascii="Times New Roman" w:eastAsiaTheme="minorEastAsia" w:hAnsi="Times New Roman"/>
          <w:sz w:val="20"/>
          <w:szCs w:val="20"/>
          <w:lang w:eastAsia="zh-HK"/>
        </w:rPr>
        <w:t xml:space="preserve">splitting our sample into U.S. insurers and </w:t>
      </w:r>
      <w:r w:rsidR="00325E82">
        <w:rPr>
          <w:rFonts w:ascii="Times New Roman" w:eastAsiaTheme="minorEastAsia" w:hAnsi="Times New Roman"/>
          <w:sz w:val="20"/>
          <w:szCs w:val="20"/>
          <w:lang w:eastAsia="zh-HK"/>
        </w:rPr>
        <w:t>non-U.S.</w:t>
      </w:r>
      <w:r w:rsidR="002F59E5">
        <w:rPr>
          <w:rFonts w:ascii="Times New Roman" w:eastAsiaTheme="minorEastAsia" w:hAnsi="Times New Roman"/>
          <w:sz w:val="20"/>
          <w:szCs w:val="20"/>
          <w:lang w:eastAsia="zh-HK"/>
        </w:rPr>
        <w:t xml:space="preserve"> insurers, we repeat the regression analysis and find that</w:t>
      </w:r>
      <w:r w:rsidR="0052556D">
        <w:rPr>
          <w:rFonts w:ascii="Times New Roman" w:eastAsiaTheme="minorEastAsia" w:hAnsi="Times New Roman"/>
          <w:sz w:val="20"/>
          <w:szCs w:val="20"/>
          <w:lang w:eastAsia="zh-HK"/>
        </w:rPr>
        <w:t xml:space="preserve"> the</w:t>
      </w:r>
      <w:r w:rsidR="00E759D4">
        <w:rPr>
          <w:rFonts w:ascii="Times New Roman" w:eastAsiaTheme="minorEastAsia" w:hAnsi="Times New Roman"/>
          <w:sz w:val="20"/>
          <w:szCs w:val="20"/>
          <w:lang w:eastAsia="zh-HK"/>
        </w:rPr>
        <w:t xml:space="preserve"> new r</w:t>
      </w:r>
      <w:r w:rsidR="00325E82">
        <w:rPr>
          <w:rFonts w:ascii="Times New Roman" w:eastAsiaTheme="minorEastAsia" w:hAnsi="Times New Roman"/>
          <w:sz w:val="20"/>
          <w:szCs w:val="20"/>
          <w:lang w:eastAsia="zh-HK"/>
        </w:rPr>
        <w:t>egulation reduces systemic risk</w:t>
      </w:r>
      <w:r w:rsidR="00E759D4">
        <w:rPr>
          <w:rFonts w:ascii="Times New Roman" w:eastAsiaTheme="minorEastAsia" w:hAnsi="Times New Roman"/>
          <w:sz w:val="20"/>
          <w:szCs w:val="20"/>
          <w:lang w:eastAsia="zh-HK"/>
        </w:rPr>
        <w:t xml:space="preserve"> of G-SIIs </w:t>
      </w:r>
      <w:r w:rsidR="005F7DCE">
        <w:rPr>
          <w:rFonts w:ascii="Times New Roman" w:eastAsiaTheme="minorEastAsia" w:hAnsi="Times New Roman"/>
          <w:sz w:val="20"/>
          <w:szCs w:val="20"/>
          <w:lang w:eastAsia="zh-HK"/>
        </w:rPr>
        <w:t xml:space="preserve">on a worldwide basis. </w:t>
      </w:r>
      <w:r w:rsidR="002F59E5">
        <w:rPr>
          <w:rFonts w:ascii="Times New Roman" w:eastAsiaTheme="minorEastAsia" w:hAnsi="Times New Roman"/>
          <w:sz w:val="20"/>
          <w:szCs w:val="20"/>
          <w:lang w:eastAsia="zh-HK"/>
        </w:rPr>
        <w:t>F</w:t>
      </w:r>
      <w:r w:rsidR="00FD065B">
        <w:rPr>
          <w:rFonts w:ascii="Times New Roman" w:eastAsiaTheme="minorEastAsia" w:hAnsi="Times New Roman"/>
          <w:sz w:val="20"/>
          <w:szCs w:val="20"/>
          <w:lang w:eastAsia="zh-HK"/>
        </w:rPr>
        <w:t>ifth</w:t>
      </w:r>
      <w:r w:rsidR="00526D54">
        <w:rPr>
          <w:rFonts w:ascii="Times New Roman" w:eastAsiaTheme="minorEastAsia" w:hAnsi="Times New Roman"/>
          <w:sz w:val="20"/>
          <w:szCs w:val="20"/>
          <w:lang w:eastAsia="zh-HK"/>
        </w:rPr>
        <w:t>, we examine whether the new policy measures reduce syste</w:t>
      </w:r>
      <w:r w:rsidR="00325E82">
        <w:rPr>
          <w:rFonts w:ascii="Times New Roman" w:eastAsiaTheme="minorEastAsia" w:hAnsi="Times New Roman"/>
          <w:sz w:val="20"/>
          <w:szCs w:val="20"/>
          <w:lang w:eastAsia="zh-HK"/>
        </w:rPr>
        <w:t>mic risk</w:t>
      </w:r>
      <w:r w:rsidR="00526D54">
        <w:rPr>
          <w:rFonts w:ascii="Times New Roman" w:eastAsiaTheme="minorEastAsia" w:hAnsi="Times New Roman"/>
          <w:sz w:val="20"/>
          <w:szCs w:val="20"/>
          <w:lang w:eastAsia="zh-HK"/>
        </w:rPr>
        <w:t xml:space="preserve"> of large insurers, regardless of whether they </w:t>
      </w:r>
      <w:r w:rsidR="003822D5">
        <w:rPr>
          <w:rFonts w:ascii="Times New Roman" w:eastAsiaTheme="minorEastAsia" w:hAnsi="Times New Roman"/>
          <w:sz w:val="20"/>
          <w:szCs w:val="20"/>
          <w:lang w:eastAsia="zh-HK"/>
        </w:rPr>
        <w:t>have been</w:t>
      </w:r>
      <w:r w:rsidR="00526D54">
        <w:rPr>
          <w:rFonts w:ascii="Times New Roman" w:eastAsiaTheme="minorEastAsia" w:hAnsi="Times New Roman"/>
          <w:sz w:val="20"/>
          <w:szCs w:val="20"/>
          <w:lang w:eastAsia="zh-HK"/>
        </w:rPr>
        <w:t xml:space="preserve"> designated as G-SIIs.</w:t>
      </w:r>
      <w:r w:rsidR="009B5D42">
        <w:rPr>
          <w:rFonts w:ascii="Times New Roman" w:eastAsiaTheme="minorEastAsia" w:hAnsi="Times New Roman"/>
          <w:sz w:val="20"/>
          <w:szCs w:val="20"/>
          <w:lang w:eastAsia="zh-HK"/>
        </w:rPr>
        <w:t xml:space="preserve"> By de</w:t>
      </w:r>
      <w:r w:rsidR="004302F1">
        <w:rPr>
          <w:rFonts w:ascii="Times New Roman" w:eastAsiaTheme="minorEastAsia" w:hAnsi="Times New Roman"/>
          <w:sz w:val="20"/>
          <w:szCs w:val="20"/>
          <w:lang w:eastAsia="zh-HK"/>
        </w:rPr>
        <w:t>fining large insurers as the upper</w:t>
      </w:r>
      <w:r w:rsidR="009B5D42">
        <w:rPr>
          <w:rFonts w:ascii="Times New Roman" w:eastAsiaTheme="minorEastAsia" w:hAnsi="Times New Roman"/>
          <w:sz w:val="20"/>
          <w:szCs w:val="20"/>
          <w:lang w:eastAsia="zh-HK"/>
        </w:rPr>
        <w:t xml:space="preserve"> </w:t>
      </w:r>
      <w:r w:rsidR="00952440">
        <w:rPr>
          <w:rFonts w:ascii="Times New Roman" w:eastAsiaTheme="minorEastAsia" w:hAnsi="Times New Roman"/>
          <w:sz w:val="20"/>
          <w:szCs w:val="20"/>
          <w:lang w:eastAsia="zh-HK"/>
        </w:rPr>
        <w:t>quartile</w:t>
      </w:r>
      <w:r w:rsidR="009B5D42">
        <w:rPr>
          <w:rFonts w:ascii="Times New Roman" w:eastAsiaTheme="minorEastAsia" w:hAnsi="Times New Roman"/>
          <w:sz w:val="20"/>
          <w:szCs w:val="20"/>
          <w:lang w:eastAsia="zh-HK"/>
        </w:rPr>
        <w:t xml:space="preserve"> of insure</w:t>
      </w:r>
      <w:r w:rsidR="00E57518">
        <w:rPr>
          <w:rFonts w:ascii="Times New Roman" w:eastAsiaTheme="minorEastAsia" w:hAnsi="Times New Roman"/>
          <w:sz w:val="20"/>
          <w:szCs w:val="20"/>
          <w:lang w:eastAsia="zh-HK"/>
        </w:rPr>
        <w:t>rs in terms of total assets</w:t>
      </w:r>
      <w:r w:rsidR="00AF47F0">
        <w:rPr>
          <w:rFonts w:ascii="Times New Roman" w:eastAsiaTheme="minorEastAsia" w:hAnsi="Times New Roman"/>
          <w:sz w:val="20"/>
          <w:szCs w:val="20"/>
          <w:lang w:eastAsia="zh-HK"/>
        </w:rPr>
        <w:t xml:space="preserve"> and total insurance reserves</w:t>
      </w:r>
      <w:r w:rsidR="009B5D42">
        <w:rPr>
          <w:rFonts w:ascii="Times New Roman" w:eastAsiaTheme="minorEastAsia" w:hAnsi="Times New Roman"/>
          <w:sz w:val="20"/>
          <w:szCs w:val="20"/>
          <w:lang w:eastAsia="zh-HK"/>
        </w:rPr>
        <w:t>, we find that the new regulation reduces the systemic</w:t>
      </w:r>
      <w:r w:rsidR="00325E82">
        <w:rPr>
          <w:rFonts w:ascii="Times New Roman" w:eastAsiaTheme="minorEastAsia" w:hAnsi="Times New Roman"/>
          <w:sz w:val="20"/>
          <w:szCs w:val="20"/>
          <w:lang w:eastAsia="zh-HK"/>
        </w:rPr>
        <w:t xml:space="preserve"> risk</w:t>
      </w:r>
      <w:r w:rsidR="009B5D42">
        <w:rPr>
          <w:rFonts w:ascii="Times New Roman" w:eastAsiaTheme="minorEastAsia" w:hAnsi="Times New Roman"/>
          <w:sz w:val="20"/>
          <w:szCs w:val="20"/>
          <w:lang w:eastAsia="zh-HK"/>
        </w:rPr>
        <w:t xml:space="preserve"> of large insurers regardless of their G-SII status, which is supportive of the argument that the threat of being designated as G-SII</w:t>
      </w:r>
      <w:r w:rsidR="005E269D">
        <w:rPr>
          <w:rFonts w:ascii="Times New Roman" w:eastAsiaTheme="minorEastAsia" w:hAnsi="Times New Roman"/>
          <w:sz w:val="20"/>
          <w:szCs w:val="20"/>
          <w:lang w:eastAsia="zh-HK"/>
        </w:rPr>
        <w:t>s</w:t>
      </w:r>
      <w:r w:rsidR="009B5D42">
        <w:rPr>
          <w:rFonts w:ascii="Times New Roman" w:eastAsiaTheme="minorEastAsia" w:hAnsi="Times New Roman"/>
          <w:sz w:val="20"/>
          <w:szCs w:val="20"/>
          <w:lang w:eastAsia="zh-HK"/>
        </w:rPr>
        <w:t xml:space="preserve"> </w:t>
      </w:r>
      <w:r w:rsidR="009E3B3C">
        <w:rPr>
          <w:rFonts w:ascii="Times New Roman" w:eastAsiaTheme="minorEastAsia" w:hAnsi="Times New Roman"/>
          <w:sz w:val="20"/>
          <w:szCs w:val="20"/>
          <w:lang w:eastAsia="zh-HK"/>
        </w:rPr>
        <w:t>motivates</w:t>
      </w:r>
      <w:r w:rsidR="009B5D42">
        <w:rPr>
          <w:rFonts w:ascii="Times New Roman" w:eastAsiaTheme="minorEastAsia" w:hAnsi="Times New Roman"/>
          <w:sz w:val="20"/>
          <w:szCs w:val="20"/>
          <w:lang w:eastAsia="zh-HK"/>
        </w:rPr>
        <w:t xml:space="preserve"> large </w:t>
      </w:r>
      <w:r w:rsidR="0052556D">
        <w:rPr>
          <w:rFonts w:ascii="Times New Roman" w:eastAsiaTheme="minorEastAsia" w:hAnsi="Times New Roman"/>
          <w:sz w:val="20"/>
          <w:szCs w:val="20"/>
          <w:lang w:eastAsia="zh-HK"/>
        </w:rPr>
        <w:t>insurers</w:t>
      </w:r>
      <w:r w:rsidR="009B5D42">
        <w:rPr>
          <w:rFonts w:ascii="Times New Roman" w:eastAsiaTheme="minorEastAsia" w:hAnsi="Times New Roman"/>
          <w:sz w:val="20"/>
          <w:szCs w:val="20"/>
          <w:lang w:eastAsia="zh-HK"/>
        </w:rPr>
        <w:t xml:space="preserve"> to</w:t>
      </w:r>
      <w:r w:rsidR="006B33BF">
        <w:rPr>
          <w:rFonts w:ascii="Times New Roman" w:eastAsiaTheme="minorEastAsia" w:hAnsi="Times New Roman"/>
          <w:sz w:val="20"/>
          <w:szCs w:val="20"/>
          <w:lang w:eastAsia="zh-HK"/>
        </w:rPr>
        <w:t xml:space="preserve"> change their risk-taking behaviors</w:t>
      </w:r>
      <w:r w:rsidR="009B5D42">
        <w:rPr>
          <w:rFonts w:ascii="Times New Roman" w:eastAsiaTheme="minorEastAsia" w:hAnsi="Times New Roman"/>
          <w:sz w:val="20"/>
          <w:szCs w:val="20"/>
          <w:lang w:eastAsia="zh-HK"/>
        </w:rPr>
        <w:t>.</w:t>
      </w:r>
      <w:r w:rsidR="002F59E5">
        <w:rPr>
          <w:rFonts w:ascii="Times New Roman" w:eastAsiaTheme="minorEastAsia" w:hAnsi="Times New Roman"/>
          <w:sz w:val="20"/>
          <w:szCs w:val="20"/>
          <w:lang w:eastAsia="zh-HK"/>
        </w:rPr>
        <w:t xml:space="preserve"> </w:t>
      </w:r>
      <w:r w:rsidR="00544D5D">
        <w:rPr>
          <w:rFonts w:ascii="Times New Roman" w:eastAsiaTheme="minorEastAsia" w:hAnsi="Times New Roman"/>
          <w:sz w:val="20"/>
          <w:szCs w:val="20"/>
          <w:lang w:eastAsia="zh-HK"/>
        </w:rPr>
        <w:t>Sixth</w:t>
      </w:r>
      <w:r w:rsidR="002F59E5">
        <w:rPr>
          <w:rFonts w:ascii="Times New Roman" w:eastAsiaTheme="minorEastAsia" w:hAnsi="Times New Roman"/>
          <w:sz w:val="20"/>
          <w:szCs w:val="20"/>
          <w:lang w:eastAsia="zh-HK"/>
        </w:rPr>
        <w:t xml:space="preserve">, </w:t>
      </w:r>
      <w:r w:rsidR="00A26A8A">
        <w:rPr>
          <w:rFonts w:ascii="Times New Roman" w:eastAsiaTheme="minorEastAsia" w:hAnsi="Times New Roman"/>
          <w:sz w:val="20"/>
          <w:szCs w:val="20"/>
          <w:lang w:eastAsia="zh-HK"/>
        </w:rPr>
        <w:t>we address the missing data problem of the quarterly accounting data using the Little’s (1988) MCAR test and the multiple imputation method to impute the missing values. The regression results are similar before and after the multiple imputation, implying that although the data are not missing completely at random, the missing data problem does not bias our empirical findings.</w:t>
      </w:r>
      <w:r w:rsidR="00544D5D">
        <w:rPr>
          <w:rFonts w:ascii="Times New Roman" w:eastAsiaTheme="minorEastAsia" w:hAnsi="Times New Roman"/>
          <w:sz w:val="20"/>
          <w:szCs w:val="20"/>
          <w:lang w:eastAsia="zh-HK"/>
        </w:rPr>
        <w:t xml:space="preserve"> Finally, we construct the systemic importance score based on insurers’ accounting data and find that G-SIIs change their characteristics after the new regulation to decrease their systemic importance.</w:t>
      </w:r>
    </w:p>
    <w:p w14:paraId="0A8265E5" w14:textId="66474CD9" w:rsidR="00D31A61" w:rsidRDefault="00D31A61" w:rsidP="00796802">
      <w:pPr>
        <w:spacing w:after="0" w:line="260" w:lineRule="exact"/>
        <w:jc w:val="both"/>
        <w:rPr>
          <w:rFonts w:ascii="Times New Roman" w:eastAsiaTheme="minorEastAsia" w:hAnsi="Times New Roman"/>
          <w:sz w:val="20"/>
          <w:szCs w:val="20"/>
          <w:lang w:eastAsia="zh-HK"/>
        </w:rPr>
      </w:pPr>
    </w:p>
    <w:p w14:paraId="585C1635" w14:textId="5A28C5E6" w:rsidR="0033102D" w:rsidRDefault="0033102D" w:rsidP="00796802">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We compliment the literature on systemic risk and insurance regulation</w:t>
      </w:r>
      <w:r w:rsidR="00005F11">
        <w:rPr>
          <w:rFonts w:ascii="Times New Roman" w:eastAsiaTheme="minorEastAsia" w:hAnsi="Times New Roman"/>
          <w:sz w:val="20"/>
          <w:szCs w:val="20"/>
          <w:lang w:eastAsia="zh-HK"/>
        </w:rPr>
        <w:t xml:space="preserve"> by performing empirical analysis on a panel of international insurers. </w:t>
      </w:r>
      <w:r w:rsidR="00913BC9">
        <w:rPr>
          <w:rFonts w:ascii="Times New Roman" w:eastAsiaTheme="minorEastAsia" w:hAnsi="Times New Roman"/>
          <w:sz w:val="20"/>
          <w:szCs w:val="20"/>
          <w:lang w:eastAsia="zh-HK"/>
        </w:rPr>
        <w:t>To the best of our knowledge, we are the first to provide empirical evidence supporting the effectiveness of the</w:t>
      </w:r>
      <w:r w:rsidR="006B47A0">
        <w:rPr>
          <w:rFonts w:ascii="Times New Roman" w:eastAsiaTheme="minorEastAsia" w:hAnsi="Times New Roman"/>
          <w:sz w:val="20"/>
          <w:szCs w:val="20"/>
          <w:lang w:eastAsia="zh-HK"/>
        </w:rPr>
        <w:t xml:space="preserve"> G-20’s and the</w:t>
      </w:r>
      <w:r w:rsidR="00913BC9">
        <w:rPr>
          <w:rFonts w:ascii="Times New Roman" w:eastAsiaTheme="minorEastAsia" w:hAnsi="Times New Roman"/>
          <w:sz w:val="20"/>
          <w:szCs w:val="20"/>
          <w:lang w:eastAsia="zh-HK"/>
        </w:rPr>
        <w:t xml:space="preserve"> IAIS’s new supervisory measures on G-SIIs. </w:t>
      </w:r>
      <w:r w:rsidR="00F267B2">
        <w:rPr>
          <w:rFonts w:ascii="Times New Roman" w:eastAsiaTheme="minorEastAsia" w:hAnsi="Times New Roman"/>
          <w:sz w:val="20"/>
          <w:szCs w:val="20"/>
          <w:lang w:eastAsia="zh-HK"/>
        </w:rPr>
        <w:t>To be specific,</w:t>
      </w:r>
      <w:r w:rsidR="00325E82">
        <w:rPr>
          <w:rFonts w:ascii="Times New Roman" w:eastAsiaTheme="minorEastAsia" w:hAnsi="Times New Roman"/>
          <w:sz w:val="20"/>
          <w:szCs w:val="20"/>
          <w:lang w:eastAsia="zh-HK"/>
        </w:rPr>
        <w:t xml:space="preserve"> we show that the systemic risk</w:t>
      </w:r>
      <w:r w:rsidR="00F267B2">
        <w:rPr>
          <w:rFonts w:ascii="Times New Roman" w:eastAsiaTheme="minorEastAsia" w:hAnsi="Times New Roman"/>
          <w:sz w:val="20"/>
          <w:szCs w:val="20"/>
          <w:lang w:eastAsia="zh-HK"/>
        </w:rPr>
        <w:t xml:space="preserve"> of G-SIIs decrease</w:t>
      </w:r>
      <w:r w:rsidR="00325E82">
        <w:rPr>
          <w:rFonts w:ascii="Times New Roman" w:eastAsiaTheme="minorEastAsia" w:hAnsi="Times New Roman"/>
          <w:sz w:val="20"/>
          <w:szCs w:val="20"/>
          <w:lang w:eastAsia="zh-HK"/>
        </w:rPr>
        <w:t>s</w:t>
      </w:r>
      <w:r w:rsidR="00F267B2">
        <w:rPr>
          <w:rFonts w:ascii="Times New Roman" w:eastAsiaTheme="minorEastAsia" w:hAnsi="Times New Roman"/>
          <w:sz w:val="20"/>
          <w:szCs w:val="20"/>
          <w:lang w:eastAsia="zh-HK"/>
        </w:rPr>
        <w:t xml:space="preserve"> significantly after the </w:t>
      </w:r>
      <w:r w:rsidR="00951C21">
        <w:rPr>
          <w:rFonts w:ascii="Times New Roman" w:eastAsiaTheme="minorEastAsia" w:hAnsi="Times New Roman"/>
          <w:sz w:val="20"/>
          <w:szCs w:val="20"/>
          <w:lang w:eastAsia="zh-HK"/>
        </w:rPr>
        <w:t xml:space="preserve">regulators focus </w:t>
      </w:r>
      <w:r w:rsidR="00495588">
        <w:rPr>
          <w:rFonts w:ascii="Times New Roman" w:eastAsiaTheme="minorEastAsia" w:hAnsi="Times New Roman"/>
          <w:sz w:val="20"/>
          <w:szCs w:val="20"/>
          <w:lang w:eastAsia="zh-HK"/>
        </w:rPr>
        <w:t>on the supervision of G-SIIs</w:t>
      </w:r>
      <w:r w:rsidR="00F267B2">
        <w:rPr>
          <w:rFonts w:ascii="Times New Roman" w:eastAsiaTheme="minorEastAsia" w:hAnsi="Times New Roman"/>
          <w:sz w:val="20"/>
          <w:szCs w:val="20"/>
          <w:lang w:eastAsia="zh-HK"/>
        </w:rPr>
        <w:t xml:space="preserve">. </w:t>
      </w:r>
      <w:r w:rsidR="00FE23E6">
        <w:rPr>
          <w:rFonts w:ascii="Times New Roman" w:eastAsiaTheme="minorEastAsia" w:hAnsi="Times New Roman"/>
          <w:sz w:val="20"/>
          <w:szCs w:val="20"/>
          <w:lang w:eastAsia="zh-HK"/>
        </w:rPr>
        <w:t>Th</w:t>
      </w:r>
      <w:r w:rsidR="00EC2F86">
        <w:rPr>
          <w:rFonts w:ascii="Times New Roman" w:eastAsiaTheme="minorEastAsia" w:hAnsi="Times New Roman"/>
          <w:sz w:val="20"/>
          <w:szCs w:val="20"/>
          <w:lang w:eastAsia="zh-HK"/>
        </w:rPr>
        <w:t>is</w:t>
      </w:r>
      <w:r w:rsidR="00FE23E6">
        <w:rPr>
          <w:rFonts w:ascii="Times New Roman" w:eastAsiaTheme="minorEastAsia" w:hAnsi="Times New Roman"/>
          <w:sz w:val="20"/>
          <w:szCs w:val="20"/>
          <w:lang w:eastAsia="zh-HK"/>
        </w:rPr>
        <w:t xml:space="preserve"> finding is important to both the regulators and industry practitioners around </w:t>
      </w:r>
      <w:r w:rsidR="0052556D">
        <w:rPr>
          <w:rFonts w:ascii="Times New Roman" w:eastAsiaTheme="minorEastAsia" w:hAnsi="Times New Roman"/>
          <w:sz w:val="20"/>
          <w:szCs w:val="20"/>
          <w:lang w:eastAsia="zh-HK"/>
        </w:rPr>
        <w:t>the globe in the sense that the</w:t>
      </w:r>
      <w:r w:rsidR="00FE23E6">
        <w:rPr>
          <w:rFonts w:ascii="Times New Roman" w:eastAsiaTheme="minorEastAsia" w:hAnsi="Times New Roman"/>
          <w:sz w:val="20"/>
          <w:szCs w:val="20"/>
          <w:lang w:eastAsia="zh-HK"/>
        </w:rPr>
        <w:t xml:space="preserve"> new regulation is</w:t>
      </w:r>
      <w:r w:rsidR="00EC2F86">
        <w:rPr>
          <w:rFonts w:ascii="Times New Roman" w:eastAsiaTheme="minorEastAsia" w:hAnsi="Times New Roman"/>
          <w:sz w:val="20"/>
          <w:szCs w:val="20"/>
          <w:lang w:eastAsia="zh-HK"/>
        </w:rPr>
        <w:t xml:space="preserve"> heading to the right direction and has achieved the intended objective.</w:t>
      </w:r>
    </w:p>
    <w:p w14:paraId="4B928B61" w14:textId="77777777" w:rsidR="0033102D" w:rsidRDefault="0033102D" w:rsidP="00796802">
      <w:pPr>
        <w:spacing w:after="0" w:line="260" w:lineRule="exact"/>
        <w:jc w:val="both"/>
        <w:rPr>
          <w:rFonts w:ascii="Times New Roman" w:eastAsiaTheme="minorEastAsia" w:hAnsi="Times New Roman"/>
          <w:sz w:val="20"/>
          <w:szCs w:val="20"/>
          <w:lang w:eastAsia="zh-HK"/>
        </w:rPr>
      </w:pPr>
    </w:p>
    <w:p w14:paraId="1E0F4F7B" w14:textId="72904FA7" w:rsidR="00D31A61" w:rsidRPr="00B86E32" w:rsidRDefault="00D31A61" w:rsidP="00D31A61">
      <w:pPr>
        <w:spacing w:after="0" w:line="260" w:lineRule="exact"/>
        <w:jc w:val="both"/>
        <w:rPr>
          <w:rFonts w:ascii="Times New Roman" w:eastAsiaTheme="minorEastAsia" w:hAnsi="Times New Roman"/>
          <w:sz w:val="20"/>
          <w:szCs w:val="20"/>
          <w:lang w:eastAsia="zh-HK"/>
        </w:rPr>
      </w:pPr>
      <w:r w:rsidRPr="00B86E32">
        <w:rPr>
          <w:rFonts w:ascii="Times New Roman" w:eastAsiaTheme="minorEastAsia" w:hAnsi="Times New Roman"/>
          <w:sz w:val="20"/>
          <w:szCs w:val="20"/>
          <w:lang w:eastAsia="zh-HK"/>
        </w:rPr>
        <w:t>We organize the remainder of this paper as follows.</w:t>
      </w:r>
      <w:r>
        <w:rPr>
          <w:rFonts w:ascii="Times New Roman" w:eastAsiaTheme="minorEastAsia" w:hAnsi="Times New Roman"/>
          <w:sz w:val="20"/>
          <w:szCs w:val="20"/>
          <w:lang w:eastAsia="zh-HK"/>
        </w:rPr>
        <w:t xml:space="preserve"> </w:t>
      </w:r>
      <w:r w:rsidRPr="00B86E32">
        <w:rPr>
          <w:rFonts w:ascii="Times New Roman" w:eastAsiaTheme="minorEastAsia" w:hAnsi="Times New Roman"/>
          <w:sz w:val="20"/>
          <w:szCs w:val="20"/>
          <w:lang w:eastAsia="zh-HK"/>
        </w:rPr>
        <w:t xml:space="preserve">Section </w:t>
      </w:r>
      <w:r>
        <w:rPr>
          <w:rFonts w:ascii="Times New Roman" w:eastAsiaTheme="minorEastAsia" w:hAnsi="Times New Roman"/>
          <w:sz w:val="20"/>
          <w:szCs w:val="20"/>
          <w:lang w:eastAsia="zh-HK"/>
        </w:rPr>
        <w:t>2</w:t>
      </w:r>
      <w:r w:rsidRPr="00B86E32">
        <w:rPr>
          <w:rFonts w:ascii="Times New Roman" w:eastAsiaTheme="minorEastAsia" w:hAnsi="Times New Roman"/>
          <w:sz w:val="20"/>
          <w:szCs w:val="20"/>
          <w:lang w:eastAsia="zh-HK"/>
        </w:rPr>
        <w:t xml:space="preserve"> presents the data and discusses the measure</w:t>
      </w:r>
      <w:r>
        <w:rPr>
          <w:rFonts w:ascii="Times New Roman" w:eastAsiaTheme="minorEastAsia" w:hAnsi="Times New Roman"/>
          <w:sz w:val="20"/>
          <w:szCs w:val="20"/>
          <w:lang w:eastAsia="zh-HK"/>
        </w:rPr>
        <w:t>s</w:t>
      </w:r>
      <w:r w:rsidRPr="00B86E32">
        <w:rPr>
          <w:rFonts w:ascii="Times New Roman" w:eastAsiaTheme="minorEastAsia" w:hAnsi="Times New Roman"/>
          <w:sz w:val="20"/>
          <w:szCs w:val="20"/>
          <w:lang w:eastAsia="zh-HK"/>
        </w:rPr>
        <w:t xml:space="preserve"> </w:t>
      </w:r>
      <w:r w:rsidR="00325E82">
        <w:rPr>
          <w:rFonts w:ascii="Times New Roman" w:eastAsiaTheme="minorEastAsia" w:hAnsi="Times New Roman"/>
          <w:sz w:val="20"/>
          <w:szCs w:val="20"/>
          <w:lang w:eastAsia="zh-HK"/>
        </w:rPr>
        <w:t>of systemic risk</w:t>
      </w:r>
      <w:r w:rsidRPr="00B86E32">
        <w:rPr>
          <w:rFonts w:ascii="Times New Roman" w:eastAsiaTheme="minorEastAsia" w:hAnsi="Times New Roman"/>
          <w:sz w:val="20"/>
          <w:szCs w:val="20"/>
          <w:lang w:eastAsia="zh-HK"/>
        </w:rPr>
        <w:t xml:space="preserve">. We present the empirical model </w:t>
      </w:r>
      <w:r>
        <w:rPr>
          <w:rFonts w:ascii="Times New Roman" w:eastAsiaTheme="minorEastAsia" w:hAnsi="Times New Roman"/>
          <w:sz w:val="20"/>
          <w:szCs w:val="20"/>
          <w:lang w:eastAsia="zh-HK"/>
        </w:rPr>
        <w:t xml:space="preserve">and discuss the empirical results </w:t>
      </w:r>
      <w:r w:rsidRPr="00B86E32">
        <w:rPr>
          <w:rFonts w:ascii="Times New Roman" w:eastAsiaTheme="minorEastAsia" w:hAnsi="Times New Roman"/>
          <w:sz w:val="20"/>
          <w:szCs w:val="20"/>
          <w:lang w:eastAsia="zh-HK"/>
        </w:rPr>
        <w:t xml:space="preserve">in Section </w:t>
      </w:r>
      <w:r>
        <w:rPr>
          <w:rFonts w:ascii="Times New Roman" w:eastAsiaTheme="minorEastAsia" w:hAnsi="Times New Roman"/>
          <w:sz w:val="20"/>
          <w:szCs w:val="20"/>
          <w:lang w:eastAsia="zh-HK"/>
        </w:rPr>
        <w:t>3</w:t>
      </w:r>
      <w:r w:rsidRPr="00B86E32">
        <w:rPr>
          <w:rFonts w:ascii="Times New Roman" w:eastAsiaTheme="minorEastAsia" w:hAnsi="Times New Roman"/>
          <w:sz w:val="20"/>
          <w:szCs w:val="20"/>
          <w:lang w:eastAsia="zh-HK"/>
        </w:rPr>
        <w:t xml:space="preserve">. Section </w:t>
      </w:r>
      <w:r>
        <w:rPr>
          <w:rFonts w:ascii="Times New Roman" w:eastAsiaTheme="minorEastAsia" w:hAnsi="Times New Roman"/>
          <w:sz w:val="20"/>
          <w:szCs w:val="20"/>
          <w:lang w:eastAsia="zh-HK"/>
        </w:rPr>
        <w:t xml:space="preserve">4 </w:t>
      </w:r>
      <w:r w:rsidR="00411D7A">
        <w:rPr>
          <w:rFonts w:ascii="Times New Roman" w:eastAsiaTheme="minorEastAsia" w:hAnsi="Times New Roman"/>
          <w:sz w:val="20"/>
          <w:szCs w:val="20"/>
          <w:lang w:eastAsia="zh-HK"/>
        </w:rPr>
        <w:t>conducts</w:t>
      </w:r>
      <w:r>
        <w:rPr>
          <w:rFonts w:ascii="Times New Roman" w:eastAsiaTheme="minorEastAsia" w:hAnsi="Times New Roman"/>
          <w:sz w:val="20"/>
          <w:szCs w:val="20"/>
          <w:lang w:eastAsia="zh-HK"/>
        </w:rPr>
        <w:t xml:space="preserve"> additional analysis to the baseline regression model</w:t>
      </w:r>
      <w:r w:rsidRPr="00B86E32">
        <w:rPr>
          <w:rFonts w:ascii="Times New Roman" w:eastAsiaTheme="minorEastAsia" w:hAnsi="Times New Roman"/>
          <w:sz w:val="20"/>
          <w:szCs w:val="20"/>
          <w:lang w:eastAsia="zh-HK"/>
        </w:rPr>
        <w:t xml:space="preserve">. </w:t>
      </w:r>
      <w:r w:rsidR="00FD5990">
        <w:rPr>
          <w:rFonts w:ascii="Times New Roman" w:eastAsiaTheme="minorEastAsia" w:hAnsi="Times New Roman"/>
          <w:sz w:val="20"/>
          <w:szCs w:val="20"/>
          <w:lang w:eastAsia="zh-HK"/>
        </w:rPr>
        <w:t>Section 5 states the concluding remarks</w:t>
      </w:r>
      <w:r w:rsidRPr="00B86E32">
        <w:rPr>
          <w:rFonts w:ascii="Times New Roman" w:eastAsiaTheme="minorEastAsia" w:hAnsi="Times New Roman"/>
          <w:sz w:val="20"/>
          <w:szCs w:val="20"/>
          <w:lang w:eastAsia="zh-HK"/>
        </w:rPr>
        <w:t>.</w:t>
      </w:r>
    </w:p>
    <w:p w14:paraId="736B90F8" w14:textId="26CE803D" w:rsidR="00B5413B" w:rsidRPr="00B86E32" w:rsidRDefault="00B5413B" w:rsidP="002B67E6">
      <w:pPr>
        <w:spacing w:after="0" w:line="480" w:lineRule="auto"/>
        <w:rPr>
          <w:rFonts w:ascii="Times New Roman" w:eastAsiaTheme="minorEastAsia" w:hAnsi="Times New Roman"/>
          <w:sz w:val="20"/>
          <w:szCs w:val="20"/>
          <w:lang w:eastAsia="zh-HK"/>
        </w:rPr>
      </w:pPr>
    </w:p>
    <w:p w14:paraId="44B7B464" w14:textId="77777777" w:rsidR="00351A09" w:rsidRPr="00B86E32" w:rsidRDefault="00351A09" w:rsidP="007E0778">
      <w:pPr>
        <w:pStyle w:val="ListParagraph"/>
        <w:numPr>
          <w:ilvl w:val="0"/>
          <w:numId w:val="1"/>
        </w:numPr>
        <w:spacing w:after="0" w:line="240" w:lineRule="auto"/>
        <w:ind w:leftChars="0" w:left="0" w:firstLine="0"/>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Data</w:t>
      </w:r>
    </w:p>
    <w:p w14:paraId="56903299" w14:textId="56D37276" w:rsidR="00166635" w:rsidRPr="00B86E32" w:rsidRDefault="00E41966"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In this section, we discuss the construction of our sample and the methodolog</w:t>
      </w:r>
      <w:r w:rsidR="00880A40">
        <w:rPr>
          <w:rFonts w:ascii="Times New Roman" w:eastAsiaTheme="minorEastAsia" w:hAnsi="Times New Roman"/>
          <w:sz w:val="20"/>
          <w:szCs w:val="20"/>
          <w:lang w:eastAsia="zh-HK"/>
        </w:rPr>
        <w:t>ies for measuring systemic risk</w:t>
      </w:r>
      <w:r>
        <w:rPr>
          <w:rFonts w:ascii="Times New Roman" w:eastAsiaTheme="minorEastAsia" w:hAnsi="Times New Roman"/>
          <w:sz w:val="20"/>
          <w:szCs w:val="20"/>
          <w:lang w:eastAsia="zh-HK"/>
        </w:rPr>
        <w:t xml:space="preserve">. We also explain our choice of independent variables and present the descriptive statistics as well as the </w:t>
      </w:r>
      <w:r w:rsidR="006F5612">
        <w:rPr>
          <w:rFonts w:ascii="Times New Roman" w:eastAsiaTheme="minorEastAsia" w:hAnsi="Times New Roman"/>
          <w:sz w:val="20"/>
          <w:szCs w:val="20"/>
          <w:lang w:eastAsia="zh-HK"/>
        </w:rPr>
        <w:t xml:space="preserve">results of </w:t>
      </w:r>
      <w:r>
        <w:rPr>
          <w:rFonts w:ascii="Times New Roman" w:eastAsiaTheme="minorEastAsia" w:hAnsi="Times New Roman"/>
          <w:sz w:val="20"/>
          <w:szCs w:val="20"/>
          <w:lang w:eastAsia="zh-HK"/>
        </w:rPr>
        <w:t>univariate analysis.</w:t>
      </w:r>
    </w:p>
    <w:p w14:paraId="74F2025A" w14:textId="77777777" w:rsidR="005B3183" w:rsidRPr="00B86E32" w:rsidRDefault="005B3183" w:rsidP="00BA3FFD">
      <w:pPr>
        <w:spacing w:after="0" w:line="260" w:lineRule="exact"/>
        <w:jc w:val="both"/>
        <w:rPr>
          <w:rFonts w:ascii="Times New Roman" w:eastAsiaTheme="minorEastAsia" w:hAnsi="Times New Roman"/>
          <w:sz w:val="20"/>
          <w:szCs w:val="20"/>
          <w:lang w:eastAsia="zh-HK"/>
        </w:rPr>
      </w:pPr>
    </w:p>
    <w:p w14:paraId="035130AF" w14:textId="3396A18E" w:rsidR="00D91A00" w:rsidRPr="00B86E32" w:rsidRDefault="00B420E1" w:rsidP="007E0778">
      <w:pPr>
        <w:pStyle w:val="ListParagraph"/>
        <w:numPr>
          <w:ilvl w:val="1"/>
          <w:numId w:val="1"/>
        </w:numPr>
        <w:spacing w:after="0" w:line="240" w:lineRule="auto"/>
        <w:ind w:leftChars="0" w:left="0" w:firstLine="0"/>
        <w:jc w:val="both"/>
        <w:rPr>
          <w:rFonts w:ascii="Times New Roman" w:eastAsiaTheme="minorEastAsia" w:hAnsi="Times New Roman"/>
          <w:b/>
          <w:i/>
          <w:sz w:val="20"/>
          <w:szCs w:val="20"/>
          <w:lang w:eastAsia="zh-HK"/>
        </w:rPr>
      </w:pPr>
      <w:r>
        <w:rPr>
          <w:rFonts w:ascii="Times New Roman" w:eastAsiaTheme="minorEastAsia" w:hAnsi="Times New Roman"/>
          <w:b/>
          <w:i/>
          <w:sz w:val="20"/>
          <w:szCs w:val="20"/>
          <w:lang w:eastAsia="zh-HK"/>
        </w:rPr>
        <w:t>Sample construction</w:t>
      </w:r>
    </w:p>
    <w:p w14:paraId="2DFEA942" w14:textId="21943F5E" w:rsidR="00B420E1" w:rsidRDefault="00B420E1" w:rsidP="009427A7">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 xml:space="preserve">We construct the panel dataset from the </w:t>
      </w:r>
      <w:r w:rsidRPr="006034DD">
        <w:rPr>
          <w:rFonts w:ascii="Times New Roman" w:eastAsiaTheme="minorEastAsia" w:hAnsi="Times New Roman" w:hint="eastAsia"/>
          <w:i/>
          <w:sz w:val="20"/>
          <w:szCs w:val="20"/>
          <w:lang w:eastAsia="zh-HK"/>
        </w:rPr>
        <w:t xml:space="preserve">Thomson Reuters Financial </w:t>
      </w:r>
      <w:proofErr w:type="spellStart"/>
      <w:r w:rsidRPr="006034DD">
        <w:rPr>
          <w:rFonts w:ascii="Times New Roman" w:eastAsiaTheme="minorEastAsia" w:hAnsi="Times New Roman" w:hint="eastAsia"/>
          <w:i/>
          <w:sz w:val="20"/>
          <w:szCs w:val="20"/>
          <w:lang w:eastAsia="zh-HK"/>
        </w:rPr>
        <w:t>Datastream</w:t>
      </w:r>
      <w:proofErr w:type="spellEnd"/>
      <w:r>
        <w:rPr>
          <w:rFonts w:ascii="Times New Roman" w:eastAsiaTheme="minorEastAsia" w:hAnsi="Times New Roman"/>
          <w:sz w:val="20"/>
          <w:szCs w:val="20"/>
          <w:lang w:eastAsia="zh-HK"/>
        </w:rPr>
        <w:t xml:space="preserve"> </w:t>
      </w:r>
      <w:r w:rsidR="00852285">
        <w:rPr>
          <w:rFonts w:ascii="Times New Roman" w:eastAsiaTheme="minorEastAsia" w:hAnsi="Times New Roman"/>
          <w:sz w:val="20"/>
          <w:szCs w:val="20"/>
          <w:lang w:eastAsia="zh-HK"/>
        </w:rPr>
        <w:t>for the period</w:t>
      </w:r>
      <w:r>
        <w:rPr>
          <w:rFonts w:ascii="Times New Roman" w:eastAsiaTheme="minorEastAsia" w:hAnsi="Times New Roman"/>
          <w:sz w:val="20"/>
          <w:szCs w:val="20"/>
          <w:lang w:eastAsia="zh-HK"/>
        </w:rPr>
        <w:t xml:space="preserve"> 2007 to 2015</w:t>
      </w:r>
      <w:r>
        <w:rPr>
          <w:rFonts w:ascii="Times New Roman" w:eastAsiaTheme="minorEastAsia" w:hAnsi="Times New Roman" w:hint="eastAsia"/>
          <w:sz w:val="20"/>
          <w:szCs w:val="20"/>
          <w:lang w:eastAsia="zh-HK"/>
        </w:rPr>
        <w:t>.</w:t>
      </w:r>
      <w:r w:rsidR="006034DD">
        <w:rPr>
          <w:rFonts w:ascii="Times New Roman" w:eastAsiaTheme="minorEastAsia" w:hAnsi="Times New Roman"/>
          <w:sz w:val="20"/>
          <w:szCs w:val="20"/>
          <w:lang w:eastAsia="zh-HK"/>
        </w:rPr>
        <w:t xml:space="preserve"> We first select all the insurers that are constituents of the </w:t>
      </w:r>
      <w:r w:rsidR="006034DD" w:rsidRPr="006034DD">
        <w:rPr>
          <w:rFonts w:ascii="Times New Roman" w:eastAsiaTheme="minorEastAsia" w:hAnsi="Times New Roman"/>
          <w:sz w:val="20"/>
          <w:szCs w:val="20"/>
          <w:lang w:eastAsia="zh-HK"/>
        </w:rPr>
        <w:t xml:space="preserve">World </w:t>
      </w:r>
      <w:proofErr w:type="spellStart"/>
      <w:r w:rsidR="006034DD" w:rsidRPr="006034DD">
        <w:rPr>
          <w:rFonts w:ascii="Times New Roman" w:eastAsiaTheme="minorEastAsia" w:hAnsi="Times New Roman"/>
          <w:sz w:val="20"/>
          <w:szCs w:val="20"/>
          <w:lang w:eastAsia="zh-HK"/>
        </w:rPr>
        <w:t>Datastream</w:t>
      </w:r>
      <w:proofErr w:type="spellEnd"/>
      <w:r w:rsidR="006034DD" w:rsidRPr="006034DD">
        <w:rPr>
          <w:rFonts w:ascii="Times New Roman" w:eastAsiaTheme="minorEastAsia" w:hAnsi="Times New Roman"/>
          <w:sz w:val="20"/>
          <w:szCs w:val="20"/>
          <w:lang w:eastAsia="zh-HK"/>
        </w:rPr>
        <w:t xml:space="preserve"> Insurance Index</w:t>
      </w:r>
      <w:r w:rsidR="006034DD">
        <w:rPr>
          <w:rFonts w:ascii="Times New Roman" w:eastAsiaTheme="minorEastAsia" w:hAnsi="Times New Roman"/>
          <w:sz w:val="20"/>
          <w:szCs w:val="20"/>
          <w:lang w:eastAsia="zh-HK"/>
        </w:rPr>
        <w:t xml:space="preserve">. </w:t>
      </w:r>
      <w:r w:rsidR="008B4219">
        <w:rPr>
          <w:rFonts w:ascii="Times New Roman" w:eastAsiaTheme="minorEastAsia" w:hAnsi="Times New Roman"/>
          <w:sz w:val="20"/>
          <w:szCs w:val="20"/>
          <w:lang w:eastAsia="zh-HK"/>
        </w:rPr>
        <w:t>Next,</w:t>
      </w:r>
      <w:r w:rsidR="006034DD">
        <w:rPr>
          <w:rFonts w:ascii="Times New Roman" w:eastAsiaTheme="minorEastAsia" w:hAnsi="Times New Roman"/>
          <w:sz w:val="20"/>
          <w:szCs w:val="20"/>
          <w:lang w:eastAsia="zh-HK"/>
        </w:rPr>
        <w:t xml:space="preserve"> all insurers </w:t>
      </w:r>
      <w:r w:rsidR="008B4219">
        <w:rPr>
          <w:rFonts w:ascii="Times New Roman" w:eastAsiaTheme="minorEastAsia" w:hAnsi="Times New Roman"/>
          <w:sz w:val="20"/>
          <w:szCs w:val="20"/>
          <w:lang w:eastAsia="zh-HK"/>
        </w:rPr>
        <w:t>with</w:t>
      </w:r>
      <w:r w:rsidR="006034DD">
        <w:rPr>
          <w:rFonts w:ascii="Times New Roman" w:eastAsiaTheme="minorEastAsia" w:hAnsi="Times New Roman"/>
          <w:sz w:val="20"/>
          <w:szCs w:val="20"/>
          <w:lang w:eastAsia="zh-HK"/>
        </w:rPr>
        <w:t xml:space="preserve"> quarterly accounting </w:t>
      </w:r>
      <w:r w:rsidR="00B667BA">
        <w:rPr>
          <w:rFonts w:ascii="Times New Roman" w:eastAsiaTheme="minorEastAsia" w:hAnsi="Times New Roman"/>
          <w:sz w:val="20"/>
          <w:szCs w:val="20"/>
          <w:lang w:eastAsia="zh-HK"/>
        </w:rPr>
        <w:t>data</w:t>
      </w:r>
      <w:r w:rsidR="006034DD">
        <w:rPr>
          <w:rFonts w:ascii="Times New Roman" w:eastAsiaTheme="minorEastAsia" w:hAnsi="Times New Roman"/>
          <w:sz w:val="20"/>
          <w:szCs w:val="20"/>
          <w:lang w:eastAsia="zh-HK"/>
        </w:rPr>
        <w:t xml:space="preserve"> or daily stock prices unavailable in </w:t>
      </w:r>
      <w:proofErr w:type="spellStart"/>
      <w:r w:rsidR="006034DD" w:rsidRPr="006034DD">
        <w:rPr>
          <w:rFonts w:ascii="Times New Roman" w:eastAsiaTheme="minorEastAsia" w:hAnsi="Times New Roman"/>
          <w:i/>
          <w:sz w:val="20"/>
          <w:szCs w:val="20"/>
          <w:lang w:eastAsia="zh-HK"/>
        </w:rPr>
        <w:t>Datastream</w:t>
      </w:r>
      <w:proofErr w:type="spellEnd"/>
      <w:r w:rsidR="008B4219">
        <w:rPr>
          <w:rFonts w:ascii="Times New Roman" w:eastAsiaTheme="minorEastAsia" w:hAnsi="Times New Roman"/>
          <w:sz w:val="20"/>
          <w:szCs w:val="20"/>
          <w:lang w:eastAsia="zh-HK"/>
        </w:rPr>
        <w:t xml:space="preserve"> are omitted. We are then left with 174 insurers </w:t>
      </w:r>
      <w:r w:rsidR="008B4219">
        <w:rPr>
          <w:rFonts w:ascii="Times New Roman" w:eastAsiaTheme="minorEastAsia" w:hAnsi="Times New Roman"/>
          <w:sz w:val="20"/>
          <w:szCs w:val="20"/>
          <w:lang w:eastAsia="zh-HK"/>
        </w:rPr>
        <w:lastRenderedPageBreak/>
        <w:t xml:space="preserve">from </w:t>
      </w:r>
      <w:r w:rsidR="00627EEE">
        <w:rPr>
          <w:rFonts w:ascii="Times New Roman" w:eastAsiaTheme="minorEastAsia" w:hAnsi="Times New Roman"/>
          <w:sz w:val="20"/>
          <w:szCs w:val="20"/>
          <w:lang w:eastAsia="zh-HK"/>
        </w:rPr>
        <w:t>33</w:t>
      </w:r>
      <w:r w:rsidR="008B4219">
        <w:rPr>
          <w:rFonts w:ascii="Times New Roman" w:eastAsiaTheme="minorEastAsia" w:hAnsi="Times New Roman"/>
          <w:sz w:val="20"/>
          <w:szCs w:val="20"/>
          <w:lang w:eastAsia="zh-HK"/>
        </w:rPr>
        <w:t xml:space="preserve"> countries. </w:t>
      </w:r>
      <w:r w:rsidR="008015BF">
        <w:rPr>
          <w:rFonts w:ascii="Times New Roman" w:eastAsiaTheme="minorEastAsia" w:hAnsi="Times New Roman"/>
          <w:sz w:val="20"/>
          <w:szCs w:val="20"/>
          <w:lang w:eastAsia="zh-HK"/>
        </w:rPr>
        <w:t>Nine of these insurers</w:t>
      </w:r>
      <w:r w:rsidR="00F90A92">
        <w:rPr>
          <w:rStyle w:val="FootnoteReference"/>
          <w:rFonts w:ascii="Times New Roman" w:eastAsiaTheme="minorEastAsia" w:hAnsi="Times New Roman"/>
          <w:sz w:val="20"/>
          <w:szCs w:val="20"/>
          <w:lang w:eastAsia="zh-HK"/>
        </w:rPr>
        <w:footnoteReference w:id="1"/>
      </w:r>
      <w:r w:rsidR="008015BF">
        <w:rPr>
          <w:rFonts w:ascii="Times New Roman" w:eastAsiaTheme="minorEastAsia" w:hAnsi="Times New Roman"/>
          <w:sz w:val="20"/>
          <w:szCs w:val="20"/>
          <w:lang w:eastAsia="zh-HK"/>
        </w:rPr>
        <w:t xml:space="preserve"> were designated as G-SIIs by the Financial Stability Board (FSB) in July 2013 (FSB, 2013). </w:t>
      </w:r>
      <w:r w:rsidR="008B4219">
        <w:rPr>
          <w:rFonts w:ascii="Times New Roman" w:eastAsiaTheme="minorEastAsia" w:hAnsi="Times New Roman"/>
          <w:sz w:val="20"/>
          <w:szCs w:val="20"/>
          <w:lang w:eastAsia="zh-HK"/>
        </w:rPr>
        <w:t>The full list of insurers</w:t>
      </w:r>
      <w:r w:rsidR="00495588">
        <w:rPr>
          <w:rFonts w:ascii="Times New Roman" w:eastAsiaTheme="minorEastAsia" w:hAnsi="Times New Roman"/>
          <w:sz w:val="20"/>
          <w:szCs w:val="20"/>
          <w:lang w:eastAsia="zh-HK"/>
        </w:rPr>
        <w:t xml:space="preserve"> in our sample can be found in T</w:t>
      </w:r>
      <w:r w:rsidR="008B4219">
        <w:rPr>
          <w:rFonts w:ascii="Times New Roman" w:eastAsiaTheme="minorEastAsia" w:hAnsi="Times New Roman"/>
          <w:sz w:val="20"/>
          <w:szCs w:val="20"/>
          <w:lang w:eastAsia="zh-HK"/>
        </w:rPr>
        <w:t>able I.</w:t>
      </w:r>
    </w:p>
    <w:p w14:paraId="7EAC874C" w14:textId="77777777" w:rsidR="008B4219" w:rsidRDefault="008B4219" w:rsidP="009427A7">
      <w:pPr>
        <w:spacing w:after="0" w:line="260" w:lineRule="exact"/>
        <w:jc w:val="both"/>
        <w:rPr>
          <w:rFonts w:ascii="Times New Roman" w:eastAsiaTheme="minorEastAsia" w:hAnsi="Times New Roman"/>
          <w:sz w:val="20"/>
          <w:szCs w:val="20"/>
          <w:lang w:eastAsia="zh-HK"/>
        </w:rPr>
      </w:pPr>
    </w:p>
    <w:p w14:paraId="255E39B8" w14:textId="71A29E5D" w:rsidR="008B4219" w:rsidRPr="00B86E32" w:rsidRDefault="008B4219" w:rsidP="008B4219">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[Table I inserted here]</w:t>
      </w:r>
    </w:p>
    <w:p w14:paraId="34119608" w14:textId="00C88F04" w:rsidR="008B4219" w:rsidRDefault="008B4219" w:rsidP="009427A7">
      <w:pPr>
        <w:spacing w:after="0" w:line="260" w:lineRule="exact"/>
        <w:jc w:val="both"/>
        <w:rPr>
          <w:rFonts w:ascii="Times New Roman" w:eastAsiaTheme="minorEastAsia" w:hAnsi="Times New Roman"/>
          <w:sz w:val="20"/>
          <w:szCs w:val="20"/>
          <w:lang w:eastAsia="zh-HK"/>
        </w:rPr>
      </w:pPr>
    </w:p>
    <w:p w14:paraId="292347F3" w14:textId="615ED6D2" w:rsidR="008B4219" w:rsidRDefault="00B667BA" w:rsidP="009427A7">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Quarterly accounting data and daily stock prices of these 1</w:t>
      </w:r>
      <w:r w:rsidR="00D772D8">
        <w:rPr>
          <w:rFonts w:ascii="Times New Roman" w:eastAsiaTheme="minorEastAsia" w:hAnsi="Times New Roman" w:hint="eastAsia"/>
          <w:sz w:val="20"/>
          <w:szCs w:val="20"/>
          <w:lang w:eastAsia="zh-HK"/>
        </w:rPr>
        <w:t>74 insurers are downloaded from</w:t>
      </w:r>
      <w:r w:rsidRPr="006034DD">
        <w:rPr>
          <w:rFonts w:ascii="Times New Roman" w:eastAsiaTheme="minorEastAsia" w:hAnsi="Times New Roman" w:hint="eastAsia"/>
          <w:i/>
          <w:sz w:val="20"/>
          <w:szCs w:val="20"/>
          <w:lang w:eastAsia="zh-HK"/>
        </w:rPr>
        <w:t xml:space="preserve"> </w:t>
      </w:r>
      <w:proofErr w:type="spellStart"/>
      <w:r w:rsidRPr="006034DD">
        <w:rPr>
          <w:rFonts w:ascii="Times New Roman" w:eastAsiaTheme="minorEastAsia" w:hAnsi="Times New Roman" w:hint="eastAsia"/>
          <w:i/>
          <w:sz w:val="20"/>
          <w:szCs w:val="20"/>
          <w:lang w:eastAsia="zh-HK"/>
        </w:rPr>
        <w:t>Datastream</w:t>
      </w:r>
      <w:proofErr w:type="spellEnd"/>
      <w:r>
        <w:rPr>
          <w:rFonts w:ascii="Times New Roman" w:eastAsiaTheme="minorEastAsia" w:hAnsi="Times New Roman" w:hint="eastAsia"/>
          <w:sz w:val="20"/>
          <w:szCs w:val="20"/>
          <w:lang w:eastAsia="zh-HK"/>
        </w:rPr>
        <w:t xml:space="preserve"> and</w:t>
      </w:r>
      <w:r>
        <w:rPr>
          <w:rFonts w:ascii="Times New Roman" w:eastAsiaTheme="minorEastAsia" w:hAnsi="Times New Roman"/>
          <w:sz w:val="20"/>
          <w:szCs w:val="20"/>
          <w:lang w:eastAsia="zh-HK"/>
        </w:rPr>
        <w:t xml:space="preserve"> are exp</w:t>
      </w:r>
      <w:r w:rsidR="00EF2E37">
        <w:rPr>
          <w:rFonts w:ascii="Times New Roman" w:eastAsiaTheme="minorEastAsia" w:hAnsi="Times New Roman"/>
          <w:sz w:val="20"/>
          <w:szCs w:val="20"/>
          <w:lang w:eastAsia="zh-HK"/>
        </w:rPr>
        <w:t>ressed in U.S. dollars</w:t>
      </w:r>
      <w:r w:rsidR="00D772D8">
        <w:rPr>
          <w:rFonts w:ascii="Times New Roman" w:eastAsiaTheme="minorEastAsia" w:hAnsi="Times New Roman"/>
          <w:sz w:val="20"/>
          <w:szCs w:val="20"/>
          <w:lang w:eastAsia="zh-HK"/>
        </w:rPr>
        <w:t xml:space="preserve">. </w:t>
      </w:r>
      <w:r w:rsidR="00EF2E37">
        <w:rPr>
          <w:rFonts w:ascii="Times New Roman" w:eastAsiaTheme="minorEastAsia" w:hAnsi="Times New Roman"/>
          <w:sz w:val="20"/>
          <w:szCs w:val="20"/>
          <w:lang w:eastAsia="zh-HK"/>
        </w:rPr>
        <w:t xml:space="preserve">Country-specific </w:t>
      </w:r>
      <w:r w:rsidR="00495588">
        <w:rPr>
          <w:rFonts w:ascii="Times New Roman" w:eastAsiaTheme="minorEastAsia" w:hAnsi="Times New Roman"/>
          <w:sz w:val="20"/>
          <w:szCs w:val="20"/>
          <w:lang w:eastAsia="zh-HK"/>
        </w:rPr>
        <w:t xml:space="preserve">macroeconomic </w:t>
      </w:r>
      <w:r w:rsidR="00EF2E37">
        <w:rPr>
          <w:rFonts w:ascii="Times New Roman" w:eastAsiaTheme="minorEastAsia" w:hAnsi="Times New Roman"/>
          <w:sz w:val="20"/>
          <w:szCs w:val="20"/>
          <w:lang w:eastAsia="zh-HK"/>
        </w:rPr>
        <w:t xml:space="preserve">variables, such as the annual GDP growth rate and inflation, are retrieved from the </w:t>
      </w:r>
      <w:r w:rsidR="00EF2E37" w:rsidRPr="00C83C5B">
        <w:rPr>
          <w:rFonts w:ascii="Times New Roman" w:eastAsiaTheme="minorEastAsia" w:hAnsi="Times New Roman"/>
          <w:i/>
          <w:sz w:val="20"/>
          <w:szCs w:val="20"/>
          <w:lang w:eastAsia="zh-HK"/>
        </w:rPr>
        <w:t xml:space="preserve">World Development </w:t>
      </w:r>
      <w:r w:rsidR="00EF2E37" w:rsidRPr="00C83C5B">
        <w:rPr>
          <w:rFonts w:ascii="Times New Roman" w:eastAsiaTheme="minorEastAsia" w:hAnsi="Times New Roman" w:hint="eastAsia"/>
          <w:i/>
          <w:sz w:val="20"/>
          <w:szCs w:val="20"/>
          <w:lang w:eastAsia="zh-TW"/>
        </w:rPr>
        <w:t>I</w:t>
      </w:r>
      <w:r w:rsidR="00EF2E37" w:rsidRPr="00C83C5B">
        <w:rPr>
          <w:rFonts w:ascii="Times New Roman" w:eastAsiaTheme="minorEastAsia" w:hAnsi="Times New Roman" w:hint="eastAsia"/>
          <w:i/>
          <w:sz w:val="20"/>
          <w:szCs w:val="20"/>
          <w:lang w:eastAsia="zh-HK"/>
        </w:rPr>
        <w:t>n</w:t>
      </w:r>
      <w:r w:rsidR="00EF2E37" w:rsidRPr="00C83C5B">
        <w:rPr>
          <w:rFonts w:ascii="Times New Roman" w:eastAsiaTheme="minorEastAsia" w:hAnsi="Times New Roman"/>
          <w:i/>
          <w:sz w:val="20"/>
          <w:szCs w:val="20"/>
          <w:lang w:eastAsia="zh-HK"/>
        </w:rPr>
        <w:t>dicators</w:t>
      </w:r>
      <w:r w:rsidR="00EF2E37">
        <w:rPr>
          <w:rFonts w:ascii="Times New Roman" w:eastAsiaTheme="minorEastAsia" w:hAnsi="Times New Roman"/>
          <w:sz w:val="20"/>
          <w:szCs w:val="20"/>
          <w:lang w:eastAsia="zh-HK"/>
        </w:rPr>
        <w:t xml:space="preserve"> of World </w:t>
      </w:r>
      <w:proofErr w:type="spellStart"/>
      <w:r w:rsidR="00EF2E37">
        <w:rPr>
          <w:rFonts w:ascii="Times New Roman" w:eastAsiaTheme="minorEastAsia" w:hAnsi="Times New Roman"/>
          <w:sz w:val="20"/>
          <w:szCs w:val="20"/>
          <w:lang w:eastAsia="zh-HK"/>
        </w:rPr>
        <w:t>DataBank</w:t>
      </w:r>
      <w:proofErr w:type="spellEnd"/>
      <w:r w:rsidR="00EF2E37">
        <w:rPr>
          <w:rFonts w:ascii="Times New Roman" w:eastAsiaTheme="minorEastAsia" w:hAnsi="Times New Roman"/>
          <w:sz w:val="20"/>
          <w:szCs w:val="20"/>
          <w:lang w:eastAsia="zh-HK"/>
        </w:rPr>
        <w:t>.</w:t>
      </w:r>
      <w:r w:rsidR="002B12AA">
        <w:rPr>
          <w:rFonts w:ascii="Times New Roman" w:eastAsiaTheme="minorEastAsia" w:hAnsi="Times New Roman"/>
          <w:sz w:val="20"/>
          <w:szCs w:val="20"/>
          <w:lang w:eastAsia="zh-HK"/>
        </w:rPr>
        <w:t xml:space="preserve"> In addition, index prices of World </w:t>
      </w:r>
      <w:proofErr w:type="spellStart"/>
      <w:r w:rsidR="002B12AA">
        <w:rPr>
          <w:rFonts w:ascii="Times New Roman" w:eastAsiaTheme="minorEastAsia" w:hAnsi="Times New Roman"/>
          <w:sz w:val="20"/>
          <w:szCs w:val="20"/>
          <w:lang w:eastAsia="zh-HK"/>
        </w:rPr>
        <w:t>Datastream</w:t>
      </w:r>
      <w:proofErr w:type="spellEnd"/>
      <w:r w:rsidR="002B12AA">
        <w:rPr>
          <w:rFonts w:ascii="Times New Roman" w:eastAsiaTheme="minorEastAsia" w:hAnsi="Times New Roman"/>
          <w:sz w:val="20"/>
          <w:szCs w:val="20"/>
          <w:lang w:eastAsia="zh-HK"/>
        </w:rPr>
        <w:t xml:space="preserve"> Financial Index, World </w:t>
      </w:r>
      <w:proofErr w:type="spellStart"/>
      <w:r w:rsidR="002B12AA">
        <w:rPr>
          <w:rFonts w:ascii="Times New Roman" w:eastAsiaTheme="minorEastAsia" w:hAnsi="Times New Roman"/>
          <w:sz w:val="20"/>
          <w:szCs w:val="20"/>
          <w:lang w:eastAsia="zh-HK"/>
        </w:rPr>
        <w:t>Datastream</w:t>
      </w:r>
      <w:proofErr w:type="spellEnd"/>
      <w:r w:rsidR="002B12AA">
        <w:rPr>
          <w:rFonts w:ascii="Times New Roman" w:eastAsiaTheme="minorEastAsia" w:hAnsi="Times New Roman"/>
          <w:sz w:val="20"/>
          <w:szCs w:val="20"/>
          <w:lang w:eastAsia="zh-HK"/>
        </w:rPr>
        <w:t xml:space="preserve"> Market Index, World </w:t>
      </w:r>
      <w:proofErr w:type="spellStart"/>
      <w:r w:rsidR="002B12AA">
        <w:rPr>
          <w:rFonts w:ascii="Times New Roman" w:eastAsiaTheme="minorEastAsia" w:hAnsi="Times New Roman"/>
          <w:sz w:val="20"/>
          <w:szCs w:val="20"/>
          <w:lang w:eastAsia="zh-HK"/>
        </w:rPr>
        <w:t>Datastream</w:t>
      </w:r>
      <w:proofErr w:type="spellEnd"/>
      <w:r w:rsidR="002B12AA">
        <w:rPr>
          <w:rFonts w:ascii="Times New Roman" w:eastAsiaTheme="minorEastAsia" w:hAnsi="Times New Roman"/>
          <w:sz w:val="20"/>
          <w:szCs w:val="20"/>
          <w:lang w:eastAsia="zh-HK"/>
        </w:rPr>
        <w:t xml:space="preserve"> Bank Index, and World </w:t>
      </w:r>
      <w:proofErr w:type="spellStart"/>
      <w:r w:rsidR="002B12AA">
        <w:rPr>
          <w:rFonts w:ascii="Times New Roman" w:eastAsiaTheme="minorEastAsia" w:hAnsi="Times New Roman"/>
          <w:sz w:val="20"/>
          <w:szCs w:val="20"/>
          <w:lang w:eastAsia="zh-HK"/>
        </w:rPr>
        <w:t>Datastream</w:t>
      </w:r>
      <w:proofErr w:type="spellEnd"/>
      <w:r w:rsidR="002B12AA">
        <w:rPr>
          <w:rFonts w:ascii="Times New Roman" w:eastAsiaTheme="minorEastAsia" w:hAnsi="Times New Roman"/>
          <w:sz w:val="20"/>
          <w:szCs w:val="20"/>
          <w:lang w:eastAsia="zh-HK"/>
        </w:rPr>
        <w:t xml:space="preserve"> Insurance Index are retrieved from </w:t>
      </w:r>
      <w:proofErr w:type="spellStart"/>
      <w:r w:rsidR="002B12AA" w:rsidRPr="006034DD">
        <w:rPr>
          <w:rFonts w:ascii="Times New Roman" w:eastAsiaTheme="minorEastAsia" w:hAnsi="Times New Roman" w:hint="eastAsia"/>
          <w:i/>
          <w:sz w:val="20"/>
          <w:szCs w:val="20"/>
          <w:lang w:eastAsia="zh-HK"/>
        </w:rPr>
        <w:t>Datastream</w:t>
      </w:r>
      <w:proofErr w:type="spellEnd"/>
      <w:r w:rsidR="003035EC">
        <w:rPr>
          <w:rFonts w:ascii="Times New Roman" w:eastAsiaTheme="minorEastAsia" w:hAnsi="Times New Roman"/>
          <w:i/>
          <w:sz w:val="20"/>
          <w:szCs w:val="20"/>
          <w:lang w:eastAsia="zh-HK"/>
        </w:rPr>
        <w:t xml:space="preserve"> </w:t>
      </w:r>
      <w:r w:rsidR="003035EC">
        <w:rPr>
          <w:rFonts w:ascii="Times New Roman" w:eastAsiaTheme="minorEastAsia" w:hAnsi="Times New Roman"/>
          <w:sz w:val="20"/>
          <w:szCs w:val="20"/>
          <w:lang w:eastAsia="zh-HK"/>
        </w:rPr>
        <w:t>and are expressed in U.S. dollars</w:t>
      </w:r>
      <w:r w:rsidR="002B12AA">
        <w:rPr>
          <w:rFonts w:ascii="Times New Roman" w:eastAsiaTheme="minorEastAsia" w:hAnsi="Times New Roman"/>
          <w:sz w:val="20"/>
          <w:szCs w:val="20"/>
          <w:lang w:eastAsia="zh-HK"/>
        </w:rPr>
        <w:t>.</w:t>
      </w:r>
    </w:p>
    <w:p w14:paraId="18E6208A" w14:textId="1A4211D0" w:rsidR="00915772" w:rsidRPr="00B86E32" w:rsidRDefault="00915772" w:rsidP="00BA3FFD">
      <w:pPr>
        <w:spacing w:after="0" w:line="260" w:lineRule="exact"/>
        <w:jc w:val="both"/>
        <w:rPr>
          <w:rFonts w:ascii="Times New Roman" w:eastAsiaTheme="minorEastAsia" w:hAnsi="Times New Roman"/>
          <w:sz w:val="20"/>
          <w:szCs w:val="20"/>
          <w:lang w:eastAsia="zh-HK"/>
        </w:rPr>
      </w:pPr>
    </w:p>
    <w:p w14:paraId="4F7B1444" w14:textId="08CE0CC9" w:rsidR="00D91A00" w:rsidRPr="00B86E32" w:rsidRDefault="000A3950" w:rsidP="007E0778">
      <w:pPr>
        <w:pStyle w:val="ListParagraph"/>
        <w:numPr>
          <w:ilvl w:val="1"/>
          <w:numId w:val="1"/>
        </w:numPr>
        <w:spacing w:after="0" w:line="240" w:lineRule="auto"/>
        <w:ind w:leftChars="0" w:left="0" w:firstLine="0"/>
        <w:jc w:val="both"/>
        <w:rPr>
          <w:rFonts w:ascii="Times New Roman" w:eastAsiaTheme="minorEastAsia" w:hAnsi="Times New Roman"/>
          <w:b/>
          <w:i/>
          <w:sz w:val="20"/>
          <w:szCs w:val="20"/>
          <w:lang w:eastAsia="zh-HK"/>
        </w:rPr>
      </w:pPr>
      <w:r>
        <w:rPr>
          <w:rFonts w:ascii="Times New Roman" w:eastAsiaTheme="minorEastAsia" w:hAnsi="Times New Roman"/>
          <w:b/>
          <w:i/>
          <w:sz w:val="20"/>
          <w:szCs w:val="20"/>
          <w:lang w:eastAsia="zh-HK"/>
        </w:rPr>
        <w:t>Measuring systemic risk</w:t>
      </w:r>
    </w:p>
    <w:p w14:paraId="3FC54F24" w14:textId="21125049" w:rsidR="00EF4F25" w:rsidRDefault="00BA610F"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We use three different kinds of measures for systemic risk in this study. They are MES proposed by Acharya </w:t>
      </w:r>
      <w:r w:rsidRPr="00F158B6">
        <w:rPr>
          <w:rFonts w:ascii="Times New Roman" w:eastAsiaTheme="minorEastAsia" w:hAnsi="Times New Roman"/>
          <w:i/>
          <w:sz w:val="20"/>
          <w:szCs w:val="20"/>
          <w:lang w:eastAsia="zh-HK"/>
        </w:rPr>
        <w:t xml:space="preserve">et al. </w:t>
      </w:r>
      <w:r>
        <w:rPr>
          <w:rFonts w:ascii="Times New Roman" w:eastAsiaTheme="minorEastAsia" w:hAnsi="Times New Roman"/>
          <w:sz w:val="20"/>
          <w:szCs w:val="20"/>
          <w:lang w:eastAsia="zh-HK"/>
        </w:rPr>
        <w:t xml:space="preserve">(2010), SRISK proposed by Acharya </w:t>
      </w:r>
      <w:r w:rsidRPr="00F158B6">
        <w:rPr>
          <w:rFonts w:ascii="Times New Roman" w:eastAsiaTheme="minorEastAsia" w:hAnsi="Times New Roman"/>
          <w:i/>
          <w:sz w:val="20"/>
          <w:szCs w:val="20"/>
          <w:lang w:eastAsia="zh-HK"/>
        </w:rPr>
        <w:t xml:space="preserve">et al. </w:t>
      </w:r>
      <w:r>
        <w:rPr>
          <w:rFonts w:ascii="Times New Roman" w:eastAsiaTheme="minorEastAsia" w:hAnsi="Times New Roman"/>
          <w:sz w:val="20"/>
          <w:szCs w:val="20"/>
          <w:lang w:eastAsia="zh-HK"/>
        </w:rPr>
        <w:t xml:space="preserve">(2012), and </w:t>
      </w:r>
      <w:proofErr w:type="spellStart"/>
      <w:r w:rsidRPr="00C6276D">
        <w:rPr>
          <w:rFonts w:ascii="Times New Roman" w:eastAsia="PMingLiU" w:hAnsi="Times New Roman"/>
          <w:sz w:val="20"/>
          <w:szCs w:val="20"/>
          <w:lang w:eastAsia="zh-HK"/>
        </w:rPr>
        <w:t>Δ</w:t>
      </w:r>
      <w:r>
        <w:rPr>
          <w:rFonts w:ascii="Times New Roman" w:eastAsiaTheme="minorEastAsia" w:hAnsi="Times New Roman"/>
          <w:sz w:val="20"/>
          <w:szCs w:val="20"/>
          <w:lang w:eastAsia="zh-HK"/>
        </w:rPr>
        <w:t>CoVAR</w:t>
      </w:r>
      <w:proofErr w:type="spellEnd"/>
      <w:r>
        <w:rPr>
          <w:rFonts w:ascii="Times New Roman" w:eastAsiaTheme="minorEastAsia" w:hAnsi="Times New Roman"/>
          <w:sz w:val="20"/>
          <w:szCs w:val="20"/>
          <w:lang w:eastAsia="zh-HK"/>
        </w:rPr>
        <w:t xml:space="preserve"> proposed by Adrian and </w:t>
      </w:r>
      <w:proofErr w:type="spellStart"/>
      <w:r>
        <w:rPr>
          <w:rFonts w:ascii="Times New Roman" w:eastAsiaTheme="minorEastAsia" w:hAnsi="Times New Roman"/>
          <w:sz w:val="20"/>
          <w:szCs w:val="20"/>
          <w:lang w:eastAsia="zh-HK"/>
        </w:rPr>
        <w:t>Brunnermeier</w:t>
      </w:r>
      <w:proofErr w:type="spellEnd"/>
      <w:r>
        <w:rPr>
          <w:rFonts w:ascii="Times New Roman" w:eastAsiaTheme="minorEastAsia" w:hAnsi="Times New Roman"/>
          <w:sz w:val="20"/>
          <w:szCs w:val="20"/>
          <w:lang w:eastAsia="zh-HK"/>
        </w:rPr>
        <w:t xml:space="preserve"> (2014). Each of these measures represents different dimension of systemic risk, and they have been widely discussed in literature and applied in v</w:t>
      </w:r>
      <w:r w:rsidR="005D3AC0">
        <w:rPr>
          <w:rFonts w:ascii="Times New Roman" w:eastAsiaTheme="minorEastAsia" w:hAnsi="Times New Roman"/>
          <w:sz w:val="20"/>
          <w:szCs w:val="20"/>
          <w:lang w:eastAsia="zh-HK"/>
        </w:rPr>
        <w:t>arious studies of systemic risk</w:t>
      </w:r>
      <w:r>
        <w:rPr>
          <w:rFonts w:ascii="Times New Roman" w:eastAsiaTheme="minorEastAsia" w:hAnsi="Times New Roman"/>
          <w:sz w:val="20"/>
          <w:szCs w:val="20"/>
          <w:lang w:eastAsia="zh-HK"/>
        </w:rPr>
        <w:t xml:space="preserve"> (e.g. </w:t>
      </w:r>
      <w:proofErr w:type="spellStart"/>
      <w:r>
        <w:rPr>
          <w:rFonts w:ascii="Times New Roman" w:eastAsiaTheme="minorEastAsia" w:hAnsi="Times New Roman"/>
          <w:sz w:val="20"/>
          <w:szCs w:val="20"/>
          <w:lang w:eastAsia="zh-HK"/>
        </w:rPr>
        <w:t>Anginer</w:t>
      </w:r>
      <w:proofErr w:type="spellEnd"/>
      <w:r>
        <w:rPr>
          <w:rFonts w:ascii="Times New Roman" w:eastAsiaTheme="minorEastAsia" w:hAnsi="Times New Roman"/>
          <w:sz w:val="20"/>
          <w:szCs w:val="20"/>
          <w:lang w:eastAsia="zh-HK"/>
        </w:rPr>
        <w:t xml:space="preserve"> </w:t>
      </w:r>
      <w:r w:rsidRPr="00F158B6">
        <w:rPr>
          <w:rFonts w:ascii="Times New Roman" w:eastAsiaTheme="minorEastAsia" w:hAnsi="Times New Roman"/>
          <w:i/>
          <w:sz w:val="20"/>
          <w:szCs w:val="20"/>
          <w:lang w:eastAsia="zh-HK"/>
        </w:rPr>
        <w:t>et al.</w:t>
      </w:r>
      <w:r>
        <w:rPr>
          <w:rFonts w:ascii="Times New Roman" w:eastAsiaTheme="minorEastAsia" w:hAnsi="Times New Roman" w:hint="eastAsia"/>
          <w:sz w:val="20"/>
          <w:szCs w:val="20"/>
          <w:lang w:eastAsia="zh-TW"/>
        </w:rPr>
        <w:t>,</w:t>
      </w:r>
      <w:r>
        <w:rPr>
          <w:rFonts w:ascii="Times New Roman" w:eastAsiaTheme="minorEastAsia" w:hAnsi="Times New Roman"/>
          <w:sz w:val="20"/>
          <w:szCs w:val="20"/>
          <w:lang w:eastAsia="zh-HK"/>
        </w:rPr>
        <w:t xml:space="preserve"> 2014a; </w:t>
      </w:r>
      <w:proofErr w:type="spellStart"/>
      <w:r>
        <w:rPr>
          <w:rFonts w:ascii="Times New Roman" w:eastAsiaTheme="minorEastAsia" w:hAnsi="Times New Roman"/>
          <w:sz w:val="20"/>
          <w:szCs w:val="20"/>
          <w:lang w:eastAsia="zh-HK"/>
        </w:rPr>
        <w:t>Anginer</w:t>
      </w:r>
      <w:proofErr w:type="spellEnd"/>
      <w:r>
        <w:rPr>
          <w:rFonts w:ascii="Times New Roman" w:eastAsiaTheme="minorEastAsia" w:hAnsi="Times New Roman"/>
          <w:sz w:val="20"/>
          <w:szCs w:val="20"/>
          <w:lang w:eastAsia="zh-HK"/>
        </w:rPr>
        <w:t xml:space="preserve"> </w:t>
      </w:r>
      <w:r w:rsidRPr="00F158B6">
        <w:rPr>
          <w:rFonts w:ascii="Times New Roman" w:eastAsiaTheme="minorEastAsia" w:hAnsi="Times New Roman"/>
          <w:i/>
          <w:sz w:val="20"/>
          <w:szCs w:val="20"/>
          <w:lang w:eastAsia="zh-HK"/>
        </w:rPr>
        <w:t>et al.</w:t>
      </w:r>
      <w:r>
        <w:rPr>
          <w:rFonts w:ascii="Times New Roman" w:eastAsiaTheme="minorEastAsia" w:hAnsi="Times New Roman" w:hint="eastAsia"/>
          <w:sz w:val="20"/>
          <w:szCs w:val="20"/>
          <w:lang w:eastAsia="zh-TW"/>
        </w:rPr>
        <w:t>,</w:t>
      </w:r>
      <w:r>
        <w:rPr>
          <w:rFonts w:ascii="Times New Roman" w:eastAsiaTheme="minorEastAsia" w:hAnsi="Times New Roman"/>
          <w:sz w:val="20"/>
          <w:szCs w:val="20"/>
          <w:lang w:eastAsia="zh-HK"/>
        </w:rPr>
        <w:t xml:space="preserve"> 2014b; </w:t>
      </w:r>
      <w:r w:rsidR="00A22DBD">
        <w:rPr>
          <w:rFonts w:ascii="Times New Roman" w:eastAsiaTheme="minorEastAsia" w:hAnsi="Times New Roman"/>
          <w:sz w:val="20"/>
          <w:szCs w:val="20"/>
          <w:lang w:eastAsia="zh-HK"/>
        </w:rPr>
        <w:t xml:space="preserve">Weiβ and </w:t>
      </w:r>
      <w:proofErr w:type="spellStart"/>
      <w:r w:rsidR="00A22DBD" w:rsidRPr="00A22DBD">
        <w:rPr>
          <w:rFonts w:ascii="Times New Roman" w:eastAsiaTheme="minorEastAsia" w:hAnsi="Times New Roman"/>
          <w:sz w:val="20"/>
          <w:szCs w:val="20"/>
          <w:lang w:eastAsia="zh-HK"/>
        </w:rPr>
        <w:t>Mühlnickel</w:t>
      </w:r>
      <w:proofErr w:type="spellEnd"/>
      <w:r w:rsidR="00A22DBD">
        <w:rPr>
          <w:rFonts w:ascii="Times New Roman" w:eastAsiaTheme="minorEastAsia" w:hAnsi="Times New Roman"/>
          <w:sz w:val="20"/>
          <w:szCs w:val="20"/>
          <w:lang w:eastAsia="zh-HK"/>
        </w:rPr>
        <w:t>, 2014;</w:t>
      </w:r>
      <w:r w:rsidR="00B93FDE">
        <w:rPr>
          <w:rFonts w:ascii="Times New Roman" w:eastAsiaTheme="minorEastAsia" w:hAnsi="Times New Roman"/>
          <w:sz w:val="20"/>
          <w:szCs w:val="20"/>
          <w:lang w:eastAsia="zh-HK"/>
        </w:rPr>
        <w:t xml:space="preserve"> </w:t>
      </w:r>
      <w:proofErr w:type="spellStart"/>
      <w:r w:rsidR="00B93FDE" w:rsidRPr="00A22DBD">
        <w:rPr>
          <w:rFonts w:ascii="Times New Roman" w:eastAsiaTheme="minorEastAsia" w:hAnsi="Times New Roman"/>
          <w:sz w:val="20"/>
          <w:szCs w:val="20"/>
          <w:lang w:eastAsia="zh-HK"/>
        </w:rPr>
        <w:t>Mühlnickel</w:t>
      </w:r>
      <w:proofErr w:type="spellEnd"/>
      <w:r w:rsidR="00B93FDE">
        <w:rPr>
          <w:rFonts w:ascii="Times New Roman" w:eastAsiaTheme="minorEastAsia" w:hAnsi="Times New Roman"/>
          <w:sz w:val="20"/>
          <w:szCs w:val="20"/>
          <w:lang w:eastAsia="zh-HK"/>
        </w:rPr>
        <w:t xml:space="preserve"> and Weiβ</w:t>
      </w:r>
      <w:r w:rsidR="00CE3F2E">
        <w:rPr>
          <w:rFonts w:ascii="Times New Roman" w:eastAsiaTheme="minorEastAsia" w:hAnsi="Times New Roman"/>
          <w:sz w:val="20"/>
          <w:szCs w:val="20"/>
          <w:lang w:eastAsia="zh-HK"/>
        </w:rPr>
        <w:t>, 2015</w:t>
      </w:r>
      <w:r w:rsidR="00D957C6">
        <w:rPr>
          <w:rFonts w:ascii="Times New Roman" w:eastAsiaTheme="minorEastAsia" w:hAnsi="Times New Roman"/>
          <w:sz w:val="20"/>
          <w:szCs w:val="20"/>
          <w:lang w:eastAsia="zh-HK"/>
        </w:rPr>
        <w:t xml:space="preserve">; </w:t>
      </w:r>
      <w:proofErr w:type="spellStart"/>
      <w:r w:rsidR="00D957C6">
        <w:rPr>
          <w:rFonts w:ascii="Times New Roman" w:eastAsiaTheme="minorEastAsia" w:hAnsi="Times New Roman"/>
          <w:sz w:val="20"/>
          <w:szCs w:val="20"/>
          <w:lang w:eastAsia="zh-HK"/>
        </w:rPr>
        <w:t>Bierth</w:t>
      </w:r>
      <w:proofErr w:type="spellEnd"/>
      <w:r w:rsidR="00D957C6">
        <w:rPr>
          <w:rFonts w:ascii="Times New Roman" w:eastAsiaTheme="minorEastAsia" w:hAnsi="Times New Roman"/>
          <w:sz w:val="20"/>
          <w:szCs w:val="20"/>
          <w:lang w:eastAsia="zh-HK"/>
        </w:rPr>
        <w:t xml:space="preserve"> </w:t>
      </w:r>
      <w:r w:rsidR="00D957C6" w:rsidRPr="00D957C6">
        <w:rPr>
          <w:rFonts w:ascii="Times New Roman" w:eastAsiaTheme="minorEastAsia" w:hAnsi="Times New Roman"/>
          <w:i/>
          <w:sz w:val="20"/>
          <w:szCs w:val="20"/>
          <w:lang w:eastAsia="zh-HK"/>
        </w:rPr>
        <w:t>et al.</w:t>
      </w:r>
      <w:r w:rsidR="00D957C6">
        <w:rPr>
          <w:rFonts w:ascii="Times New Roman" w:eastAsiaTheme="minorEastAsia" w:hAnsi="Times New Roman"/>
          <w:sz w:val="20"/>
          <w:szCs w:val="20"/>
          <w:lang w:eastAsia="zh-HK"/>
        </w:rPr>
        <w:t>, 2015</w:t>
      </w:r>
      <w:r w:rsidR="00CE3F2E">
        <w:rPr>
          <w:rFonts w:ascii="Times New Roman" w:eastAsiaTheme="minorEastAsia" w:hAnsi="Times New Roman"/>
          <w:sz w:val="20"/>
          <w:szCs w:val="20"/>
          <w:lang w:eastAsia="zh-HK"/>
        </w:rPr>
        <w:t>).</w:t>
      </w:r>
      <w:r w:rsidR="006230C5">
        <w:rPr>
          <w:rFonts w:ascii="Times New Roman" w:eastAsiaTheme="minorEastAsia" w:hAnsi="Times New Roman"/>
          <w:sz w:val="20"/>
          <w:szCs w:val="20"/>
          <w:lang w:eastAsia="zh-HK"/>
        </w:rPr>
        <w:t xml:space="preserve"> These three measures are briefly discussed below:</w:t>
      </w:r>
    </w:p>
    <w:p w14:paraId="450BCC6C" w14:textId="68FB9C0A" w:rsidR="006230C5" w:rsidRDefault="006230C5" w:rsidP="00BA3FFD">
      <w:pPr>
        <w:spacing w:after="0" w:line="260" w:lineRule="exact"/>
        <w:jc w:val="both"/>
        <w:rPr>
          <w:rFonts w:ascii="Times New Roman" w:eastAsiaTheme="minorEastAsia" w:hAnsi="Times New Roman"/>
          <w:sz w:val="20"/>
          <w:szCs w:val="20"/>
          <w:lang w:eastAsia="zh-HK"/>
        </w:rPr>
      </w:pPr>
    </w:p>
    <w:p w14:paraId="179E234C" w14:textId="6DC4CF53" w:rsidR="006230C5" w:rsidRDefault="006230C5" w:rsidP="00BA3FFD">
      <w:pPr>
        <w:spacing w:after="0" w:line="260" w:lineRule="exact"/>
        <w:jc w:val="both"/>
        <w:rPr>
          <w:rFonts w:ascii="Times New Roman" w:eastAsiaTheme="minorEastAsia" w:hAnsi="Times New Roman"/>
          <w:sz w:val="20"/>
          <w:szCs w:val="20"/>
          <w:u w:val="single"/>
          <w:lang w:eastAsia="zh-HK"/>
        </w:rPr>
      </w:pPr>
      <w:r w:rsidRPr="006230C5">
        <w:rPr>
          <w:rFonts w:ascii="Times New Roman" w:eastAsiaTheme="minorEastAsia" w:hAnsi="Times New Roman"/>
          <w:sz w:val="20"/>
          <w:szCs w:val="20"/>
          <w:u w:val="single"/>
          <w:lang w:eastAsia="zh-HK"/>
        </w:rPr>
        <w:t>MES</w:t>
      </w:r>
    </w:p>
    <w:p w14:paraId="32528888" w14:textId="5CEC3818" w:rsidR="006230C5" w:rsidRDefault="00C971D7"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Acharya </w:t>
      </w:r>
      <w:r w:rsidRPr="00F158B6">
        <w:rPr>
          <w:rFonts w:ascii="Times New Roman" w:eastAsiaTheme="minorEastAsia" w:hAnsi="Times New Roman"/>
          <w:i/>
          <w:sz w:val="20"/>
          <w:szCs w:val="20"/>
          <w:lang w:eastAsia="zh-HK"/>
        </w:rPr>
        <w:t xml:space="preserve">et al. </w:t>
      </w:r>
      <w:r>
        <w:rPr>
          <w:rFonts w:ascii="Times New Roman" w:eastAsiaTheme="minorEastAsia" w:hAnsi="Times New Roman"/>
          <w:sz w:val="20"/>
          <w:szCs w:val="20"/>
          <w:lang w:eastAsia="zh-HK"/>
        </w:rPr>
        <w:t xml:space="preserve">(2010) defines MES as the losses of a firm in the tail of the aggregate sector’s loss distribution. </w:t>
      </w:r>
      <w:r w:rsidR="00824EED">
        <w:rPr>
          <w:rFonts w:ascii="Times New Roman" w:eastAsiaTheme="minorEastAsia" w:hAnsi="Times New Roman"/>
          <w:sz w:val="20"/>
          <w:szCs w:val="20"/>
          <w:lang w:eastAsia="zh-HK"/>
        </w:rPr>
        <w:t>Mathematically, MES can be expressed as:</w:t>
      </w:r>
    </w:p>
    <w:p w14:paraId="6D30DB44" w14:textId="6AA773AA" w:rsidR="00824EED" w:rsidRDefault="00824EED" w:rsidP="00BA3FFD">
      <w:pPr>
        <w:spacing w:after="0" w:line="260" w:lineRule="exact"/>
        <w:jc w:val="both"/>
        <w:rPr>
          <w:rFonts w:ascii="Times New Roman" w:eastAsiaTheme="minorEastAsia" w:hAnsi="Times New Roman"/>
          <w:sz w:val="20"/>
          <w:szCs w:val="20"/>
          <w:lang w:eastAsia="zh-HK"/>
        </w:rPr>
      </w:pPr>
    </w:p>
    <w:p w14:paraId="350D42E9" w14:textId="6D0241CB" w:rsidR="00824EED" w:rsidRDefault="00824EED" w:rsidP="000B3DDE">
      <w:pPr>
        <w:spacing w:after="0" w:line="260" w:lineRule="exact"/>
        <w:ind w:firstLineChars="1300" w:firstLine="2600"/>
        <w:rPr>
          <w:rFonts w:ascii="Times New Roman" w:eastAsiaTheme="minorEastAsia" w:hAnsi="Times New Roman"/>
          <w:sz w:val="20"/>
          <w:szCs w:val="20"/>
          <w:lang w:eastAsia="zh-HK"/>
        </w:rPr>
      </w:pPr>
      <w:proofErr w:type="spellStart"/>
      <w:r w:rsidRPr="00C83C5B">
        <w:rPr>
          <w:rFonts w:ascii="Times New Roman" w:eastAsiaTheme="minorEastAsia" w:hAnsi="Times New Roman" w:hint="eastAsia"/>
          <w:i/>
          <w:sz w:val="20"/>
          <w:szCs w:val="20"/>
          <w:lang w:eastAsia="zh-HK"/>
        </w:rPr>
        <w:t>MES</w:t>
      </w:r>
      <w:r w:rsidR="00604D67" w:rsidRPr="00C83C5B">
        <w:rPr>
          <w:rFonts w:ascii="Times New Roman" w:eastAsiaTheme="minorEastAsia" w:hAnsi="Times New Roman"/>
          <w:i/>
          <w:sz w:val="20"/>
          <w:szCs w:val="20"/>
          <w:vertAlign w:val="subscript"/>
          <w:lang w:eastAsia="zh-HK"/>
        </w:rPr>
        <w:t>i</w:t>
      </w:r>
      <w:proofErr w:type="spellEnd"/>
      <w:r w:rsidRPr="00C83C5B">
        <w:rPr>
          <w:rFonts w:ascii="Times New Roman" w:eastAsiaTheme="minorEastAsia" w:hAnsi="Times New Roman" w:hint="eastAsia"/>
          <w:i/>
          <w:sz w:val="20"/>
          <w:szCs w:val="20"/>
          <w:lang w:eastAsia="zh-HK"/>
        </w:rPr>
        <w:t xml:space="preserve"> = - E </w:t>
      </w:r>
      <w:proofErr w:type="gramStart"/>
      <w:r w:rsidRPr="00C83C5B">
        <w:rPr>
          <w:rFonts w:ascii="Times New Roman" w:eastAsiaTheme="minorEastAsia" w:hAnsi="Times New Roman" w:hint="eastAsia"/>
          <w:i/>
          <w:sz w:val="20"/>
          <w:szCs w:val="20"/>
          <w:lang w:eastAsia="zh-HK"/>
        </w:rPr>
        <w:t>[ R</w:t>
      </w:r>
      <w:r w:rsidRPr="00C83C5B">
        <w:rPr>
          <w:rFonts w:ascii="Times New Roman" w:eastAsiaTheme="minorEastAsia" w:hAnsi="Times New Roman"/>
          <w:i/>
          <w:sz w:val="20"/>
          <w:szCs w:val="20"/>
          <w:vertAlign w:val="subscript"/>
          <w:lang w:eastAsia="zh-HK"/>
        </w:rPr>
        <w:t>i</w:t>
      </w:r>
      <w:proofErr w:type="gramEnd"/>
      <w:r w:rsidRPr="00C83C5B">
        <w:rPr>
          <w:rFonts w:ascii="Times New Roman" w:eastAsiaTheme="minorEastAsia" w:hAnsi="Times New Roman" w:hint="eastAsia"/>
          <w:i/>
          <w:sz w:val="20"/>
          <w:szCs w:val="20"/>
          <w:lang w:eastAsia="zh-HK"/>
        </w:rPr>
        <w:t xml:space="preserve"> |</w:t>
      </w:r>
      <w:r w:rsidRPr="00C83C5B">
        <w:rPr>
          <w:rFonts w:ascii="Times New Roman" w:eastAsiaTheme="minorEastAsia" w:hAnsi="Times New Roman"/>
          <w:i/>
          <w:sz w:val="20"/>
          <w:szCs w:val="20"/>
          <w:lang w:eastAsia="zh-HK"/>
        </w:rPr>
        <w:t xml:space="preserve"> R</w:t>
      </w:r>
      <w:r w:rsidRPr="00C83C5B">
        <w:rPr>
          <w:rFonts w:ascii="Times New Roman" w:eastAsiaTheme="minorEastAsia" w:hAnsi="Times New Roman"/>
          <w:i/>
          <w:sz w:val="20"/>
          <w:szCs w:val="20"/>
          <w:vertAlign w:val="subscript"/>
          <w:lang w:eastAsia="zh-HK"/>
        </w:rPr>
        <w:t>m</w:t>
      </w:r>
      <w:r w:rsidRPr="00C83C5B">
        <w:rPr>
          <w:rFonts w:ascii="Times New Roman" w:eastAsiaTheme="minorEastAsia" w:hAnsi="Times New Roman"/>
          <w:i/>
          <w:sz w:val="20"/>
          <w:szCs w:val="20"/>
          <w:lang w:eastAsia="zh-HK"/>
        </w:rPr>
        <w:t xml:space="preserve"> &lt; </w:t>
      </w:r>
      <w:proofErr w:type="spellStart"/>
      <w:r w:rsidRPr="00C83C5B">
        <w:rPr>
          <w:rFonts w:ascii="Times New Roman" w:eastAsiaTheme="minorEastAsia" w:hAnsi="Times New Roman"/>
          <w:i/>
          <w:sz w:val="20"/>
          <w:szCs w:val="20"/>
          <w:lang w:eastAsia="zh-HK"/>
        </w:rPr>
        <w:t>VaR</w:t>
      </w:r>
      <w:proofErr w:type="spellEnd"/>
      <w:r w:rsidRPr="00C83C5B">
        <w:rPr>
          <w:rFonts w:ascii="Times New Roman" w:eastAsia="PMingLiU" w:hAnsi="Times New Roman"/>
          <w:i/>
          <w:sz w:val="20"/>
          <w:szCs w:val="20"/>
          <w:vertAlign w:val="subscript"/>
          <w:lang w:eastAsia="zh-HK"/>
        </w:rPr>
        <w:t>α</w:t>
      </w:r>
      <w:r w:rsidRPr="00C83C5B">
        <w:rPr>
          <w:rFonts w:ascii="Times New Roman" w:eastAsiaTheme="minorEastAsia" w:hAnsi="Times New Roman"/>
          <w:i/>
          <w:sz w:val="20"/>
          <w:szCs w:val="20"/>
          <w:lang w:eastAsia="zh-HK"/>
        </w:rPr>
        <w:t>]</w:t>
      </w:r>
      <w:r w:rsidR="000B3DDE" w:rsidRPr="00C83C5B">
        <w:rPr>
          <w:rFonts w:ascii="Times New Roman" w:eastAsiaTheme="minorEastAsia" w:hAnsi="Times New Roman"/>
          <w:i/>
          <w:sz w:val="20"/>
          <w:szCs w:val="20"/>
          <w:lang w:eastAsia="zh-HK"/>
        </w:rPr>
        <w:t xml:space="preserve"> </w:t>
      </w:r>
      <w:r w:rsidR="000B3DDE">
        <w:rPr>
          <w:rFonts w:ascii="Times New Roman" w:eastAsiaTheme="minorEastAsia" w:hAnsi="Times New Roman"/>
          <w:sz w:val="20"/>
          <w:szCs w:val="20"/>
          <w:lang w:eastAsia="zh-HK"/>
        </w:rPr>
        <w:t xml:space="preserve">                   (1</w:t>
      </w:r>
      <w:r w:rsidR="000B3DDE">
        <w:rPr>
          <w:rFonts w:ascii="Times New Roman" w:eastAsiaTheme="minorEastAsia" w:hAnsi="Times New Roman" w:hint="eastAsia"/>
          <w:sz w:val="20"/>
          <w:szCs w:val="20"/>
          <w:lang w:eastAsia="zh-TW"/>
        </w:rPr>
        <w:t>)</w:t>
      </w:r>
    </w:p>
    <w:p w14:paraId="5623B732" w14:textId="703045AC" w:rsidR="00824EED" w:rsidRDefault="00824EED" w:rsidP="00BA3FFD">
      <w:pPr>
        <w:spacing w:after="0" w:line="260" w:lineRule="exact"/>
        <w:jc w:val="both"/>
        <w:rPr>
          <w:rFonts w:ascii="Times New Roman" w:eastAsiaTheme="minorEastAsia" w:hAnsi="Times New Roman"/>
          <w:sz w:val="20"/>
          <w:szCs w:val="20"/>
          <w:lang w:eastAsia="zh-HK"/>
        </w:rPr>
      </w:pPr>
    </w:p>
    <w:p w14:paraId="06EDDCEF" w14:textId="20019471" w:rsidR="00824EED" w:rsidRDefault="00824EED"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w</w:t>
      </w:r>
      <w:r>
        <w:rPr>
          <w:rFonts w:ascii="Times New Roman" w:eastAsiaTheme="minorEastAsia" w:hAnsi="Times New Roman" w:hint="eastAsia"/>
          <w:sz w:val="20"/>
          <w:szCs w:val="20"/>
          <w:lang w:eastAsia="zh-HK"/>
        </w:rPr>
        <w:t xml:space="preserve">here </w:t>
      </w:r>
      <w:proofErr w:type="spellStart"/>
      <w:r w:rsidR="003A2E7B" w:rsidRPr="00C83C5B">
        <w:rPr>
          <w:rFonts w:ascii="Times New Roman" w:eastAsiaTheme="minorEastAsia" w:hAnsi="Times New Roman" w:hint="eastAsia"/>
          <w:i/>
          <w:sz w:val="20"/>
          <w:szCs w:val="20"/>
          <w:lang w:eastAsia="zh-HK"/>
        </w:rPr>
        <w:t>MES</w:t>
      </w:r>
      <w:r w:rsidR="003A2E7B" w:rsidRPr="00C83C5B">
        <w:rPr>
          <w:rFonts w:ascii="Times New Roman" w:eastAsiaTheme="minorEastAsia" w:hAnsi="Times New Roman"/>
          <w:i/>
          <w:sz w:val="20"/>
          <w:szCs w:val="20"/>
          <w:vertAlign w:val="subscript"/>
          <w:lang w:eastAsia="zh-HK"/>
        </w:rPr>
        <w:t>i</w:t>
      </w:r>
      <w:proofErr w:type="spellEnd"/>
      <w:r w:rsidR="003A2E7B" w:rsidRPr="00C83C5B">
        <w:rPr>
          <w:rFonts w:ascii="Times New Roman" w:eastAsiaTheme="minorEastAsia" w:hAnsi="Times New Roman" w:hint="eastAsia"/>
          <w:i/>
          <w:sz w:val="20"/>
          <w:szCs w:val="20"/>
          <w:lang w:eastAsia="zh-HK"/>
        </w:rPr>
        <w:t xml:space="preserve"> </w:t>
      </w:r>
      <w:r w:rsidR="003A2E7B">
        <w:rPr>
          <w:rFonts w:ascii="Times New Roman" w:eastAsiaTheme="minorEastAsia" w:hAnsi="Times New Roman"/>
          <w:sz w:val="20"/>
          <w:szCs w:val="20"/>
          <w:lang w:eastAsia="zh-HK"/>
        </w:rPr>
        <w:t>is the MES of firm</w:t>
      </w:r>
      <w:r w:rsidR="003A2E7B" w:rsidRPr="00C83C5B">
        <w:rPr>
          <w:rFonts w:ascii="Times New Roman" w:eastAsiaTheme="minorEastAsia" w:hAnsi="Times New Roman"/>
          <w:i/>
          <w:sz w:val="20"/>
          <w:szCs w:val="20"/>
          <w:lang w:eastAsia="zh-HK"/>
        </w:rPr>
        <w:t xml:space="preserve"> </w:t>
      </w:r>
      <w:proofErr w:type="spellStart"/>
      <w:r w:rsidR="003A2E7B" w:rsidRPr="00C83C5B">
        <w:rPr>
          <w:rFonts w:ascii="Times New Roman" w:eastAsiaTheme="minorEastAsia" w:hAnsi="Times New Roman"/>
          <w:i/>
          <w:sz w:val="20"/>
          <w:szCs w:val="20"/>
          <w:lang w:eastAsia="zh-HK"/>
        </w:rPr>
        <w:t>i</w:t>
      </w:r>
      <w:proofErr w:type="spellEnd"/>
      <w:r w:rsidR="003A2E7B">
        <w:rPr>
          <w:rFonts w:ascii="Times New Roman" w:eastAsiaTheme="minorEastAsia" w:hAnsi="Times New Roman"/>
          <w:sz w:val="20"/>
          <w:szCs w:val="20"/>
          <w:lang w:eastAsia="zh-HK"/>
        </w:rPr>
        <w:t>,</w:t>
      </w:r>
      <w:r w:rsidR="003A2E7B" w:rsidRPr="00C83C5B">
        <w:rPr>
          <w:rFonts w:ascii="Times New Roman" w:eastAsiaTheme="minorEastAsia" w:hAnsi="Times New Roman"/>
          <w:i/>
          <w:sz w:val="20"/>
          <w:szCs w:val="20"/>
          <w:lang w:eastAsia="zh-HK"/>
        </w:rPr>
        <w:t xml:space="preserve"> </w:t>
      </w:r>
      <w:proofErr w:type="spellStart"/>
      <w:r w:rsidRPr="00C83C5B">
        <w:rPr>
          <w:rFonts w:ascii="Times New Roman" w:eastAsiaTheme="minorEastAsia" w:hAnsi="Times New Roman" w:hint="eastAsia"/>
          <w:i/>
          <w:sz w:val="20"/>
          <w:szCs w:val="20"/>
          <w:lang w:eastAsia="zh-HK"/>
        </w:rPr>
        <w:t>R</w:t>
      </w:r>
      <w:r w:rsidRPr="00C83C5B">
        <w:rPr>
          <w:rFonts w:ascii="Times New Roman" w:eastAsiaTheme="minorEastAsia" w:hAnsi="Times New Roman"/>
          <w:i/>
          <w:sz w:val="20"/>
          <w:szCs w:val="20"/>
          <w:vertAlign w:val="subscript"/>
          <w:lang w:eastAsia="zh-HK"/>
        </w:rPr>
        <w:t>i</w:t>
      </w:r>
      <w:proofErr w:type="spellEnd"/>
      <w:r>
        <w:rPr>
          <w:rFonts w:ascii="Times New Roman" w:eastAsiaTheme="minorEastAsia" w:hAnsi="Times New Roman" w:hint="eastAsia"/>
          <w:sz w:val="20"/>
          <w:szCs w:val="20"/>
          <w:lang w:eastAsia="zh-HK"/>
        </w:rPr>
        <w:t xml:space="preserve"> </w:t>
      </w:r>
      <w:r w:rsidR="006079B3">
        <w:rPr>
          <w:rFonts w:ascii="Times New Roman" w:eastAsiaTheme="minorEastAsia" w:hAnsi="Times New Roman"/>
          <w:sz w:val="20"/>
          <w:szCs w:val="20"/>
          <w:lang w:eastAsia="zh-HK"/>
        </w:rPr>
        <w:t xml:space="preserve">is </w:t>
      </w:r>
      <w:r>
        <w:rPr>
          <w:rFonts w:ascii="Times New Roman" w:eastAsiaTheme="minorEastAsia" w:hAnsi="Times New Roman"/>
          <w:sz w:val="20"/>
          <w:szCs w:val="20"/>
          <w:lang w:eastAsia="zh-HK"/>
        </w:rPr>
        <w:t xml:space="preserve">the return of firm </w:t>
      </w:r>
      <w:proofErr w:type="spellStart"/>
      <w:r w:rsidRPr="00C83C5B">
        <w:rPr>
          <w:rFonts w:ascii="Times New Roman" w:eastAsiaTheme="minorEastAsia" w:hAnsi="Times New Roman"/>
          <w:i/>
          <w:sz w:val="20"/>
          <w:szCs w:val="20"/>
          <w:lang w:eastAsia="zh-HK"/>
        </w:rPr>
        <w:t>i</w:t>
      </w:r>
      <w:proofErr w:type="spellEnd"/>
      <w:r>
        <w:rPr>
          <w:rFonts w:ascii="Times New Roman" w:eastAsiaTheme="minorEastAsia" w:hAnsi="Times New Roman"/>
          <w:sz w:val="20"/>
          <w:szCs w:val="20"/>
          <w:lang w:eastAsia="zh-HK"/>
        </w:rPr>
        <w:t xml:space="preserve">, </w:t>
      </w:r>
      <w:r w:rsidRPr="00C83C5B">
        <w:rPr>
          <w:rFonts w:ascii="Times New Roman" w:eastAsiaTheme="minorEastAsia" w:hAnsi="Times New Roman"/>
          <w:i/>
          <w:sz w:val="20"/>
          <w:szCs w:val="20"/>
          <w:lang w:eastAsia="zh-HK"/>
        </w:rPr>
        <w:t>R</w:t>
      </w:r>
      <w:r w:rsidRPr="00C83C5B">
        <w:rPr>
          <w:rFonts w:ascii="Times New Roman" w:eastAsiaTheme="minorEastAsia" w:hAnsi="Times New Roman"/>
          <w:i/>
          <w:sz w:val="20"/>
          <w:szCs w:val="20"/>
          <w:vertAlign w:val="subscript"/>
          <w:lang w:eastAsia="zh-HK"/>
        </w:rPr>
        <w:t>m</w:t>
      </w:r>
      <w:r>
        <w:rPr>
          <w:rFonts w:ascii="Times New Roman" w:eastAsiaTheme="minorEastAsia" w:hAnsi="Times New Roman"/>
          <w:sz w:val="20"/>
          <w:szCs w:val="20"/>
          <w:lang w:eastAsia="zh-HK"/>
        </w:rPr>
        <w:t xml:space="preserve"> is the return of the market index, and</w:t>
      </w:r>
      <w:r w:rsidRPr="00824EED">
        <w:rPr>
          <w:rFonts w:ascii="Times New Roman" w:eastAsiaTheme="minorEastAsia" w:hAnsi="Times New Roman"/>
          <w:sz w:val="20"/>
          <w:szCs w:val="20"/>
          <w:lang w:eastAsia="zh-HK"/>
        </w:rPr>
        <w:t xml:space="preserve"> </w:t>
      </w:r>
      <w:proofErr w:type="spellStart"/>
      <w:r w:rsidRPr="00C83C5B">
        <w:rPr>
          <w:rFonts w:ascii="Times New Roman" w:eastAsiaTheme="minorEastAsia" w:hAnsi="Times New Roman"/>
          <w:i/>
          <w:sz w:val="20"/>
          <w:szCs w:val="20"/>
          <w:lang w:eastAsia="zh-HK"/>
        </w:rPr>
        <w:t>VaR</w:t>
      </w:r>
      <w:proofErr w:type="spellEnd"/>
      <w:r w:rsidRPr="00C83C5B">
        <w:rPr>
          <w:rFonts w:ascii="Times New Roman" w:eastAsia="PMingLiU" w:hAnsi="Times New Roman"/>
          <w:i/>
          <w:sz w:val="20"/>
          <w:szCs w:val="20"/>
          <w:vertAlign w:val="subscript"/>
          <w:lang w:eastAsia="zh-HK"/>
        </w:rPr>
        <w:t>α</w:t>
      </w:r>
      <w:r w:rsidRPr="00C83C5B">
        <w:rPr>
          <w:rFonts w:ascii="Times New Roman" w:eastAsiaTheme="minorEastAsia" w:hAnsi="Times New Roman"/>
          <w:i/>
          <w:sz w:val="20"/>
          <w:szCs w:val="20"/>
          <w:lang w:eastAsia="zh-HK"/>
        </w:rPr>
        <w:t xml:space="preserve"> </w:t>
      </w:r>
      <w:r>
        <w:rPr>
          <w:rFonts w:ascii="Times New Roman" w:eastAsiaTheme="minorEastAsia" w:hAnsi="Times New Roman"/>
          <w:sz w:val="20"/>
          <w:szCs w:val="20"/>
          <w:lang w:eastAsia="zh-HK"/>
        </w:rPr>
        <w:t>is the value-at-risk of the market index with confidence level 1-</w:t>
      </w:r>
      <w:r w:rsidRPr="00C83C5B">
        <w:rPr>
          <w:rFonts w:ascii="Times New Roman" w:eastAsia="PMingLiU" w:hAnsi="Times New Roman"/>
          <w:i/>
          <w:sz w:val="20"/>
          <w:szCs w:val="20"/>
          <w:lang w:eastAsia="zh-HK"/>
        </w:rPr>
        <w:t>α</w:t>
      </w:r>
      <w:r w:rsidR="00971A23">
        <w:rPr>
          <w:rFonts w:ascii="Times New Roman" w:eastAsia="PMingLiU" w:hAnsi="Times New Roman"/>
          <w:sz w:val="20"/>
          <w:szCs w:val="20"/>
          <w:lang w:eastAsia="zh-HK"/>
        </w:rPr>
        <w:t>%</w:t>
      </w:r>
      <w:r w:rsidRPr="00824EED">
        <w:rPr>
          <w:rFonts w:ascii="Times New Roman" w:eastAsiaTheme="minorEastAsia" w:hAnsi="Times New Roman"/>
          <w:sz w:val="20"/>
          <w:szCs w:val="20"/>
          <w:lang w:eastAsia="zh-HK"/>
        </w:rPr>
        <w:t>.</w:t>
      </w:r>
      <w:r>
        <w:rPr>
          <w:rFonts w:ascii="Times New Roman" w:eastAsiaTheme="minorEastAsia" w:hAnsi="Times New Roman"/>
          <w:sz w:val="20"/>
          <w:szCs w:val="20"/>
          <w:lang w:eastAsia="zh-HK"/>
        </w:rPr>
        <w:t xml:space="preserve"> In our study, we calculate the MES on a quarterly basis for each insurer using its daily stock prices. </w:t>
      </w:r>
      <w:r w:rsidR="00860177">
        <w:rPr>
          <w:rFonts w:ascii="Times New Roman" w:eastAsiaTheme="minorEastAsia" w:hAnsi="Times New Roman"/>
          <w:sz w:val="20"/>
          <w:szCs w:val="20"/>
          <w:lang w:eastAsia="zh-HK"/>
        </w:rPr>
        <w:t>W</w:t>
      </w:r>
      <w:r>
        <w:rPr>
          <w:rFonts w:ascii="Times New Roman" w:eastAsiaTheme="minorEastAsia" w:hAnsi="Times New Roman"/>
          <w:sz w:val="20"/>
          <w:szCs w:val="20"/>
          <w:lang w:eastAsia="zh-HK"/>
        </w:rPr>
        <w:t xml:space="preserve">e </w:t>
      </w:r>
      <w:r w:rsidR="00860177">
        <w:rPr>
          <w:rFonts w:ascii="Times New Roman" w:eastAsiaTheme="minorEastAsia" w:hAnsi="Times New Roman"/>
          <w:sz w:val="20"/>
          <w:szCs w:val="20"/>
          <w:lang w:eastAsia="zh-HK"/>
        </w:rPr>
        <w:t>choose</w:t>
      </w:r>
      <w:r>
        <w:rPr>
          <w:rFonts w:ascii="Times New Roman" w:eastAsiaTheme="minorEastAsia" w:hAnsi="Times New Roman"/>
          <w:sz w:val="20"/>
          <w:szCs w:val="20"/>
          <w:lang w:eastAsia="zh-HK"/>
        </w:rPr>
        <w:t xml:space="preserve"> the World </w:t>
      </w:r>
      <w:proofErr w:type="spellStart"/>
      <w:r>
        <w:rPr>
          <w:rFonts w:ascii="Times New Roman" w:eastAsiaTheme="minorEastAsia" w:hAnsi="Times New Roman"/>
          <w:sz w:val="20"/>
          <w:szCs w:val="20"/>
          <w:lang w:eastAsia="zh-HK"/>
        </w:rPr>
        <w:t>Datastream</w:t>
      </w:r>
      <w:proofErr w:type="spellEnd"/>
      <w:r>
        <w:rPr>
          <w:rFonts w:ascii="Times New Roman" w:eastAsiaTheme="minorEastAsia" w:hAnsi="Times New Roman"/>
          <w:sz w:val="20"/>
          <w:szCs w:val="20"/>
          <w:lang w:eastAsia="zh-HK"/>
        </w:rPr>
        <w:t xml:space="preserve"> Financial Index as our proxy for market index. </w:t>
      </w:r>
      <w:r w:rsidR="00860177">
        <w:rPr>
          <w:rFonts w:ascii="Times New Roman" w:eastAsiaTheme="minorEastAsia" w:hAnsi="Times New Roman"/>
          <w:sz w:val="20"/>
          <w:szCs w:val="20"/>
          <w:lang w:eastAsia="zh-HK"/>
        </w:rPr>
        <w:t xml:space="preserve">In </w:t>
      </w:r>
      <w:r w:rsidR="000C26A1">
        <w:rPr>
          <w:rFonts w:ascii="Times New Roman" w:eastAsiaTheme="minorEastAsia" w:hAnsi="Times New Roman"/>
          <w:sz w:val="20"/>
          <w:szCs w:val="20"/>
          <w:lang w:eastAsia="zh-HK"/>
        </w:rPr>
        <w:t>s</w:t>
      </w:r>
      <w:r w:rsidR="005D3AC0">
        <w:rPr>
          <w:rFonts w:ascii="Times New Roman" w:eastAsiaTheme="minorEastAsia" w:hAnsi="Times New Roman"/>
          <w:sz w:val="20"/>
          <w:szCs w:val="20"/>
          <w:lang w:eastAsia="zh-HK"/>
        </w:rPr>
        <w:t>ection 4.1</w:t>
      </w:r>
      <w:r w:rsidR="00860177">
        <w:rPr>
          <w:rFonts w:ascii="Times New Roman" w:eastAsiaTheme="minorEastAsia" w:hAnsi="Times New Roman"/>
          <w:sz w:val="20"/>
          <w:szCs w:val="20"/>
          <w:lang w:eastAsia="zh-HK"/>
        </w:rPr>
        <w:t xml:space="preserve">, we will replace the World </w:t>
      </w:r>
      <w:proofErr w:type="spellStart"/>
      <w:r w:rsidR="00860177">
        <w:rPr>
          <w:rFonts w:ascii="Times New Roman" w:eastAsiaTheme="minorEastAsia" w:hAnsi="Times New Roman"/>
          <w:sz w:val="20"/>
          <w:szCs w:val="20"/>
          <w:lang w:eastAsia="zh-HK"/>
        </w:rPr>
        <w:t>Datastream</w:t>
      </w:r>
      <w:proofErr w:type="spellEnd"/>
      <w:r w:rsidR="00860177">
        <w:rPr>
          <w:rFonts w:ascii="Times New Roman" w:eastAsiaTheme="minorEastAsia" w:hAnsi="Times New Roman"/>
          <w:sz w:val="20"/>
          <w:szCs w:val="20"/>
          <w:lang w:eastAsia="zh-HK"/>
        </w:rPr>
        <w:t xml:space="preserve"> Financial </w:t>
      </w:r>
      <w:r w:rsidR="00860177">
        <w:rPr>
          <w:rFonts w:ascii="Times New Roman" w:eastAsiaTheme="minorEastAsia" w:hAnsi="Times New Roman" w:hint="eastAsia"/>
          <w:sz w:val="20"/>
          <w:szCs w:val="20"/>
          <w:lang w:eastAsia="zh-TW"/>
        </w:rPr>
        <w:t>I</w:t>
      </w:r>
      <w:r w:rsidR="00860177">
        <w:rPr>
          <w:rFonts w:ascii="Times New Roman" w:eastAsiaTheme="minorEastAsia" w:hAnsi="Times New Roman" w:hint="eastAsia"/>
          <w:sz w:val="20"/>
          <w:szCs w:val="20"/>
          <w:lang w:eastAsia="zh-HK"/>
        </w:rPr>
        <w:t xml:space="preserve">ndex with the </w:t>
      </w:r>
      <w:r w:rsidR="00860177">
        <w:rPr>
          <w:rFonts w:ascii="Times New Roman" w:eastAsiaTheme="minorEastAsia" w:hAnsi="Times New Roman"/>
          <w:sz w:val="20"/>
          <w:szCs w:val="20"/>
          <w:lang w:eastAsia="zh-HK"/>
        </w:rPr>
        <w:t xml:space="preserve">World </w:t>
      </w:r>
      <w:proofErr w:type="spellStart"/>
      <w:r w:rsidR="00860177">
        <w:rPr>
          <w:rFonts w:ascii="Times New Roman" w:eastAsiaTheme="minorEastAsia" w:hAnsi="Times New Roman"/>
          <w:sz w:val="20"/>
          <w:szCs w:val="20"/>
          <w:lang w:eastAsia="zh-HK"/>
        </w:rPr>
        <w:t>Datastream</w:t>
      </w:r>
      <w:proofErr w:type="spellEnd"/>
      <w:r w:rsidR="00860177">
        <w:rPr>
          <w:rFonts w:ascii="Times New Roman" w:eastAsiaTheme="minorEastAsia" w:hAnsi="Times New Roman"/>
          <w:sz w:val="20"/>
          <w:szCs w:val="20"/>
          <w:lang w:eastAsia="zh-HK"/>
        </w:rPr>
        <w:t xml:space="preserve"> Market Index, World </w:t>
      </w:r>
      <w:proofErr w:type="spellStart"/>
      <w:r w:rsidR="00860177">
        <w:rPr>
          <w:rFonts w:ascii="Times New Roman" w:eastAsiaTheme="minorEastAsia" w:hAnsi="Times New Roman"/>
          <w:sz w:val="20"/>
          <w:szCs w:val="20"/>
          <w:lang w:eastAsia="zh-HK"/>
        </w:rPr>
        <w:t>Datastream</w:t>
      </w:r>
      <w:proofErr w:type="spellEnd"/>
      <w:r w:rsidR="00860177">
        <w:rPr>
          <w:rFonts w:ascii="Times New Roman" w:eastAsiaTheme="minorEastAsia" w:hAnsi="Times New Roman"/>
          <w:sz w:val="20"/>
          <w:szCs w:val="20"/>
          <w:lang w:eastAsia="zh-HK"/>
        </w:rPr>
        <w:t xml:space="preserve"> Bank Index, and World </w:t>
      </w:r>
      <w:proofErr w:type="spellStart"/>
      <w:r w:rsidR="00860177">
        <w:rPr>
          <w:rFonts w:ascii="Times New Roman" w:eastAsiaTheme="minorEastAsia" w:hAnsi="Times New Roman"/>
          <w:sz w:val="20"/>
          <w:szCs w:val="20"/>
          <w:lang w:eastAsia="zh-HK"/>
        </w:rPr>
        <w:t>Datastream</w:t>
      </w:r>
      <w:proofErr w:type="spellEnd"/>
      <w:r w:rsidR="00860177">
        <w:rPr>
          <w:rFonts w:ascii="Times New Roman" w:eastAsiaTheme="minorEastAsia" w:hAnsi="Times New Roman"/>
          <w:sz w:val="20"/>
          <w:szCs w:val="20"/>
          <w:lang w:eastAsia="zh-HK"/>
        </w:rPr>
        <w:t xml:space="preserve"> Insurance Index for robustness check.</w:t>
      </w:r>
      <w:r w:rsidR="00860177">
        <w:rPr>
          <w:rFonts w:ascii="Times New Roman" w:eastAsia="PMingLiU" w:hAnsi="Times New Roman"/>
          <w:sz w:val="20"/>
          <w:szCs w:val="20"/>
          <w:lang w:eastAsia="zh-HK"/>
        </w:rPr>
        <w:t xml:space="preserve"> </w:t>
      </w:r>
      <w:r w:rsidR="00E775F0">
        <w:rPr>
          <w:rFonts w:ascii="Times New Roman" w:eastAsia="PMingLiU" w:hAnsi="Times New Roman"/>
          <w:sz w:val="20"/>
          <w:szCs w:val="20"/>
          <w:lang w:eastAsia="zh-HK"/>
        </w:rPr>
        <w:t xml:space="preserve">Following </w:t>
      </w:r>
      <w:r w:rsidR="00E775F0">
        <w:rPr>
          <w:rFonts w:ascii="Times New Roman" w:eastAsiaTheme="minorEastAsia" w:hAnsi="Times New Roman"/>
          <w:sz w:val="20"/>
          <w:szCs w:val="20"/>
          <w:lang w:eastAsia="zh-HK"/>
        </w:rPr>
        <w:t xml:space="preserve">Weiβ and </w:t>
      </w:r>
      <w:proofErr w:type="spellStart"/>
      <w:r w:rsidR="00E775F0" w:rsidRPr="00A22DBD">
        <w:rPr>
          <w:rFonts w:ascii="Times New Roman" w:eastAsiaTheme="minorEastAsia" w:hAnsi="Times New Roman"/>
          <w:sz w:val="20"/>
          <w:szCs w:val="20"/>
          <w:lang w:eastAsia="zh-HK"/>
        </w:rPr>
        <w:t>Mühlnickel</w:t>
      </w:r>
      <w:proofErr w:type="spellEnd"/>
      <w:r w:rsidR="00E775F0">
        <w:rPr>
          <w:rFonts w:ascii="Times New Roman" w:eastAsiaTheme="minorEastAsia" w:hAnsi="Times New Roman"/>
          <w:sz w:val="20"/>
          <w:szCs w:val="20"/>
          <w:lang w:eastAsia="zh-HK"/>
        </w:rPr>
        <w:t xml:space="preserve"> (2014) and </w:t>
      </w:r>
      <w:proofErr w:type="spellStart"/>
      <w:r w:rsidR="00E775F0">
        <w:rPr>
          <w:rFonts w:ascii="Times New Roman" w:eastAsiaTheme="minorEastAsia" w:hAnsi="Times New Roman"/>
          <w:sz w:val="20"/>
          <w:szCs w:val="20"/>
          <w:lang w:eastAsia="zh-HK"/>
        </w:rPr>
        <w:t>Bierth</w:t>
      </w:r>
      <w:proofErr w:type="spellEnd"/>
      <w:r w:rsidR="00E775F0">
        <w:rPr>
          <w:rFonts w:ascii="Times New Roman" w:eastAsiaTheme="minorEastAsia" w:hAnsi="Times New Roman"/>
          <w:sz w:val="20"/>
          <w:szCs w:val="20"/>
          <w:lang w:eastAsia="zh-HK"/>
        </w:rPr>
        <w:t xml:space="preserve"> </w:t>
      </w:r>
      <w:r w:rsidR="00E775F0" w:rsidRPr="00D957C6">
        <w:rPr>
          <w:rFonts w:ascii="Times New Roman" w:eastAsiaTheme="minorEastAsia" w:hAnsi="Times New Roman"/>
          <w:i/>
          <w:sz w:val="20"/>
          <w:szCs w:val="20"/>
          <w:lang w:eastAsia="zh-HK"/>
        </w:rPr>
        <w:t>et al.</w:t>
      </w:r>
      <w:r w:rsidR="00E775F0">
        <w:rPr>
          <w:rFonts w:ascii="Times New Roman" w:eastAsiaTheme="minorEastAsia" w:hAnsi="Times New Roman"/>
          <w:sz w:val="20"/>
          <w:szCs w:val="20"/>
          <w:lang w:eastAsia="zh-HK"/>
        </w:rPr>
        <w:t xml:space="preserve"> (2015)</w:t>
      </w:r>
      <w:r w:rsidR="00E775F0">
        <w:rPr>
          <w:rFonts w:ascii="Times New Roman" w:eastAsia="PMingLiU" w:hAnsi="Times New Roman"/>
          <w:sz w:val="20"/>
          <w:szCs w:val="20"/>
          <w:lang w:eastAsia="zh-HK"/>
        </w:rPr>
        <w:t xml:space="preserve">, we choose </w:t>
      </w:r>
      <w:r w:rsidR="00E775F0" w:rsidRPr="00C83C5B">
        <w:rPr>
          <w:rFonts w:ascii="Times New Roman" w:eastAsia="PMingLiU" w:hAnsi="Times New Roman"/>
          <w:i/>
          <w:sz w:val="20"/>
          <w:szCs w:val="20"/>
          <w:lang w:eastAsia="zh-HK"/>
        </w:rPr>
        <w:t>α</w:t>
      </w:r>
      <w:r w:rsidR="00E775F0">
        <w:rPr>
          <w:rFonts w:ascii="Times New Roman" w:eastAsia="PMingLiU" w:hAnsi="Times New Roman"/>
          <w:sz w:val="20"/>
          <w:szCs w:val="20"/>
          <w:lang w:eastAsia="zh-HK"/>
        </w:rPr>
        <w:t xml:space="preserve"> to be 5.</w:t>
      </w:r>
      <w:r w:rsidR="00604D67">
        <w:rPr>
          <w:rFonts w:ascii="Times New Roman" w:eastAsia="PMingLiU" w:hAnsi="Times New Roman"/>
          <w:sz w:val="20"/>
          <w:szCs w:val="20"/>
          <w:lang w:eastAsia="zh-HK"/>
        </w:rPr>
        <w:t xml:space="preserve"> A higher value of MES </w:t>
      </w:r>
      <w:r w:rsidR="00C10425">
        <w:rPr>
          <w:rFonts w:ascii="Times New Roman" w:eastAsia="PMingLiU" w:hAnsi="Times New Roman"/>
          <w:sz w:val="20"/>
          <w:szCs w:val="20"/>
          <w:lang w:eastAsia="zh-HK"/>
        </w:rPr>
        <w:t>represents</w:t>
      </w:r>
      <w:r w:rsidR="00604D67">
        <w:rPr>
          <w:rFonts w:ascii="Times New Roman" w:eastAsia="PMingLiU" w:hAnsi="Times New Roman"/>
          <w:sz w:val="20"/>
          <w:szCs w:val="20"/>
          <w:lang w:eastAsia="zh-HK"/>
        </w:rPr>
        <w:t xml:space="preserve"> more systemic risk</w:t>
      </w:r>
      <w:r w:rsidR="00495588">
        <w:rPr>
          <w:rFonts w:ascii="Times New Roman" w:eastAsia="PMingLiU" w:hAnsi="Times New Roman"/>
          <w:sz w:val="20"/>
          <w:szCs w:val="20"/>
          <w:lang w:eastAsia="zh-HK"/>
        </w:rPr>
        <w:t>s</w:t>
      </w:r>
      <w:r w:rsidR="00604D67">
        <w:rPr>
          <w:rFonts w:ascii="Times New Roman" w:eastAsia="PMingLiU" w:hAnsi="Times New Roman"/>
          <w:sz w:val="20"/>
          <w:szCs w:val="20"/>
          <w:lang w:eastAsia="zh-HK"/>
        </w:rPr>
        <w:t>.</w:t>
      </w:r>
      <w:r w:rsidR="00656DC9">
        <w:rPr>
          <w:rFonts w:ascii="Times New Roman" w:eastAsia="PMingLiU" w:hAnsi="Times New Roman"/>
          <w:sz w:val="20"/>
          <w:szCs w:val="20"/>
          <w:lang w:eastAsia="zh-HK"/>
        </w:rPr>
        <w:t xml:space="preserve"> Although the </w:t>
      </w:r>
      <w:r w:rsidR="00BD6791">
        <w:rPr>
          <w:rFonts w:ascii="Times New Roman" w:eastAsia="PMingLiU" w:hAnsi="Times New Roman"/>
          <w:sz w:val="20"/>
          <w:szCs w:val="20"/>
          <w:lang w:eastAsia="zh-HK"/>
        </w:rPr>
        <w:t>MES measure is relatively easy</w:t>
      </w:r>
      <w:r w:rsidR="00656DC9">
        <w:rPr>
          <w:rFonts w:ascii="Times New Roman" w:eastAsia="PMingLiU" w:hAnsi="Times New Roman"/>
          <w:sz w:val="20"/>
          <w:szCs w:val="20"/>
          <w:lang w:eastAsia="zh-HK"/>
        </w:rPr>
        <w:t xml:space="preserve"> to construct and interpret, </w:t>
      </w:r>
      <w:r w:rsidR="00425765">
        <w:rPr>
          <w:rFonts w:ascii="Times New Roman" w:eastAsia="PMingLiU" w:hAnsi="Times New Roman"/>
          <w:sz w:val="20"/>
          <w:szCs w:val="20"/>
          <w:lang w:eastAsia="zh-HK"/>
        </w:rPr>
        <w:t xml:space="preserve">it only measures how much an insurer is exposed to a financial crisis, but does not measure how much an </w:t>
      </w:r>
      <w:r w:rsidR="00425765">
        <w:rPr>
          <w:rFonts w:ascii="Times New Roman" w:eastAsia="PMingLiU" w:hAnsi="Times New Roman"/>
          <w:sz w:val="20"/>
          <w:szCs w:val="20"/>
          <w:lang w:eastAsia="zh-HK"/>
        </w:rPr>
        <w:lastRenderedPageBreak/>
        <w:t>insurer contributes to a crisis</w:t>
      </w:r>
      <w:r w:rsidR="00327A1F">
        <w:rPr>
          <w:rFonts w:ascii="Times New Roman" w:eastAsia="PMingLiU" w:hAnsi="Times New Roman"/>
          <w:sz w:val="20"/>
          <w:szCs w:val="20"/>
          <w:lang w:eastAsia="zh-HK"/>
        </w:rPr>
        <w:t xml:space="preserve"> (</w:t>
      </w:r>
      <w:r w:rsidR="00327A1F">
        <w:rPr>
          <w:rFonts w:ascii="Times New Roman" w:eastAsiaTheme="minorEastAsia" w:hAnsi="Times New Roman"/>
          <w:sz w:val="20"/>
          <w:szCs w:val="20"/>
          <w:lang w:eastAsia="zh-HK"/>
        </w:rPr>
        <w:t xml:space="preserve">Adrian and </w:t>
      </w:r>
      <w:proofErr w:type="spellStart"/>
      <w:r w:rsidR="00327A1F">
        <w:rPr>
          <w:rFonts w:ascii="Times New Roman" w:eastAsiaTheme="minorEastAsia" w:hAnsi="Times New Roman"/>
          <w:sz w:val="20"/>
          <w:szCs w:val="20"/>
          <w:lang w:eastAsia="zh-HK"/>
        </w:rPr>
        <w:t>Brunnermeier</w:t>
      </w:r>
      <w:proofErr w:type="spellEnd"/>
      <w:r w:rsidR="00327A1F">
        <w:rPr>
          <w:rFonts w:ascii="Times New Roman" w:eastAsiaTheme="minorEastAsia" w:hAnsi="Times New Roman"/>
          <w:sz w:val="20"/>
          <w:szCs w:val="20"/>
          <w:lang w:eastAsia="zh-HK"/>
        </w:rPr>
        <w:t>, 2014)</w:t>
      </w:r>
      <w:r w:rsidR="00425765">
        <w:rPr>
          <w:rFonts w:ascii="Times New Roman" w:eastAsia="PMingLiU" w:hAnsi="Times New Roman"/>
          <w:sz w:val="20"/>
          <w:szCs w:val="20"/>
          <w:lang w:eastAsia="zh-HK"/>
        </w:rPr>
        <w:t xml:space="preserve">. Hence, we also use SRISK and </w:t>
      </w:r>
      <w:proofErr w:type="spellStart"/>
      <w:r w:rsidR="00425765" w:rsidRPr="00C6276D">
        <w:rPr>
          <w:rFonts w:ascii="Times New Roman" w:eastAsia="PMingLiU" w:hAnsi="Times New Roman"/>
          <w:sz w:val="20"/>
          <w:szCs w:val="20"/>
          <w:lang w:eastAsia="zh-HK"/>
        </w:rPr>
        <w:t>Δ</w:t>
      </w:r>
      <w:r w:rsidR="00425765">
        <w:rPr>
          <w:rFonts w:ascii="Times New Roman" w:eastAsiaTheme="minorEastAsia" w:hAnsi="Times New Roman"/>
          <w:sz w:val="20"/>
          <w:szCs w:val="20"/>
          <w:lang w:eastAsia="zh-HK"/>
        </w:rPr>
        <w:t>CoVAR</w:t>
      </w:r>
      <w:proofErr w:type="spellEnd"/>
      <w:r w:rsidR="00425765">
        <w:rPr>
          <w:rFonts w:ascii="Times New Roman" w:eastAsiaTheme="minorEastAsia" w:hAnsi="Times New Roman"/>
          <w:sz w:val="20"/>
          <w:szCs w:val="20"/>
          <w:lang w:eastAsia="zh-HK"/>
        </w:rPr>
        <w:t xml:space="preserve"> as alternative measures for systemic risk</w:t>
      </w:r>
      <w:r w:rsidR="00C83C5B">
        <w:rPr>
          <w:rFonts w:ascii="Times New Roman" w:eastAsiaTheme="minorEastAsia" w:hAnsi="Times New Roman"/>
          <w:sz w:val="20"/>
          <w:szCs w:val="20"/>
          <w:lang w:eastAsia="zh-HK"/>
        </w:rPr>
        <w:t>s</w:t>
      </w:r>
      <w:r w:rsidR="00425765">
        <w:rPr>
          <w:rFonts w:ascii="Times New Roman" w:eastAsiaTheme="minorEastAsia" w:hAnsi="Times New Roman"/>
          <w:sz w:val="20"/>
          <w:szCs w:val="20"/>
          <w:lang w:eastAsia="zh-HK"/>
        </w:rPr>
        <w:t>.</w:t>
      </w:r>
    </w:p>
    <w:p w14:paraId="448B6972" w14:textId="0CD4CA7B" w:rsidR="00425765" w:rsidRPr="00425765" w:rsidRDefault="00425765" w:rsidP="00BA3FFD">
      <w:pPr>
        <w:spacing w:after="0" w:line="260" w:lineRule="exact"/>
        <w:jc w:val="both"/>
        <w:rPr>
          <w:rFonts w:ascii="Times New Roman" w:eastAsiaTheme="minorEastAsia" w:hAnsi="Times New Roman"/>
          <w:sz w:val="20"/>
          <w:szCs w:val="20"/>
          <w:lang w:eastAsia="zh-HK"/>
        </w:rPr>
      </w:pPr>
    </w:p>
    <w:p w14:paraId="5A68758C" w14:textId="4E1D2AB6" w:rsidR="00425765" w:rsidRPr="00425765" w:rsidRDefault="00425765" w:rsidP="00BA3FFD">
      <w:pPr>
        <w:spacing w:after="0" w:line="260" w:lineRule="exact"/>
        <w:jc w:val="both"/>
        <w:rPr>
          <w:rFonts w:ascii="Times New Roman" w:eastAsia="PMingLiU" w:hAnsi="Times New Roman"/>
          <w:sz w:val="20"/>
          <w:szCs w:val="20"/>
          <w:u w:val="single"/>
          <w:lang w:eastAsia="zh-HK"/>
        </w:rPr>
      </w:pPr>
      <w:r w:rsidRPr="00425765">
        <w:rPr>
          <w:rFonts w:ascii="Times New Roman" w:eastAsia="PMingLiU" w:hAnsi="Times New Roman" w:hint="eastAsia"/>
          <w:sz w:val="20"/>
          <w:szCs w:val="20"/>
          <w:u w:val="single"/>
          <w:lang w:eastAsia="zh-HK"/>
        </w:rPr>
        <w:t>SRISK</w:t>
      </w:r>
    </w:p>
    <w:p w14:paraId="2578812E" w14:textId="639FB63B" w:rsidR="00604D67" w:rsidRDefault="00327A1F"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Acharya </w:t>
      </w:r>
      <w:r w:rsidRPr="00F158B6">
        <w:rPr>
          <w:rFonts w:ascii="Times New Roman" w:eastAsiaTheme="minorEastAsia" w:hAnsi="Times New Roman"/>
          <w:i/>
          <w:sz w:val="20"/>
          <w:szCs w:val="20"/>
          <w:lang w:eastAsia="zh-HK"/>
        </w:rPr>
        <w:t xml:space="preserve">et al. </w:t>
      </w:r>
      <w:r>
        <w:rPr>
          <w:rFonts w:ascii="Times New Roman" w:eastAsiaTheme="minorEastAsia" w:hAnsi="Times New Roman"/>
          <w:sz w:val="20"/>
          <w:szCs w:val="20"/>
          <w:lang w:eastAsia="zh-HK"/>
        </w:rPr>
        <w:t>(2012)</w:t>
      </w:r>
      <w:r w:rsidR="00066BB7">
        <w:rPr>
          <w:rFonts w:ascii="Times New Roman" w:eastAsiaTheme="minorEastAsia" w:hAnsi="Times New Roman"/>
          <w:sz w:val="20"/>
          <w:szCs w:val="20"/>
          <w:lang w:eastAsia="zh-HK"/>
        </w:rPr>
        <w:t xml:space="preserve"> defines SRISK as the expected capital shortfall of a firm during financial crisis. Mathematically, SRISK can be expressed as:</w:t>
      </w:r>
    </w:p>
    <w:p w14:paraId="011EEC20" w14:textId="44BBEBF1" w:rsidR="003A2E7B" w:rsidRDefault="003A2E7B" w:rsidP="00BA3FFD">
      <w:pPr>
        <w:spacing w:after="0" w:line="260" w:lineRule="exact"/>
        <w:jc w:val="both"/>
        <w:rPr>
          <w:rFonts w:ascii="Times New Roman" w:eastAsiaTheme="minorEastAsia" w:hAnsi="Times New Roman"/>
          <w:sz w:val="20"/>
          <w:szCs w:val="20"/>
          <w:lang w:eastAsia="zh-HK"/>
        </w:rPr>
      </w:pPr>
    </w:p>
    <w:p w14:paraId="785750D8" w14:textId="7B6BCBFD" w:rsidR="003A2E7B" w:rsidRDefault="003A2E7B" w:rsidP="009C74D3">
      <w:pPr>
        <w:spacing w:after="0" w:line="260" w:lineRule="exact"/>
        <w:ind w:firstLineChars="1100" w:firstLine="2200"/>
        <w:jc w:val="both"/>
        <w:rPr>
          <w:rFonts w:ascii="Times New Roman" w:eastAsiaTheme="minorEastAsia" w:hAnsi="Times New Roman"/>
          <w:sz w:val="20"/>
          <w:szCs w:val="20"/>
          <w:lang w:eastAsia="zh-HK"/>
        </w:rPr>
      </w:pPr>
      <w:proofErr w:type="spellStart"/>
      <w:r w:rsidRPr="00C83C5B">
        <w:rPr>
          <w:rFonts w:ascii="Times New Roman" w:eastAsiaTheme="minorEastAsia" w:hAnsi="Times New Roman"/>
          <w:i/>
          <w:sz w:val="20"/>
          <w:szCs w:val="20"/>
          <w:lang w:eastAsia="zh-HK"/>
        </w:rPr>
        <w:t>SRISK</w:t>
      </w:r>
      <w:r w:rsidRPr="00C83C5B">
        <w:rPr>
          <w:rFonts w:ascii="Times New Roman" w:eastAsiaTheme="minorEastAsia" w:hAnsi="Times New Roman"/>
          <w:i/>
          <w:sz w:val="20"/>
          <w:szCs w:val="20"/>
          <w:vertAlign w:val="subscript"/>
          <w:lang w:eastAsia="zh-HK"/>
        </w:rPr>
        <w:t>i</w:t>
      </w:r>
      <w:proofErr w:type="spellEnd"/>
      <w:r w:rsidRPr="00C83C5B">
        <w:rPr>
          <w:rFonts w:ascii="Times New Roman" w:eastAsiaTheme="minorEastAsia" w:hAnsi="Times New Roman"/>
          <w:i/>
          <w:sz w:val="20"/>
          <w:szCs w:val="20"/>
          <w:lang w:eastAsia="zh-HK"/>
        </w:rPr>
        <w:t xml:space="preserve"> = E [Capital </w:t>
      </w:r>
      <w:proofErr w:type="spellStart"/>
      <w:r w:rsidRPr="00C83C5B">
        <w:rPr>
          <w:rFonts w:ascii="Times New Roman" w:eastAsiaTheme="minorEastAsia" w:hAnsi="Times New Roman"/>
          <w:i/>
          <w:sz w:val="20"/>
          <w:szCs w:val="20"/>
          <w:lang w:eastAsia="zh-HK"/>
        </w:rPr>
        <w:t>Shortfall</w:t>
      </w:r>
      <w:r w:rsidRPr="00C83C5B">
        <w:rPr>
          <w:rFonts w:ascii="Times New Roman" w:eastAsiaTheme="minorEastAsia" w:hAnsi="Times New Roman"/>
          <w:i/>
          <w:sz w:val="20"/>
          <w:szCs w:val="20"/>
          <w:vertAlign w:val="subscript"/>
          <w:lang w:eastAsia="zh-HK"/>
        </w:rPr>
        <w:t>i</w:t>
      </w:r>
      <w:proofErr w:type="spellEnd"/>
      <w:r w:rsidRPr="00C83C5B">
        <w:rPr>
          <w:rFonts w:ascii="Times New Roman" w:eastAsiaTheme="minorEastAsia" w:hAnsi="Times New Roman"/>
          <w:i/>
          <w:sz w:val="20"/>
          <w:szCs w:val="20"/>
          <w:lang w:eastAsia="zh-HK"/>
        </w:rPr>
        <w:t xml:space="preserve"> | Crisis] </w:t>
      </w:r>
      <w:r>
        <w:rPr>
          <w:rFonts w:ascii="Times New Roman" w:eastAsiaTheme="minorEastAsia" w:hAnsi="Times New Roman"/>
          <w:sz w:val="20"/>
          <w:szCs w:val="20"/>
          <w:lang w:eastAsia="zh-HK"/>
        </w:rPr>
        <w:t xml:space="preserve">               (2)</w:t>
      </w:r>
    </w:p>
    <w:p w14:paraId="717D9F98" w14:textId="309800B4" w:rsidR="003A2E7B" w:rsidRDefault="003A2E7B" w:rsidP="003A2E7B">
      <w:pPr>
        <w:spacing w:after="0" w:line="260" w:lineRule="exact"/>
        <w:rPr>
          <w:rFonts w:ascii="Times New Roman" w:eastAsiaTheme="minorEastAsia" w:hAnsi="Times New Roman"/>
          <w:sz w:val="20"/>
          <w:szCs w:val="20"/>
          <w:lang w:eastAsia="zh-HK"/>
        </w:rPr>
      </w:pPr>
    </w:p>
    <w:p w14:paraId="525FC0DF" w14:textId="2CC293C0" w:rsidR="003A2E7B" w:rsidRDefault="003A2E7B" w:rsidP="009C74D3">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where</w:t>
      </w:r>
      <w:r w:rsidRPr="003A2E7B">
        <w:rPr>
          <w:rFonts w:ascii="Times New Roman" w:eastAsiaTheme="minorEastAsia" w:hAnsi="Times New Roman"/>
          <w:sz w:val="20"/>
          <w:szCs w:val="20"/>
          <w:lang w:eastAsia="zh-HK"/>
        </w:rPr>
        <w:t xml:space="preserve"> </w:t>
      </w:r>
      <w:proofErr w:type="spellStart"/>
      <w:r w:rsidRPr="00C83C5B">
        <w:rPr>
          <w:rFonts w:ascii="Times New Roman" w:eastAsiaTheme="minorEastAsia" w:hAnsi="Times New Roman"/>
          <w:i/>
          <w:sz w:val="20"/>
          <w:szCs w:val="20"/>
          <w:lang w:eastAsia="zh-HK"/>
        </w:rPr>
        <w:t>SRISK</w:t>
      </w:r>
      <w:r w:rsidRPr="00C83C5B">
        <w:rPr>
          <w:rFonts w:ascii="Times New Roman" w:eastAsiaTheme="minorEastAsia" w:hAnsi="Times New Roman"/>
          <w:i/>
          <w:sz w:val="20"/>
          <w:szCs w:val="20"/>
          <w:vertAlign w:val="subscript"/>
          <w:lang w:eastAsia="zh-HK"/>
        </w:rPr>
        <w:t>i</w:t>
      </w:r>
      <w:proofErr w:type="spellEnd"/>
      <w:r w:rsidRPr="00C83C5B">
        <w:rPr>
          <w:rFonts w:ascii="Times New Roman" w:eastAsiaTheme="minorEastAsia" w:hAnsi="Times New Roman"/>
          <w:i/>
          <w:sz w:val="20"/>
          <w:szCs w:val="20"/>
          <w:lang w:eastAsia="zh-HK"/>
        </w:rPr>
        <w:t xml:space="preserve"> </w:t>
      </w:r>
      <w:r>
        <w:rPr>
          <w:rFonts w:ascii="Times New Roman" w:eastAsiaTheme="minorEastAsia" w:hAnsi="Times New Roman"/>
          <w:sz w:val="20"/>
          <w:szCs w:val="20"/>
          <w:lang w:eastAsia="zh-HK"/>
        </w:rPr>
        <w:t xml:space="preserve">is the SRISK of firm </w:t>
      </w:r>
      <w:proofErr w:type="spellStart"/>
      <w:r w:rsidRPr="00C83C5B">
        <w:rPr>
          <w:rFonts w:ascii="Times New Roman" w:eastAsiaTheme="minorEastAsia" w:hAnsi="Times New Roman"/>
          <w:i/>
          <w:sz w:val="20"/>
          <w:szCs w:val="20"/>
          <w:lang w:eastAsia="zh-HK"/>
        </w:rPr>
        <w:t>i</w:t>
      </w:r>
      <w:proofErr w:type="spellEnd"/>
      <w:r>
        <w:rPr>
          <w:rFonts w:ascii="Times New Roman" w:eastAsiaTheme="minorEastAsia" w:hAnsi="Times New Roman"/>
          <w:sz w:val="20"/>
          <w:szCs w:val="20"/>
          <w:lang w:eastAsia="zh-HK"/>
        </w:rPr>
        <w:t xml:space="preserve">, and </w:t>
      </w:r>
      <w:r w:rsidRPr="00C83C5B">
        <w:rPr>
          <w:rFonts w:ascii="Times New Roman" w:eastAsiaTheme="minorEastAsia" w:hAnsi="Times New Roman"/>
          <w:i/>
          <w:sz w:val="20"/>
          <w:szCs w:val="20"/>
          <w:lang w:eastAsia="zh-HK"/>
        </w:rPr>
        <w:t xml:space="preserve">Capital </w:t>
      </w:r>
      <w:proofErr w:type="spellStart"/>
      <w:r w:rsidRPr="00C83C5B">
        <w:rPr>
          <w:rFonts w:ascii="Times New Roman" w:eastAsiaTheme="minorEastAsia" w:hAnsi="Times New Roman"/>
          <w:i/>
          <w:sz w:val="20"/>
          <w:szCs w:val="20"/>
          <w:lang w:eastAsia="zh-HK"/>
        </w:rPr>
        <w:t>Shortfall</w:t>
      </w:r>
      <w:r w:rsidRPr="00C83C5B">
        <w:rPr>
          <w:rFonts w:ascii="Times New Roman" w:eastAsiaTheme="minorEastAsia" w:hAnsi="Times New Roman"/>
          <w:i/>
          <w:sz w:val="20"/>
          <w:szCs w:val="20"/>
          <w:vertAlign w:val="subscript"/>
          <w:lang w:eastAsia="zh-HK"/>
        </w:rPr>
        <w:t>i</w:t>
      </w:r>
      <w:proofErr w:type="spellEnd"/>
      <w:r>
        <w:rPr>
          <w:rFonts w:ascii="Times New Roman" w:eastAsiaTheme="minorEastAsia" w:hAnsi="Times New Roman"/>
          <w:sz w:val="20"/>
          <w:szCs w:val="20"/>
          <w:lang w:eastAsia="zh-HK"/>
        </w:rPr>
        <w:t xml:space="preserve"> is the extra capital firm </w:t>
      </w:r>
      <w:proofErr w:type="spellStart"/>
      <w:r>
        <w:rPr>
          <w:rFonts w:ascii="Times New Roman" w:eastAsiaTheme="minorEastAsia" w:hAnsi="Times New Roman"/>
          <w:sz w:val="20"/>
          <w:szCs w:val="20"/>
          <w:lang w:eastAsia="zh-HK"/>
        </w:rPr>
        <w:t>i</w:t>
      </w:r>
      <w:proofErr w:type="spellEnd"/>
      <w:r>
        <w:rPr>
          <w:rFonts w:ascii="Times New Roman" w:eastAsiaTheme="minorEastAsia" w:hAnsi="Times New Roman"/>
          <w:sz w:val="20"/>
          <w:szCs w:val="20"/>
          <w:lang w:eastAsia="zh-HK"/>
        </w:rPr>
        <w:t xml:space="preserve"> needs.</w:t>
      </w:r>
      <w:r w:rsidR="00AD6905">
        <w:rPr>
          <w:rFonts w:ascii="Times New Roman" w:eastAsiaTheme="minorEastAsia" w:hAnsi="Times New Roman"/>
          <w:sz w:val="20"/>
          <w:szCs w:val="20"/>
          <w:lang w:eastAsia="zh-HK"/>
        </w:rPr>
        <w:t xml:space="preserve"> For empirical calculation of SRISK, Acharya </w:t>
      </w:r>
      <w:r w:rsidR="00AD6905" w:rsidRPr="00F158B6">
        <w:rPr>
          <w:rFonts w:ascii="Times New Roman" w:eastAsiaTheme="minorEastAsia" w:hAnsi="Times New Roman"/>
          <w:i/>
          <w:sz w:val="20"/>
          <w:szCs w:val="20"/>
          <w:lang w:eastAsia="zh-HK"/>
        </w:rPr>
        <w:t xml:space="preserve">et al. </w:t>
      </w:r>
      <w:r w:rsidR="00AD6905">
        <w:rPr>
          <w:rFonts w:ascii="Times New Roman" w:eastAsiaTheme="minorEastAsia" w:hAnsi="Times New Roman"/>
          <w:sz w:val="20"/>
          <w:szCs w:val="20"/>
          <w:lang w:eastAsia="zh-HK"/>
        </w:rPr>
        <w:t>(2012) further simplifies equation (2) as follows:</w:t>
      </w:r>
    </w:p>
    <w:p w14:paraId="3FAAF92D" w14:textId="7F5466A1" w:rsidR="00AD6905" w:rsidRDefault="00AD6905" w:rsidP="009C74D3">
      <w:pPr>
        <w:spacing w:after="0" w:line="260" w:lineRule="exact"/>
        <w:jc w:val="both"/>
        <w:rPr>
          <w:rFonts w:ascii="Times New Roman" w:eastAsiaTheme="minorEastAsia" w:hAnsi="Times New Roman"/>
          <w:sz w:val="20"/>
          <w:szCs w:val="20"/>
          <w:lang w:eastAsia="zh-HK"/>
        </w:rPr>
      </w:pPr>
    </w:p>
    <w:p w14:paraId="63F23356" w14:textId="4B3FCE99" w:rsidR="00AD6905" w:rsidRPr="00656DC9" w:rsidRDefault="00AD6905" w:rsidP="008D64D1">
      <w:pPr>
        <w:spacing w:after="0" w:line="260" w:lineRule="exact"/>
        <w:ind w:firstLineChars="800" w:firstLine="1600"/>
        <w:jc w:val="both"/>
        <w:rPr>
          <w:rFonts w:ascii="Times New Roman" w:eastAsia="PMingLiU" w:hAnsi="Times New Roman"/>
          <w:sz w:val="20"/>
          <w:szCs w:val="20"/>
          <w:lang w:eastAsia="zh-HK"/>
        </w:rPr>
      </w:pPr>
      <w:proofErr w:type="spellStart"/>
      <w:r w:rsidRPr="00C83C5B">
        <w:rPr>
          <w:rFonts w:ascii="Times New Roman" w:eastAsiaTheme="minorEastAsia" w:hAnsi="Times New Roman"/>
          <w:i/>
          <w:sz w:val="20"/>
          <w:szCs w:val="20"/>
          <w:lang w:eastAsia="zh-HK"/>
        </w:rPr>
        <w:t>SRISK</w:t>
      </w:r>
      <w:r w:rsidRPr="00C83C5B">
        <w:rPr>
          <w:rFonts w:ascii="Times New Roman" w:eastAsiaTheme="minorEastAsia" w:hAnsi="Times New Roman"/>
          <w:i/>
          <w:sz w:val="20"/>
          <w:szCs w:val="20"/>
          <w:vertAlign w:val="subscript"/>
          <w:lang w:eastAsia="zh-HK"/>
        </w:rPr>
        <w:t>i</w:t>
      </w:r>
      <w:proofErr w:type="spellEnd"/>
      <w:r w:rsidRPr="00C83C5B">
        <w:rPr>
          <w:rFonts w:ascii="Times New Roman" w:eastAsiaTheme="minorEastAsia" w:hAnsi="Times New Roman"/>
          <w:i/>
          <w:sz w:val="20"/>
          <w:szCs w:val="20"/>
          <w:lang w:eastAsia="zh-HK"/>
        </w:rPr>
        <w:t xml:space="preserve"> = k x </w:t>
      </w:r>
      <w:proofErr w:type="spellStart"/>
      <w:r w:rsidRPr="00C83C5B">
        <w:rPr>
          <w:rFonts w:ascii="Times New Roman" w:eastAsiaTheme="minorEastAsia" w:hAnsi="Times New Roman"/>
          <w:i/>
          <w:sz w:val="20"/>
          <w:szCs w:val="20"/>
          <w:lang w:eastAsia="zh-HK"/>
        </w:rPr>
        <w:t>Debt</w:t>
      </w:r>
      <w:r w:rsidRPr="00C83C5B">
        <w:rPr>
          <w:rFonts w:ascii="Times New Roman" w:eastAsiaTheme="minorEastAsia" w:hAnsi="Times New Roman"/>
          <w:i/>
          <w:sz w:val="20"/>
          <w:szCs w:val="20"/>
          <w:vertAlign w:val="subscript"/>
          <w:lang w:eastAsia="zh-HK"/>
        </w:rPr>
        <w:t>i</w:t>
      </w:r>
      <w:proofErr w:type="spellEnd"/>
      <w:r w:rsidRPr="00C83C5B">
        <w:rPr>
          <w:rFonts w:ascii="Times New Roman" w:eastAsiaTheme="minorEastAsia" w:hAnsi="Times New Roman"/>
          <w:i/>
          <w:sz w:val="20"/>
          <w:szCs w:val="20"/>
          <w:lang w:eastAsia="zh-HK"/>
        </w:rPr>
        <w:t xml:space="preserve"> </w:t>
      </w:r>
      <w:r w:rsidR="00BD6791" w:rsidRPr="00C83C5B">
        <w:rPr>
          <w:rFonts w:ascii="Times New Roman" w:eastAsiaTheme="minorEastAsia" w:hAnsi="Times New Roman"/>
          <w:i/>
          <w:sz w:val="20"/>
          <w:szCs w:val="20"/>
          <w:lang w:eastAsia="zh-HK"/>
        </w:rPr>
        <w:t xml:space="preserve">– (1 – k) x </w:t>
      </w:r>
      <w:proofErr w:type="spellStart"/>
      <w:proofErr w:type="gramStart"/>
      <w:r w:rsidR="00BD6791" w:rsidRPr="00C83C5B">
        <w:rPr>
          <w:rFonts w:ascii="Times New Roman" w:eastAsiaTheme="minorEastAsia" w:hAnsi="Times New Roman"/>
          <w:i/>
          <w:sz w:val="20"/>
          <w:szCs w:val="20"/>
          <w:lang w:eastAsia="zh-HK"/>
        </w:rPr>
        <w:t>exp</w:t>
      </w:r>
      <w:proofErr w:type="spellEnd"/>
      <w:r w:rsidR="00BD6791" w:rsidRPr="00C83C5B">
        <w:rPr>
          <w:rFonts w:ascii="Times New Roman" w:eastAsiaTheme="minorEastAsia" w:hAnsi="Times New Roman"/>
          <w:i/>
          <w:sz w:val="20"/>
          <w:szCs w:val="20"/>
          <w:lang w:eastAsia="zh-HK"/>
        </w:rPr>
        <w:t>(</w:t>
      </w:r>
      <w:proofErr w:type="gramEnd"/>
      <w:r w:rsidR="00BD6791" w:rsidRPr="00C83C5B">
        <w:rPr>
          <w:rFonts w:ascii="Times New Roman" w:eastAsiaTheme="minorEastAsia" w:hAnsi="Times New Roman"/>
          <w:i/>
          <w:sz w:val="20"/>
          <w:szCs w:val="20"/>
          <w:lang w:eastAsia="zh-HK"/>
        </w:rPr>
        <w:t xml:space="preserve">-18 x </w:t>
      </w:r>
      <w:proofErr w:type="spellStart"/>
      <w:r w:rsidR="00BD6791" w:rsidRPr="00C83C5B">
        <w:rPr>
          <w:rFonts w:ascii="Times New Roman" w:eastAsiaTheme="minorEastAsia" w:hAnsi="Times New Roman"/>
          <w:i/>
          <w:sz w:val="20"/>
          <w:szCs w:val="20"/>
          <w:lang w:eastAsia="zh-HK"/>
        </w:rPr>
        <w:t>MES</w:t>
      </w:r>
      <w:r w:rsidR="00BD6791" w:rsidRPr="00C83C5B">
        <w:rPr>
          <w:rFonts w:ascii="Times New Roman" w:eastAsiaTheme="minorEastAsia" w:hAnsi="Times New Roman"/>
          <w:i/>
          <w:sz w:val="20"/>
          <w:szCs w:val="20"/>
          <w:vertAlign w:val="subscript"/>
          <w:lang w:eastAsia="zh-HK"/>
        </w:rPr>
        <w:t>i</w:t>
      </w:r>
      <w:proofErr w:type="spellEnd"/>
      <w:r w:rsidR="00BD6791" w:rsidRPr="00C83C5B">
        <w:rPr>
          <w:rFonts w:ascii="Times New Roman" w:eastAsiaTheme="minorEastAsia" w:hAnsi="Times New Roman"/>
          <w:i/>
          <w:sz w:val="20"/>
          <w:szCs w:val="20"/>
          <w:lang w:eastAsia="zh-HK"/>
        </w:rPr>
        <w:t xml:space="preserve">) x </w:t>
      </w:r>
      <w:proofErr w:type="spellStart"/>
      <w:r w:rsidR="00BD6791" w:rsidRPr="00C83C5B">
        <w:rPr>
          <w:rFonts w:ascii="Times New Roman" w:eastAsiaTheme="minorEastAsia" w:hAnsi="Times New Roman"/>
          <w:i/>
          <w:sz w:val="20"/>
          <w:szCs w:val="20"/>
          <w:lang w:eastAsia="zh-HK"/>
        </w:rPr>
        <w:t>Equity</w:t>
      </w:r>
      <w:r w:rsidR="00BD6791" w:rsidRPr="00C83C5B">
        <w:rPr>
          <w:rFonts w:ascii="Times New Roman" w:eastAsiaTheme="minorEastAsia" w:hAnsi="Times New Roman"/>
          <w:i/>
          <w:sz w:val="20"/>
          <w:szCs w:val="20"/>
          <w:vertAlign w:val="subscript"/>
          <w:lang w:eastAsia="zh-HK"/>
        </w:rPr>
        <w:t>i</w:t>
      </w:r>
      <w:proofErr w:type="spellEnd"/>
      <w:r w:rsidR="008D64D1">
        <w:rPr>
          <w:rFonts w:ascii="Times New Roman" w:eastAsiaTheme="minorEastAsia" w:hAnsi="Times New Roman"/>
          <w:sz w:val="20"/>
          <w:szCs w:val="20"/>
          <w:lang w:eastAsia="zh-HK"/>
        </w:rPr>
        <w:t xml:space="preserve">       </w:t>
      </w:r>
      <w:r w:rsidR="00C83C5B">
        <w:rPr>
          <w:rFonts w:ascii="Times New Roman" w:eastAsiaTheme="minorEastAsia" w:hAnsi="Times New Roman"/>
          <w:sz w:val="20"/>
          <w:szCs w:val="20"/>
          <w:lang w:eastAsia="zh-HK"/>
        </w:rPr>
        <w:t xml:space="preserve">  </w:t>
      </w:r>
      <w:r w:rsidR="00BD6791">
        <w:rPr>
          <w:rFonts w:ascii="Times New Roman" w:eastAsiaTheme="minorEastAsia" w:hAnsi="Times New Roman"/>
          <w:sz w:val="20"/>
          <w:szCs w:val="20"/>
          <w:lang w:eastAsia="zh-HK"/>
        </w:rPr>
        <w:t>(3)</w:t>
      </w:r>
    </w:p>
    <w:p w14:paraId="2062D05E" w14:textId="77777777" w:rsidR="00604D67" w:rsidRDefault="00604D67" w:rsidP="00BA3FFD">
      <w:pPr>
        <w:spacing w:after="0" w:line="260" w:lineRule="exact"/>
        <w:jc w:val="both"/>
        <w:rPr>
          <w:rFonts w:ascii="Times New Roman" w:eastAsiaTheme="minorEastAsia" w:hAnsi="Times New Roman"/>
          <w:sz w:val="20"/>
          <w:szCs w:val="20"/>
          <w:lang w:eastAsia="zh-HK"/>
        </w:rPr>
      </w:pPr>
    </w:p>
    <w:p w14:paraId="0D3CEA90" w14:textId="677156E4" w:rsidR="00824EED" w:rsidRPr="00824EED" w:rsidRDefault="008D64D1"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w</w:t>
      </w:r>
      <w:r>
        <w:rPr>
          <w:rFonts w:ascii="Times New Roman" w:eastAsiaTheme="minorEastAsia" w:hAnsi="Times New Roman" w:hint="eastAsia"/>
          <w:sz w:val="20"/>
          <w:szCs w:val="20"/>
          <w:lang w:eastAsia="zh-HK"/>
        </w:rPr>
        <w:t xml:space="preserve">here </w:t>
      </w:r>
      <w:r w:rsidRPr="00C83C5B">
        <w:rPr>
          <w:rFonts w:ascii="Times New Roman" w:eastAsiaTheme="minorEastAsia" w:hAnsi="Times New Roman"/>
          <w:i/>
          <w:sz w:val="20"/>
          <w:szCs w:val="20"/>
          <w:lang w:eastAsia="zh-HK"/>
        </w:rPr>
        <w:t>k</w:t>
      </w:r>
      <w:r>
        <w:rPr>
          <w:rFonts w:ascii="Times New Roman" w:eastAsiaTheme="minorEastAsia" w:hAnsi="Times New Roman"/>
          <w:sz w:val="20"/>
          <w:szCs w:val="20"/>
          <w:lang w:eastAsia="zh-HK"/>
        </w:rPr>
        <w:t xml:space="preserve"> is a prudential capital ratio, </w:t>
      </w:r>
      <w:proofErr w:type="spellStart"/>
      <w:r w:rsidRPr="00C83C5B">
        <w:rPr>
          <w:rFonts w:ascii="Times New Roman" w:eastAsiaTheme="minorEastAsia" w:hAnsi="Times New Roman"/>
          <w:i/>
          <w:sz w:val="20"/>
          <w:szCs w:val="20"/>
          <w:lang w:eastAsia="zh-HK"/>
        </w:rPr>
        <w:t>Debt</w:t>
      </w:r>
      <w:r w:rsidRPr="00C83C5B">
        <w:rPr>
          <w:rFonts w:ascii="Times New Roman" w:eastAsiaTheme="minorEastAsia" w:hAnsi="Times New Roman"/>
          <w:i/>
          <w:sz w:val="20"/>
          <w:szCs w:val="20"/>
          <w:vertAlign w:val="subscript"/>
          <w:lang w:eastAsia="zh-HK"/>
        </w:rPr>
        <w:t>i</w:t>
      </w:r>
      <w:proofErr w:type="spellEnd"/>
      <w:r w:rsidRPr="00C83C5B">
        <w:rPr>
          <w:rFonts w:ascii="Times New Roman" w:eastAsiaTheme="minorEastAsia" w:hAnsi="Times New Roman"/>
          <w:i/>
          <w:sz w:val="20"/>
          <w:szCs w:val="20"/>
          <w:lang w:eastAsia="zh-HK"/>
        </w:rPr>
        <w:t xml:space="preserve"> </w:t>
      </w:r>
      <w:r>
        <w:rPr>
          <w:rFonts w:ascii="Times New Roman" w:eastAsiaTheme="minorEastAsia" w:hAnsi="Times New Roman"/>
          <w:sz w:val="20"/>
          <w:szCs w:val="20"/>
          <w:lang w:eastAsia="zh-HK"/>
        </w:rPr>
        <w:t xml:space="preserve">and </w:t>
      </w:r>
      <w:proofErr w:type="spellStart"/>
      <w:r w:rsidRPr="00C83C5B">
        <w:rPr>
          <w:rFonts w:ascii="Times New Roman" w:eastAsiaTheme="minorEastAsia" w:hAnsi="Times New Roman"/>
          <w:i/>
          <w:sz w:val="20"/>
          <w:szCs w:val="20"/>
          <w:lang w:eastAsia="zh-HK"/>
        </w:rPr>
        <w:t>Equity</w:t>
      </w:r>
      <w:r w:rsidRPr="00C83C5B">
        <w:rPr>
          <w:rFonts w:ascii="Times New Roman" w:eastAsiaTheme="minorEastAsia" w:hAnsi="Times New Roman"/>
          <w:i/>
          <w:sz w:val="20"/>
          <w:szCs w:val="20"/>
          <w:vertAlign w:val="subscript"/>
          <w:lang w:eastAsia="zh-HK"/>
        </w:rPr>
        <w:t>i</w:t>
      </w:r>
      <w:proofErr w:type="spellEnd"/>
      <w:r>
        <w:rPr>
          <w:rFonts w:ascii="Times New Roman" w:eastAsiaTheme="minorEastAsia" w:hAnsi="Times New Roman"/>
          <w:sz w:val="20"/>
          <w:szCs w:val="20"/>
          <w:lang w:eastAsia="zh-HK"/>
        </w:rPr>
        <w:t xml:space="preserve"> are debt and equity of firm </w:t>
      </w:r>
      <w:proofErr w:type="spellStart"/>
      <w:r w:rsidRPr="00C83C5B">
        <w:rPr>
          <w:rFonts w:ascii="Times New Roman" w:eastAsiaTheme="minorEastAsia" w:hAnsi="Times New Roman"/>
          <w:i/>
          <w:sz w:val="20"/>
          <w:szCs w:val="20"/>
          <w:lang w:eastAsia="zh-HK"/>
        </w:rPr>
        <w:t>i</w:t>
      </w:r>
      <w:proofErr w:type="spellEnd"/>
      <w:r>
        <w:rPr>
          <w:rFonts w:ascii="Times New Roman" w:eastAsiaTheme="minorEastAsia" w:hAnsi="Times New Roman"/>
          <w:sz w:val="20"/>
          <w:szCs w:val="20"/>
          <w:lang w:eastAsia="zh-HK"/>
        </w:rPr>
        <w:t xml:space="preserve"> respectively.</w:t>
      </w:r>
      <w:r w:rsidR="00C87362">
        <w:rPr>
          <w:rFonts w:ascii="Times New Roman" w:eastAsiaTheme="minorEastAsia" w:hAnsi="Times New Roman"/>
          <w:sz w:val="20"/>
          <w:szCs w:val="20"/>
          <w:lang w:eastAsia="zh-HK"/>
        </w:rPr>
        <w:t xml:space="preserve"> We follow Weiβ and </w:t>
      </w:r>
      <w:proofErr w:type="spellStart"/>
      <w:r w:rsidR="00C87362" w:rsidRPr="00A22DBD">
        <w:rPr>
          <w:rFonts w:ascii="Times New Roman" w:eastAsiaTheme="minorEastAsia" w:hAnsi="Times New Roman"/>
          <w:sz w:val="20"/>
          <w:szCs w:val="20"/>
          <w:lang w:eastAsia="zh-HK"/>
        </w:rPr>
        <w:t>Mühlnickel</w:t>
      </w:r>
      <w:proofErr w:type="spellEnd"/>
      <w:r w:rsidR="00C87362">
        <w:rPr>
          <w:rFonts w:ascii="Times New Roman" w:eastAsiaTheme="minorEastAsia" w:hAnsi="Times New Roman"/>
          <w:sz w:val="20"/>
          <w:szCs w:val="20"/>
          <w:lang w:eastAsia="zh-HK"/>
        </w:rPr>
        <w:t xml:space="preserve"> (2014) and </w:t>
      </w:r>
      <w:proofErr w:type="spellStart"/>
      <w:r w:rsidR="00C87362">
        <w:rPr>
          <w:rFonts w:ascii="Times New Roman" w:eastAsiaTheme="minorEastAsia" w:hAnsi="Times New Roman"/>
          <w:sz w:val="20"/>
          <w:szCs w:val="20"/>
          <w:lang w:eastAsia="zh-HK"/>
        </w:rPr>
        <w:t>Bierth</w:t>
      </w:r>
      <w:proofErr w:type="spellEnd"/>
      <w:r w:rsidR="00C87362">
        <w:rPr>
          <w:rFonts w:ascii="Times New Roman" w:eastAsiaTheme="minorEastAsia" w:hAnsi="Times New Roman"/>
          <w:sz w:val="20"/>
          <w:szCs w:val="20"/>
          <w:lang w:eastAsia="zh-HK"/>
        </w:rPr>
        <w:t xml:space="preserve"> </w:t>
      </w:r>
      <w:r w:rsidR="00C87362" w:rsidRPr="00D957C6">
        <w:rPr>
          <w:rFonts w:ascii="Times New Roman" w:eastAsiaTheme="minorEastAsia" w:hAnsi="Times New Roman"/>
          <w:i/>
          <w:sz w:val="20"/>
          <w:szCs w:val="20"/>
          <w:lang w:eastAsia="zh-HK"/>
        </w:rPr>
        <w:t>et al.</w:t>
      </w:r>
      <w:r w:rsidR="00C87362">
        <w:rPr>
          <w:rFonts w:ascii="Times New Roman" w:eastAsiaTheme="minorEastAsia" w:hAnsi="Times New Roman"/>
          <w:sz w:val="20"/>
          <w:szCs w:val="20"/>
          <w:lang w:eastAsia="zh-HK"/>
        </w:rPr>
        <w:t xml:space="preserve"> (2015) to set</w:t>
      </w:r>
      <w:r w:rsidR="00C87362" w:rsidRPr="00C83C5B">
        <w:rPr>
          <w:rFonts w:ascii="Times New Roman" w:eastAsiaTheme="minorEastAsia" w:hAnsi="Times New Roman"/>
          <w:i/>
          <w:sz w:val="20"/>
          <w:szCs w:val="20"/>
          <w:lang w:eastAsia="zh-HK"/>
        </w:rPr>
        <w:t xml:space="preserve"> k</w:t>
      </w:r>
      <w:r w:rsidR="00C87362">
        <w:rPr>
          <w:rFonts w:ascii="Times New Roman" w:eastAsiaTheme="minorEastAsia" w:hAnsi="Times New Roman"/>
          <w:sz w:val="20"/>
          <w:szCs w:val="20"/>
          <w:lang w:eastAsia="zh-HK"/>
        </w:rPr>
        <w:t xml:space="preserve"> as 8%. After reviewing the basic capital requirements published by the IAIS (IAIS, 2014), we do not consider 8% to be inappropriate </w:t>
      </w:r>
      <w:r w:rsidR="0009635E">
        <w:rPr>
          <w:rFonts w:ascii="Times New Roman" w:eastAsiaTheme="minorEastAsia" w:hAnsi="Times New Roman"/>
          <w:sz w:val="20"/>
          <w:szCs w:val="20"/>
          <w:lang w:eastAsia="zh-HK"/>
        </w:rPr>
        <w:t xml:space="preserve">for a prudential capital ratio. Based on the quarterly accounting data and the quarterly MES calculated previously, we compute the SRISK for each insurer on a quarterly </w:t>
      </w:r>
      <w:r w:rsidR="00116FC8">
        <w:rPr>
          <w:rFonts w:ascii="Times New Roman" w:eastAsiaTheme="minorEastAsia" w:hAnsi="Times New Roman"/>
          <w:sz w:val="20"/>
          <w:szCs w:val="20"/>
          <w:lang w:eastAsia="zh-HK"/>
        </w:rPr>
        <w:t xml:space="preserve">basis. </w:t>
      </w:r>
      <w:r w:rsidR="004F1A38">
        <w:rPr>
          <w:rFonts w:ascii="Times New Roman" w:eastAsia="PMingLiU" w:hAnsi="Times New Roman"/>
          <w:sz w:val="20"/>
          <w:szCs w:val="20"/>
          <w:lang w:eastAsia="zh-HK"/>
        </w:rPr>
        <w:t>A higher value of SRISK represents more systemic risk</w:t>
      </w:r>
      <w:r w:rsidR="00C83C5B">
        <w:rPr>
          <w:rFonts w:ascii="Times New Roman" w:eastAsia="PMingLiU" w:hAnsi="Times New Roman"/>
          <w:sz w:val="20"/>
          <w:szCs w:val="20"/>
          <w:lang w:eastAsia="zh-HK"/>
        </w:rPr>
        <w:t>s</w:t>
      </w:r>
      <w:r w:rsidR="0009635E">
        <w:rPr>
          <w:rFonts w:ascii="Times New Roman" w:eastAsia="PMingLiU" w:hAnsi="Times New Roman"/>
          <w:sz w:val="20"/>
          <w:szCs w:val="20"/>
          <w:lang w:eastAsia="zh-HK"/>
        </w:rPr>
        <w:t>.</w:t>
      </w:r>
    </w:p>
    <w:p w14:paraId="5A06AB32" w14:textId="77777777" w:rsidR="00CD09E0" w:rsidRPr="00425765" w:rsidRDefault="00CD09E0" w:rsidP="00CD09E0">
      <w:pPr>
        <w:spacing w:after="0" w:line="260" w:lineRule="exact"/>
        <w:jc w:val="both"/>
        <w:rPr>
          <w:rFonts w:ascii="Times New Roman" w:eastAsiaTheme="minorEastAsia" w:hAnsi="Times New Roman"/>
          <w:sz w:val="20"/>
          <w:szCs w:val="20"/>
          <w:lang w:eastAsia="zh-HK"/>
        </w:rPr>
      </w:pPr>
    </w:p>
    <w:p w14:paraId="4CE2890F" w14:textId="643B21FF" w:rsidR="00CD09E0" w:rsidRPr="00CD09E0" w:rsidRDefault="00CD09E0" w:rsidP="00CD09E0">
      <w:pPr>
        <w:spacing w:after="0" w:line="260" w:lineRule="exact"/>
        <w:jc w:val="both"/>
        <w:rPr>
          <w:rFonts w:ascii="Times New Roman" w:eastAsia="PMingLiU" w:hAnsi="Times New Roman"/>
          <w:sz w:val="20"/>
          <w:szCs w:val="20"/>
          <w:u w:val="single"/>
          <w:lang w:eastAsia="zh-HK"/>
        </w:rPr>
      </w:pPr>
      <w:proofErr w:type="spellStart"/>
      <w:r w:rsidRPr="00CD09E0">
        <w:rPr>
          <w:rFonts w:ascii="Times New Roman" w:eastAsia="PMingLiU" w:hAnsi="Times New Roman"/>
          <w:sz w:val="20"/>
          <w:szCs w:val="20"/>
          <w:u w:val="single"/>
          <w:lang w:eastAsia="zh-HK"/>
        </w:rPr>
        <w:t>Δ</w:t>
      </w:r>
      <w:r w:rsidRPr="00CD09E0">
        <w:rPr>
          <w:rFonts w:ascii="Times New Roman" w:eastAsiaTheme="minorEastAsia" w:hAnsi="Times New Roman"/>
          <w:sz w:val="20"/>
          <w:szCs w:val="20"/>
          <w:u w:val="single"/>
          <w:lang w:eastAsia="zh-HK"/>
        </w:rPr>
        <w:t>CoVAR</w:t>
      </w:r>
      <w:proofErr w:type="spellEnd"/>
    </w:p>
    <w:p w14:paraId="4B940D53" w14:textId="43B99BB4" w:rsidR="00CD09E0" w:rsidRDefault="002649EA" w:rsidP="00CD09E0">
      <w:pPr>
        <w:spacing w:after="0" w:line="260" w:lineRule="exact"/>
        <w:jc w:val="both"/>
        <w:rPr>
          <w:rFonts w:ascii="Times New Roman" w:eastAsiaTheme="minorEastAsia" w:hAnsi="Times New Roman"/>
          <w:sz w:val="20"/>
          <w:szCs w:val="20"/>
          <w:lang w:eastAsia="zh-HK"/>
        </w:rPr>
      </w:pPr>
      <w:r w:rsidRPr="002649EA">
        <w:rPr>
          <w:rFonts w:ascii="Times New Roman" w:eastAsiaTheme="minorEastAsia" w:hAnsi="Times New Roman" w:hint="eastAsia"/>
          <w:sz w:val="20"/>
          <w:szCs w:val="20"/>
          <w:lang w:eastAsia="zh-HK"/>
        </w:rPr>
        <w:t>Δ</w:t>
      </w:r>
      <w:proofErr w:type="spellStart"/>
      <w:r w:rsidRPr="002649EA">
        <w:rPr>
          <w:rFonts w:ascii="Times New Roman" w:eastAsiaTheme="minorEastAsia" w:hAnsi="Times New Roman"/>
          <w:sz w:val="20"/>
          <w:szCs w:val="20"/>
          <w:lang w:eastAsia="zh-HK"/>
        </w:rPr>
        <w:t>CoVAR</w:t>
      </w:r>
      <w:proofErr w:type="spellEnd"/>
      <w:r>
        <w:rPr>
          <w:rFonts w:ascii="Times New Roman" w:eastAsiaTheme="minorEastAsia" w:hAnsi="Times New Roman"/>
          <w:sz w:val="20"/>
          <w:szCs w:val="20"/>
          <w:lang w:eastAsia="zh-HK"/>
        </w:rPr>
        <w:t xml:space="preserve"> captures the tail dependency between insurers and market index. </w:t>
      </w:r>
      <w:r w:rsidR="00CD09E0">
        <w:rPr>
          <w:rFonts w:ascii="Times New Roman" w:eastAsiaTheme="minorEastAsia" w:hAnsi="Times New Roman"/>
          <w:sz w:val="20"/>
          <w:szCs w:val="20"/>
          <w:lang w:eastAsia="zh-HK"/>
        </w:rPr>
        <w:t xml:space="preserve">Adrian and </w:t>
      </w:r>
      <w:proofErr w:type="spellStart"/>
      <w:r w:rsidR="00CD09E0">
        <w:rPr>
          <w:rFonts w:ascii="Times New Roman" w:eastAsiaTheme="minorEastAsia" w:hAnsi="Times New Roman"/>
          <w:sz w:val="20"/>
          <w:szCs w:val="20"/>
          <w:lang w:eastAsia="zh-HK"/>
        </w:rPr>
        <w:t>Brunnermeier</w:t>
      </w:r>
      <w:proofErr w:type="spellEnd"/>
      <w:r w:rsidR="00CD09E0">
        <w:rPr>
          <w:rFonts w:ascii="Times New Roman" w:eastAsiaTheme="minorEastAsia" w:hAnsi="Times New Roman"/>
          <w:sz w:val="20"/>
          <w:szCs w:val="20"/>
          <w:lang w:eastAsia="zh-HK"/>
        </w:rPr>
        <w:t xml:space="preserve"> (2014) defines</w:t>
      </w:r>
      <w:r w:rsidR="00095CDD">
        <w:rPr>
          <w:rFonts w:ascii="Times New Roman" w:eastAsiaTheme="minorEastAsia" w:hAnsi="Times New Roman"/>
          <w:sz w:val="20"/>
          <w:szCs w:val="20"/>
          <w:lang w:eastAsia="zh-HK"/>
        </w:rPr>
        <w:t xml:space="preserve"> </w:t>
      </w:r>
      <w:proofErr w:type="spellStart"/>
      <w:r w:rsidR="00095CDD" w:rsidRPr="00C83C5B">
        <w:rPr>
          <w:rFonts w:ascii="Times New Roman" w:eastAsiaTheme="minorEastAsia" w:hAnsi="Times New Roman"/>
          <w:i/>
          <w:sz w:val="20"/>
          <w:szCs w:val="20"/>
          <w:lang w:eastAsia="zh-HK"/>
        </w:rPr>
        <w:t>CoVAR</w:t>
      </w:r>
      <w:proofErr w:type="spellEnd"/>
      <w:r w:rsidR="00B42FA2" w:rsidRPr="00C83C5B">
        <w:rPr>
          <w:rFonts w:ascii="Times New Roman" w:eastAsia="PMingLiU" w:hAnsi="Times New Roman"/>
          <w:i/>
          <w:sz w:val="20"/>
          <w:szCs w:val="20"/>
          <w:vertAlign w:val="subscript"/>
          <w:lang w:eastAsia="zh-HK"/>
        </w:rPr>
        <w:t>α</w:t>
      </w:r>
      <w:r w:rsidR="0041615E" w:rsidRPr="00C83C5B">
        <w:rPr>
          <w:rFonts w:ascii="Times New Roman" w:eastAsia="PMingLiU" w:hAnsi="Times New Roman"/>
          <w:i/>
          <w:sz w:val="20"/>
          <w:szCs w:val="20"/>
          <w:vertAlign w:val="superscript"/>
          <w:lang w:eastAsia="zh-HK"/>
        </w:rPr>
        <w:t>i</w:t>
      </w:r>
      <w:r w:rsidR="00095CDD">
        <w:rPr>
          <w:rFonts w:ascii="Times New Roman" w:eastAsiaTheme="minorEastAsia" w:hAnsi="Times New Roman"/>
          <w:sz w:val="20"/>
          <w:szCs w:val="20"/>
          <w:lang w:eastAsia="zh-HK"/>
        </w:rPr>
        <w:t xml:space="preserve"> as the </w:t>
      </w:r>
      <w:r w:rsidR="00BC209B">
        <w:rPr>
          <w:rFonts w:ascii="Times New Roman" w:eastAsiaTheme="minorEastAsia" w:hAnsi="Times New Roman"/>
          <w:sz w:val="20"/>
          <w:szCs w:val="20"/>
          <w:lang w:eastAsia="zh-HK"/>
        </w:rPr>
        <w:t>value-at-risk</w:t>
      </w:r>
      <w:r w:rsidR="00095CDD">
        <w:rPr>
          <w:rFonts w:ascii="Times New Roman" w:eastAsiaTheme="minorEastAsia" w:hAnsi="Times New Roman"/>
          <w:sz w:val="20"/>
          <w:szCs w:val="20"/>
          <w:lang w:eastAsia="zh-HK"/>
        </w:rPr>
        <w:t xml:space="preserve"> of the market index </w:t>
      </w:r>
      <w:r w:rsidR="00B42FA2">
        <w:rPr>
          <w:rFonts w:ascii="Times New Roman" w:eastAsiaTheme="minorEastAsia" w:hAnsi="Times New Roman"/>
          <w:sz w:val="20"/>
          <w:szCs w:val="20"/>
          <w:lang w:eastAsia="zh-HK"/>
        </w:rPr>
        <w:t xml:space="preserve">with confidence level 1 – </w:t>
      </w:r>
      <w:r w:rsidR="00B42FA2" w:rsidRPr="00C83C5B">
        <w:rPr>
          <w:rFonts w:ascii="Times New Roman" w:eastAsia="PMingLiU" w:hAnsi="Times New Roman"/>
          <w:i/>
          <w:sz w:val="20"/>
          <w:szCs w:val="20"/>
          <w:lang w:eastAsia="zh-HK"/>
        </w:rPr>
        <w:t>α</w:t>
      </w:r>
      <w:r w:rsidR="00B42FA2">
        <w:rPr>
          <w:rFonts w:ascii="Times New Roman" w:eastAsia="PMingLiU" w:hAnsi="Times New Roman"/>
          <w:sz w:val="20"/>
          <w:szCs w:val="20"/>
          <w:lang w:eastAsia="zh-HK"/>
        </w:rPr>
        <w:t xml:space="preserve"> </w:t>
      </w:r>
      <w:r w:rsidR="00095CDD">
        <w:rPr>
          <w:rFonts w:ascii="Times New Roman" w:eastAsiaTheme="minorEastAsia" w:hAnsi="Times New Roman"/>
          <w:sz w:val="20"/>
          <w:szCs w:val="20"/>
          <w:lang w:eastAsia="zh-HK"/>
        </w:rPr>
        <w:t>given the insurer</w:t>
      </w:r>
      <w:r w:rsidR="0041615E">
        <w:rPr>
          <w:rFonts w:ascii="Times New Roman" w:eastAsiaTheme="minorEastAsia" w:hAnsi="Times New Roman"/>
          <w:sz w:val="20"/>
          <w:szCs w:val="20"/>
          <w:lang w:eastAsia="zh-HK"/>
        </w:rPr>
        <w:t xml:space="preserve"> </w:t>
      </w:r>
      <w:r w:rsidR="0041615E" w:rsidRPr="00C83C5B">
        <w:rPr>
          <w:rFonts w:ascii="Times New Roman" w:eastAsiaTheme="minorEastAsia" w:hAnsi="Times New Roman"/>
          <w:i/>
          <w:sz w:val="20"/>
          <w:szCs w:val="20"/>
          <w:lang w:eastAsia="zh-HK"/>
        </w:rPr>
        <w:t>i</w:t>
      </w:r>
      <w:r w:rsidR="00095CDD">
        <w:rPr>
          <w:rFonts w:ascii="Times New Roman" w:eastAsiaTheme="minorEastAsia" w:hAnsi="Times New Roman"/>
          <w:sz w:val="20"/>
          <w:szCs w:val="20"/>
          <w:lang w:eastAsia="zh-HK"/>
        </w:rPr>
        <w:t xml:space="preserve">’s stock return equals to its </w:t>
      </w:r>
      <w:proofErr w:type="spellStart"/>
      <w:r w:rsidR="00095CDD" w:rsidRPr="00C83C5B">
        <w:rPr>
          <w:rFonts w:ascii="Times New Roman" w:eastAsiaTheme="minorEastAsia" w:hAnsi="Times New Roman"/>
          <w:i/>
          <w:sz w:val="20"/>
          <w:szCs w:val="20"/>
          <w:lang w:eastAsia="zh-HK"/>
        </w:rPr>
        <w:t>VaR</w:t>
      </w:r>
      <w:proofErr w:type="spellEnd"/>
      <w:r w:rsidR="00B42FA2" w:rsidRPr="00C83C5B">
        <w:rPr>
          <w:rFonts w:ascii="Times New Roman" w:eastAsia="PMingLiU" w:hAnsi="Times New Roman"/>
          <w:i/>
          <w:sz w:val="20"/>
          <w:szCs w:val="20"/>
          <w:vertAlign w:val="subscript"/>
          <w:lang w:eastAsia="zh-HK"/>
        </w:rPr>
        <w:t>α</w:t>
      </w:r>
      <w:r w:rsidR="0041615E" w:rsidRPr="00C83C5B">
        <w:rPr>
          <w:rFonts w:ascii="Times New Roman" w:eastAsia="PMingLiU" w:hAnsi="Times New Roman"/>
          <w:i/>
          <w:sz w:val="20"/>
          <w:szCs w:val="20"/>
          <w:vertAlign w:val="superscript"/>
          <w:lang w:eastAsia="zh-HK"/>
        </w:rPr>
        <w:t>i</w:t>
      </w:r>
      <w:r w:rsidR="00095CDD">
        <w:rPr>
          <w:rFonts w:ascii="Times New Roman" w:eastAsiaTheme="minorEastAsia" w:hAnsi="Times New Roman"/>
          <w:sz w:val="20"/>
          <w:szCs w:val="20"/>
          <w:lang w:eastAsia="zh-HK"/>
        </w:rPr>
        <w:t>.</w:t>
      </w:r>
      <w:r w:rsidR="00CD09E0">
        <w:rPr>
          <w:rFonts w:ascii="Times New Roman" w:eastAsiaTheme="minorEastAsia" w:hAnsi="Times New Roman"/>
          <w:sz w:val="20"/>
          <w:szCs w:val="20"/>
          <w:lang w:eastAsia="zh-HK"/>
        </w:rPr>
        <w:t xml:space="preserve"> </w:t>
      </w:r>
      <w:r w:rsidR="00225B42" w:rsidRPr="00C83C5B">
        <w:rPr>
          <w:rFonts w:ascii="Times New Roman" w:eastAsiaTheme="minorEastAsia" w:hAnsi="Times New Roman" w:hint="eastAsia"/>
          <w:i/>
          <w:sz w:val="20"/>
          <w:szCs w:val="20"/>
          <w:lang w:eastAsia="zh-HK"/>
        </w:rPr>
        <w:t>Δ</w:t>
      </w:r>
      <w:proofErr w:type="spellStart"/>
      <w:r w:rsidR="00225B42" w:rsidRPr="00C83C5B">
        <w:rPr>
          <w:rFonts w:ascii="Times New Roman" w:eastAsiaTheme="minorEastAsia" w:hAnsi="Times New Roman"/>
          <w:i/>
          <w:sz w:val="20"/>
          <w:szCs w:val="20"/>
          <w:lang w:eastAsia="zh-HK"/>
        </w:rPr>
        <w:t>CoVAR</w:t>
      </w:r>
      <w:proofErr w:type="spellEnd"/>
      <w:r w:rsidR="00B42FA2" w:rsidRPr="00C83C5B">
        <w:rPr>
          <w:rFonts w:ascii="Times New Roman" w:eastAsia="PMingLiU" w:hAnsi="Times New Roman"/>
          <w:i/>
          <w:sz w:val="20"/>
          <w:szCs w:val="20"/>
          <w:vertAlign w:val="subscript"/>
          <w:lang w:eastAsia="zh-HK"/>
        </w:rPr>
        <w:t>α</w:t>
      </w:r>
      <w:r w:rsidR="00225B42">
        <w:rPr>
          <w:rFonts w:ascii="Times New Roman" w:eastAsiaTheme="minorEastAsia" w:hAnsi="Times New Roman"/>
          <w:sz w:val="20"/>
          <w:szCs w:val="20"/>
          <w:lang w:eastAsia="zh-HK"/>
        </w:rPr>
        <w:t xml:space="preserve"> </w:t>
      </w:r>
      <w:r w:rsidR="007B627E">
        <w:rPr>
          <w:rFonts w:ascii="Times New Roman" w:eastAsiaTheme="minorEastAsia" w:hAnsi="Times New Roman"/>
          <w:sz w:val="20"/>
          <w:szCs w:val="20"/>
          <w:lang w:eastAsia="zh-HK"/>
        </w:rPr>
        <w:t xml:space="preserve">is then defined as the difference between </w:t>
      </w:r>
      <w:proofErr w:type="spellStart"/>
      <w:r w:rsidR="007B627E" w:rsidRPr="00C83C5B">
        <w:rPr>
          <w:rFonts w:ascii="Times New Roman" w:eastAsiaTheme="minorEastAsia" w:hAnsi="Times New Roman"/>
          <w:i/>
          <w:sz w:val="20"/>
          <w:szCs w:val="20"/>
          <w:lang w:eastAsia="zh-HK"/>
        </w:rPr>
        <w:t>CoVAR</w:t>
      </w:r>
      <w:proofErr w:type="spellEnd"/>
      <w:r w:rsidR="00B42FA2" w:rsidRPr="00C83C5B">
        <w:rPr>
          <w:rFonts w:ascii="Times New Roman" w:eastAsia="PMingLiU" w:hAnsi="Times New Roman"/>
          <w:i/>
          <w:sz w:val="20"/>
          <w:szCs w:val="20"/>
          <w:vertAlign w:val="subscript"/>
          <w:lang w:eastAsia="zh-HK"/>
        </w:rPr>
        <w:t>α</w:t>
      </w:r>
      <w:r w:rsidR="007B627E">
        <w:rPr>
          <w:rFonts w:ascii="Times New Roman" w:eastAsiaTheme="minorEastAsia" w:hAnsi="Times New Roman"/>
          <w:sz w:val="20"/>
          <w:szCs w:val="20"/>
          <w:lang w:eastAsia="zh-HK"/>
        </w:rPr>
        <w:t xml:space="preserve"> </w:t>
      </w:r>
      <w:r w:rsidR="00B42FA2">
        <w:rPr>
          <w:rFonts w:ascii="Times New Roman" w:eastAsiaTheme="minorEastAsia" w:hAnsi="Times New Roman"/>
          <w:sz w:val="20"/>
          <w:szCs w:val="20"/>
          <w:lang w:eastAsia="zh-HK"/>
        </w:rPr>
        <w:t xml:space="preserve">and </w:t>
      </w:r>
      <w:r w:rsidR="00B42FA2" w:rsidRPr="00C83C5B">
        <w:rPr>
          <w:rFonts w:ascii="Times New Roman" w:eastAsiaTheme="minorEastAsia" w:hAnsi="Times New Roman"/>
          <w:i/>
          <w:sz w:val="20"/>
          <w:szCs w:val="20"/>
          <w:lang w:eastAsia="zh-HK"/>
        </w:rPr>
        <w:t>CoVAR</w:t>
      </w:r>
      <w:r w:rsidR="00B42FA2" w:rsidRPr="00C83C5B">
        <w:rPr>
          <w:rFonts w:ascii="Times New Roman" w:eastAsia="PMingLiU" w:hAnsi="Times New Roman"/>
          <w:i/>
          <w:sz w:val="20"/>
          <w:szCs w:val="20"/>
          <w:vertAlign w:val="subscript"/>
          <w:lang w:eastAsia="zh-HK"/>
        </w:rPr>
        <w:t>50%</w:t>
      </w:r>
      <w:r w:rsidR="00B42FA2">
        <w:rPr>
          <w:rFonts w:ascii="Times New Roman" w:eastAsiaTheme="minorEastAsia" w:hAnsi="Times New Roman"/>
          <w:sz w:val="20"/>
          <w:szCs w:val="20"/>
          <w:lang w:eastAsia="zh-HK"/>
        </w:rPr>
        <w:t xml:space="preserve">. Mathematically, the calculation of </w:t>
      </w:r>
      <w:r w:rsidR="00B42FA2" w:rsidRPr="00C83C5B">
        <w:rPr>
          <w:rFonts w:ascii="Times New Roman" w:eastAsiaTheme="minorEastAsia" w:hAnsi="Times New Roman" w:hint="eastAsia"/>
          <w:i/>
          <w:sz w:val="20"/>
          <w:szCs w:val="20"/>
          <w:lang w:eastAsia="zh-HK"/>
        </w:rPr>
        <w:t>Δ</w:t>
      </w:r>
      <w:proofErr w:type="spellStart"/>
      <w:r w:rsidR="00B42FA2" w:rsidRPr="00C83C5B">
        <w:rPr>
          <w:rFonts w:ascii="Times New Roman" w:eastAsiaTheme="minorEastAsia" w:hAnsi="Times New Roman"/>
          <w:i/>
          <w:sz w:val="20"/>
          <w:szCs w:val="20"/>
          <w:lang w:eastAsia="zh-HK"/>
        </w:rPr>
        <w:t>CoVAR</w:t>
      </w:r>
      <w:proofErr w:type="spellEnd"/>
      <w:r w:rsidR="00B42FA2" w:rsidRPr="00C83C5B">
        <w:rPr>
          <w:rFonts w:ascii="Times New Roman" w:eastAsia="PMingLiU" w:hAnsi="Times New Roman"/>
          <w:i/>
          <w:sz w:val="20"/>
          <w:szCs w:val="20"/>
          <w:vertAlign w:val="subscript"/>
          <w:lang w:eastAsia="zh-HK"/>
        </w:rPr>
        <w:t>α</w:t>
      </w:r>
      <w:r w:rsidR="00B42FA2" w:rsidRPr="00C83C5B">
        <w:rPr>
          <w:rFonts w:ascii="Times New Roman" w:eastAsiaTheme="minorEastAsia" w:hAnsi="Times New Roman"/>
          <w:i/>
          <w:sz w:val="20"/>
          <w:szCs w:val="20"/>
          <w:lang w:eastAsia="zh-HK"/>
        </w:rPr>
        <w:t xml:space="preserve"> </w:t>
      </w:r>
      <w:r w:rsidR="00B42FA2">
        <w:rPr>
          <w:rFonts w:ascii="Times New Roman" w:eastAsiaTheme="minorEastAsia" w:hAnsi="Times New Roman"/>
          <w:sz w:val="20"/>
          <w:szCs w:val="20"/>
          <w:lang w:eastAsia="zh-HK"/>
        </w:rPr>
        <w:t>is expressed below</w:t>
      </w:r>
      <w:r w:rsidR="00225B42">
        <w:rPr>
          <w:rFonts w:ascii="Times New Roman" w:eastAsiaTheme="minorEastAsia" w:hAnsi="Times New Roman"/>
          <w:sz w:val="20"/>
          <w:szCs w:val="20"/>
          <w:lang w:eastAsia="zh-HK"/>
        </w:rPr>
        <w:t>:</w:t>
      </w:r>
    </w:p>
    <w:p w14:paraId="1C8C46A7" w14:textId="77777777" w:rsidR="00B42FA2" w:rsidRDefault="00B42FA2" w:rsidP="00CD09E0">
      <w:pPr>
        <w:spacing w:after="0" w:line="260" w:lineRule="exact"/>
        <w:jc w:val="both"/>
        <w:rPr>
          <w:rFonts w:ascii="Times New Roman" w:eastAsiaTheme="minorEastAsia" w:hAnsi="Times New Roman"/>
          <w:sz w:val="20"/>
          <w:szCs w:val="20"/>
          <w:lang w:eastAsia="zh-HK"/>
        </w:rPr>
      </w:pPr>
    </w:p>
    <w:p w14:paraId="3C4D62D7" w14:textId="4A7F2F19" w:rsidR="00B42FA2" w:rsidRDefault="00B42FA2" w:rsidP="00BC209B">
      <w:pPr>
        <w:tabs>
          <w:tab w:val="left" w:pos="1925"/>
        </w:tabs>
        <w:spacing w:after="0" w:line="260" w:lineRule="exact"/>
        <w:rPr>
          <w:rFonts w:ascii="Times New Roman" w:eastAsiaTheme="minorEastAsia" w:hAnsi="Times New Roman"/>
          <w:sz w:val="20"/>
          <w:szCs w:val="20"/>
          <w:lang w:eastAsia="zh-HK"/>
        </w:rPr>
      </w:pPr>
      <w:r>
        <w:rPr>
          <w:rFonts w:ascii="Times New Roman" w:eastAsiaTheme="minorEastAsia" w:hAnsi="Times New Roman"/>
          <w:sz w:val="20"/>
          <w:szCs w:val="20"/>
          <w:lang w:eastAsia="zh-HK"/>
        </w:rPr>
        <w:tab/>
      </w:r>
      <w:proofErr w:type="spellStart"/>
      <w:r w:rsidRPr="00C83C5B">
        <w:rPr>
          <w:rFonts w:ascii="Times New Roman" w:eastAsiaTheme="minorEastAsia" w:hAnsi="Times New Roman"/>
          <w:i/>
          <w:sz w:val="20"/>
          <w:szCs w:val="20"/>
          <w:lang w:eastAsia="zh-HK"/>
        </w:rPr>
        <w:t>Pr</w:t>
      </w:r>
      <w:proofErr w:type="spellEnd"/>
      <w:r w:rsidRPr="00C83C5B">
        <w:rPr>
          <w:rFonts w:ascii="Times New Roman" w:eastAsiaTheme="minorEastAsia" w:hAnsi="Times New Roman"/>
          <w:i/>
          <w:sz w:val="20"/>
          <w:szCs w:val="20"/>
          <w:lang w:eastAsia="zh-HK"/>
        </w:rPr>
        <w:t xml:space="preserve"> (R</w:t>
      </w:r>
      <w:r w:rsidRPr="00C83C5B">
        <w:rPr>
          <w:rFonts w:ascii="Times New Roman" w:eastAsiaTheme="minorEastAsia" w:hAnsi="Times New Roman"/>
          <w:i/>
          <w:sz w:val="20"/>
          <w:szCs w:val="20"/>
          <w:vertAlign w:val="subscript"/>
          <w:lang w:eastAsia="zh-HK"/>
        </w:rPr>
        <w:t>m</w:t>
      </w:r>
      <w:r w:rsidRPr="00C83C5B">
        <w:rPr>
          <w:rFonts w:ascii="Times New Roman" w:eastAsiaTheme="minorEastAsia" w:hAnsi="Times New Roman"/>
          <w:i/>
          <w:sz w:val="20"/>
          <w:szCs w:val="20"/>
          <w:lang w:eastAsia="zh-HK"/>
        </w:rPr>
        <w:t xml:space="preserve"> ≤ </w:t>
      </w:r>
      <w:proofErr w:type="spellStart"/>
      <w:r w:rsidRPr="00C83C5B">
        <w:rPr>
          <w:rFonts w:ascii="Times New Roman" w:eastAsiaTheme="minorEastAsia" w:hAnsi="Times New Roman"/>
          <w:i/>
          <w:sz w:val="20"/>
          <w:szCs w:val="20"/>
          <w:lang w:eastAsia="zh-HK"/>
        </w:rPr>
        <w:t>CoVAR</w:t>
      </w:r>
      <w:proofErr w:type="spellEnd"/>
      <w:r w:rsidRPr="00C83C5B">
        <w:rPr>
          <w:rFonts w:ascii="Times New Roman" w:eastAsia="PMingLiU" w:hAnsi="Times New Roman"/>
          <w:i/>
          <w:sz w:val="20"/>
          <w:szCs w:val="20"/>
          <w:vertAlign w:val="subscript"/>
          <w:lang w:eastAsia="zh-HK"/>
        </w:rPr>
        <w:t>α</w:t>
      </w:r>
      <w:r w:rsidRPr="00C83C5B">
        <w:rPr>
          <w:rFonts w:ascii="Times New Roman" w:eastAsiaTheme="minorEastAsia" w:hAnsi="Times New Roman"/>
          <w:i/>
          <w:sz w:val="20"/>
          <w:szCs w:val="20"/>
          <w:lang w:eastAsia="zh-HK"/>
        </w:rPr>
        <w:t xml:space="preserve"> </w:t>
      </w:r>
      <w:r w:rsidRPr="00C83C5B">
        <w:rPr>
          <w:rFonts w:ascii="Times New Roman" w:eastAsiaTheme="minorEastAsia" w:hAnsi="Times New Roman"/>
          <w:i/>
          <w:sz w:val="20"/>
          <w:szCs w:val="20"/>
          <w:vertAlign w:val="superscript"/>
          <w:lang w:eastAsia="zh-HK"/>
        </w:rPr>
        <w:t>|</w:t>
      </w:r>
      <w:proofErr w:type="spellStart"/>
      <w:r w:rsidRPr="00C83C5B">
        <w:rPr>
          <w:rFonts w:ascii="Times New Roman" w:eastAsiaTheme="minorEastAsia" w:hAnsi="Times New Roman"/>
          <w:i/>
          <w:sz w:val="20"/>
          <w:szCs w:val="20"/>
          <w:vertAlign w:val="superscript"/>
          <w:lang w:eastAsia="zh-HK"/>
        </w:rPr>
        <w:t>Ri</w:t>
      </w:r>
      <w:proofErr w:type="spellEnd"/>
      <w:r w:rsidRPr="00C83C5B">
        <w:rPr>
          <w:rFonts w:ascii="Times New Roman" w:eastAsiaTheme="minorEastAsia" w:hAnsi="Times New Roman"/>
          <w:i/>
          <w:sz w:val="20"/>
          <w:szCs w:val="20"/>
          <w:vertAlign w:val="superscript"/>
          <w:lang w:eastAsia="zh-HK"/>
        </w:rPr>
        <w:t xml:space="preserve"> =</w:t>
      </w:r>
      <w:proofErr w:type="spellStart"/>
      <w:r w:rsidRPr="00C83C5B">
        <w:rPr>
          <w:rFonts w:ascii="Times New Roman" w:eastAsiaTheme="minorEastAsia" w:hAnsi="Times New Roman"/>
          <w:i/>
          <w:sz w:val="20"/>
          <w:szCs w:val="20"/>
          <w:vertAlign w:val="superscript"/>
          <w:lang w:eastAsia="zh-HK"/>
        </w:rPr>
        <w:t>VaRi</w:t>
      </w:r>
      <w:proofErr w:type="spellEnd"/>
      <w:r w:rsidR="00495588" w:rsidRPr="00C83C5B">
        <w:rPr>
          <w:rFonts w:ascii="Times New Roman" w:eastAsia="PMingLiU" w:hAnsi="Times New Roman"/>
          <w:i/>
          <w:sz w:val="20"/>
          <w:szCs w:val="20"/>
          <w:vertAlign w:val="superscript"/>
          <w:lang w:eastAsia="zh-HK"/>
        </w:rPr>
        <w:t>α</w:t>
      </w:r>
      <w:r w:rsidRPr="00C83C5B">
        <w:rPr>
          <w:rFonts w:ascii="Times New Roman" w:eastAsiaTheme="minorEastAsia" w:hAnsi="Times New Roman"/>
          <w:i/>
          <w:sz w:val="20"/>
          <w:szCs w:val="20"/>
          <w:lang w:eastAsia="zh-HK"/>
        </w:rPr>
        <w:t xml:space="preserve"> </w:t>
      </w:r>
      <w:r w:rsidR="00BC209B" w:rsidRPr="00C83C5B">
        <w:rPr>
          <w:rFonts w:ascii="Times New Roman" w:eastAsiaTheme="minorEastAsia" w:hAnsi="Times New Roman"/>
          <w:i/>
          <w:sz w:val="20"/>
          <w:szCs w:val="20"/>
          <w:lang w:eastAsia="zh-HK"/>
        </w:rPr>
        <w:t xml:space="preserve">| </w:t>
      </w:r>
      <w:proofErr w:type="spellStart"/>
      <w:proofErr w:type="gramStart"/>
      <w:r w:rsidR="00BC209B" w:rsidRPr="00C83C5B">
        <w:rPr>
          <w:rFonts w:ascii="Times New Roman" w:eastAsiaTheme="minorEastAsia" w:hAnsi="Times New Roman"/>
          <w:i/>
          <w:sz w:val="20"/>
          <w:szCs w:val="20"/>
          <w:lang w:eastAsia="zh-HK"/>
        </w:rPr>
        <w:t>R</w:t>
      </w:r>
      <w:r w:rsidR="00BC209B" w:rsidRPr="00C83C5B">
        <w:rPr>
          <w:rFonts w:ascii="Times New Roman" w:eastAsiaTheme="minorEastAsia" w:hAnsi="Times New Roman"/>
          <w:i/>
          <w:sz w:val="20"/>
          <w:szCs w:val="20"/>
          <w:vertAlign w:val="subscript"/>
          <w:lang w:eastAsia="zh-HK"/>
        </w:rPr>
        <w:t>i</w:t>
      </w:r>
      <w:proofErr w:type="spellEnd"/>
      <w:proofErr w:type="gramEnd"/>
      <w:r w:rsidR="00BC209B" w:rsidRPr="00C83C5B">
        <w:rPr>
          <w:rFonts w:ascii="Times New Roman" w:eastAsiaTheme="minorEastAsia" w:hAnsi="Times New Roman"/>
          <w:i/>
          <w:sz w:val="20"/>
          <w:szCs w:val="20"/>
          <w:lang w:eastAsia="zh-HK"/>
        </w:rPr>
        <w:t xml:space="preserve"> = </w:t>
      </w:r>
      <w:proofErr w:type="spellStart"/>
      <w:r w:rsidR="00BC209B" w:rsidRPr="00C83C5B">
        <w:rPr>
          <w:rFonts w:ascii="Times New Roman" w:eastAsiaTheme="minorEastAsia" w:hAnsi="Times New Roman"/>
          <w:i/>
          <w:sz w:val="20"/>
          <w:szCs w:val="20"/>
          <w:lang w:eastAsia="zh-HK"/>
        </w:rPr>
        <w:t>VaR</w:t>
      </w:r>
      <w:proofErr w:type="spellEnd"/>
      <w:r w:rsidR="00BC209B" w:rsidRPr="00C83C5B">
        <w:rPr>
          <w:rFonts w:ascii="Times New Roman" w:eastAsia="PMingLiU" w:hAnsi="Times New Roman"/>
          <w:i/>
          <w:sz w:val="20"/>
          <w:szCs w:val="20"/>
          <w:vertAlign w:val="subscript"/>
          <w:lang w:eastAsia="zh-HK"/>
        </w:rPr>
        <w:t>α</w:t>
      </w:r>
      <w:r w:rsidR="00BC209B" w:rsidRPr="00C83C5B">
        <w:rPr>
          <w:rFonts w:ascii="Times New Roman" w:eastAsiaTheme="minorEastAsia" w:hAnsi="Times New Roman"/>
          <w:i/>
          <w:sz w:val="20"/>
          <w:szCs w:val="20"/>
          <w:vertAlign w:val="superscript"/>
          <w:lang w:eastAsia="zh-HK"/>
        </w:rPr>
        <w:t>i</w:t>
      </w:r>
      <w:r w:rsidRPr="00C83C5B">
        <w:rPr>
          <w:rFonts w:ascii="Times New Roman" w:eastAsiaTheme="minorEastAsia" w:hAnsi="Times New Roman"/>
          <w:i/>
          <w:sz w:val="20"/>
          <w:szCs w:val="20"/>
          <w:lang w:eastAsia="zh-HK"/>
        </w:rPr>
        <w:t xml:space="preserve">) = </w:t>
      </w:r>
      <w:r w:rsidR="00EE7A94" w:rsidRPr="00C83C5B">
        <w:rPr>
          <w:rFonts w:ascii="Times New Roman" w:eastAsia="PMingLiU" w:hAnsi="Times New Roman"/>
          <w:i/>
          <w:sz w:val="20"/>
          <w:szCs w:val="20"/>
          <w:lang w:eastAsia="zh-HK"/>
        </w:rPr>
        <w:t>α</w:t>
      </w:r>
      <w:r w:rsidRPr="00C83C5B">
        <w:rPr>
          <w:rFonts w:ascii="Times New Roman" w:eastAsiaTheme="minorEastAsia" w:hAnsi="Times New Roman"/>
          <w:i/>
          <w:sz w:val="20"/>
          <w:szCs w:val="20"/>
          <w:lang w:eastAsia="zh-HK"/>
        </w:rPr>
        <w:t>%</w:t>
      </w:r>
      <w:r>
        <w:rPr>
          <w:rFonts w:ascii="Times New Roman" w:eastAsiaTheme="minorEastAsia" w:hAnsi="Times New Roman"/>
          <w:sz w:val="20"/>
          <w:szCs w:val="20"/>
          <w:lang w:eastAsia="zh-HK"/>
        </w:rPr>
        <w:t xml:space="preserve">             </w:t>
      </w:r>
      <w:r w:rsidR="00C83C5B">
        <w:rPr>
          <w:rFonts w:ascii="Times New Roman" w:eastAsiaTheme="minorEastAsia" w:hAnsi="Times New Roman"/>
          <w:sz w:val="20"/>
          <w:szCs w:val="20"/>
          <w:lang w:eastAsia="zh-HK"/>
        </w:rPr>
        <w:t xml:space="preserve"> </w:t>
      </w:r>
      <w:r>
        <w:rPr>
          <w:rFonts w:ascii="Times New Roman" w:eastAsiaTheme="minorEastAsia" w:hAnsi="Times New Roman"/>
          <w:sz w:val="20"/>
          <w:szCs w:val="20"/>
          <w:lang w:eastAsia="zh-HK"/>
        </w:rPr>
        <w:t>(4)</w:t>
      </w:r>
    </w:p>
    <w:p w14:paraId="064B7166" w14:textId="60EB7120" w:rsidR="00225B42" w:rsidRPr="00B42FA2" w:rsidRDefault="00225B42" w:rsidP="00CD09E0">
      <w:pPr>
        <w:spacing w:after="0" w:line="260" w:lineRule="exact"/>
        <w:jc w:val="both"/>
        <w:rPr>
          <w:rFonts w:ascii="Times New Roman" w:eastAsiaTheme="minorEastAsia" w:hAnsi="Times New Roman"/>
          <w:sz w:val="20"/>
          <w:szCs w:val="20"/>
          <w:lang w:eastAsia="zh-HK"/>
        </w:rPr>
      </w:pPr>
    </w:p>
    <w:p w14:paraId="435FB5FC" w14:textId="1A6B6ED6" w:rsidR="00225B42" w:rsidRPr="00425765" w:rsidRDefault="00225B42" w:rsidP="00B42FA2">
      <w:pPr>
        <w:spacing w:after="0" w:line="260" w:lineRule="exact"/>
        <w:ind w:firstLineChars="800" w:firstLine="1600"/>
        <w:rPr>
          <w:rFonts w:ascii="Times New Roman" w:eastAsia="PMingLiU" w:hAnsi="Times New Roman"/>
          <w:sz w:val="20"/>
          <w:szCs w:val="20"/>
          <w:u w:val="single"/>
          <w:lang w:eastAsia="zh-HK"/>
        </w:rPr>
      </w:pPr>
      <w:r w:rsidRPr="00C83C5B">
        <w:rPr>
          <w:rFonts w:ascii="Times New Roman" w:eastAsiaTheme="minorEastAsia" w:hAnsi="Times New Roman" w:hint="eastAsia"/>
          <w:i/>
          <w:sz w:val="20"/>
          <w:szCs w:val="20"/>
          <w:lang w:eastAsia="zh-HK"/>
        </w:rPr>
        <w:t>Δ</w:t>
      </w:r>
      <w:proofErr w:type="spellStart"/>
      <w:r w:rsidRPr="00C83C5B">
        <w:rPr>
          <w:rFonts w:ascii="Times New Roman" w:eastAsiaTheme="minorEastAsia" w:hAnsi="Times New Roman"/>
          <w:i/>
          <w:sz w:val="20"/>
          <w:szCs w:val="20"/>
          <w:lang w:eastAsia="zh-HK"/>
        </w:rPr>
        <w:t>CoVAR</w:t>
      </w:r>
      <w:proofErr w:type="spellEnd"/>
      <w:r w:rsidR="00095CDD" w:rsidRPr="00C83C5B">
        <w:rPr>
          <w:rFonts w:ascii="Times New Roman" w:eastAsia="PMingLiU" w:hAnsi="Times New Roman"/>
          <w:i/>
          <w:sz w:val="20"/>
          <w:szCs w:val="20"/>
          <w:vertAlign w:val="subscript"/>
          <w:lang w:eastAsia="zh-HK"/>
        </w:rPr>
        <w:t>α</w:t>
      </w:r>
      <w:r w:rsidRPr="00C83C5B">
        <w:rPr>
          <w:rFonts w:ascii="Times New Roman" w:eastAsiaTheme="minorEastAsia" w:hAnsi="Times New Roman"/>
          <w:i/>
          <w:sz w:val="20"/>
          <w:szCs w:val="20"/>
          <w:vertAlign w:val="superscript"/>
          <w:lang w:eastAsia="zh-HK"/>
        </w:rPr>
        <w:t>i</w:t>
      </w:r>
      <w:r w:rsidRPr="00C83C5B">
        <w:rPr>
          <w:rFonts w:ascii="Times New Roman" w:eastAsiaTheme="minorEastAsia" w:hAnsi="Times New Roman"/>
          <w:i/>
          <w:sz w:val="20"/>
          <w:szCs w:val="20"/>
          <w:lang w:eastAsia="zh-HK"/>
        </w:rPr>
        <w:t xml:space="preserve"> = </w:t>
      </w:r>
      <w:proofErr w:type="spellStart"/>
      <w:r w:rsidRPr="00C83C5B">
        <w:rPr>
          <w:rFonts w:ascii="Times New Roman" w:eastAsiaTheme="minorEastAsia" w:hAnsi="Times New Roman"/>
          <w:i/>
          <w:sz w:val="20"/>
          <w:szCs w:val="20"/>
          <w:lang w:eastAsia="zh-HK"/>
        </w:rPr>
        <w:t>CoVAR</w:t>
      </w:r>
      <w:proofErr w:type="spellEnd"/>
      <w:r w:rsidR="00095CDD" w:rsidRPr="00C83C5B">
        <w:rPr>
          <w:rFonts w:ascii="Times New Roman" w:eastAsia="PMingLiU" w:hAnsi="Times New Roman"/>
          <w:i/>
          <w:sz w:val="20"/>
          <w:szCs w:val="20"/>
          <w:vertAlign w:val="subscript"/>
          <w:lang w:eastAsia="zh-HK"/>
        </w:rPr>
        <w:t>α</w:t>
      </w:r>
      <w:r w:rsidRPr="00C83C5B">
        <w:rPr>
          <w:rFonts w:ascii="Times New Roman" w:eastAsiaTheme="minorEastAsia" w:hAnsi="Times New Roman"/>
          <w:i/>
          <w:sz w:val="20"/>
          <w:szCs w:val="20"/>
          <w:vertAlign w:val="superscript"/>
          <w:lang w:eastAsia="zh-HK"/>
        </w:rPr>
        <w:t>|Ri =</w:t>
      </w:r>
      <w:proofErr w:type="spellStart"/>
      <w:r w:rsidRPr="00C83C5B">
        <w:rPr>
          <w:rFonts w:ascii="Times New Roman" w:eastAsiaTheme="minorEastAsia" w:hAnsi="Times New Roman"/>
          <w:i/>
          <w:sz w:val="20"/>
          <w:szCs w:val="20"/>
          <w:vertAlign w:val="superscript"/>
          <w:lang w:eastAsia="zh-HK"/>
        </w:rPr>
        <w:t>VaRi</w:t>
      </w:r>
      <w:proofErr w:type="spellEnd"/>
      <w:r w:rsidR="008C4F2F" w:rsidRPr="00C83C5B">
        <w:rPr>
          <w:rFonts w:ascii="Times New Roman" w:eastAsia="PMingLiU" w:hAnsi="Times New Roman"/>
          <w:i/>
          <w:sz w:val="20"/>
          <w:szCs w:val="20"/>
          <w:vertAlign w:val="superscript"/>
          <w:lang w:eastAsia="zh-HK"/>
        </w:rPr>
        <w:t>α</w:t>
      </w:r>
      <w:r w:rsidRPr="00C83C5B">
        <w:rPr>
          <w:rFonts w:ascii="Times New Roman" w:eastAsiaTheme="minorEastAsia" w:hAnsi="Times New Roman"/>
          <w:i/>
          <w:sz w:val="20"/>
          <w:szCs w:val="20"/>
          <w:lang w:eastAsia="zh-HK"/>
        </w:rPr>
        <w:t xml:space="preserve"> – </w:t>
      </w:r>
      <w:proofErr w:type="spellStart"/>
      <w:r w:rsidRPr="00C83C5B">
        <w:rPr>
          <w:rFonts w:ascii="Times New Roman" w:eastAsiaTheme="minorEastAsia" w:hAnsi="Times New Roman"/>
          <w:i/>
          <w:sz w:val="20"/>
          <w:szCs w:val="20"/>
          <w:lang w:eastAsia="zh-HK"/>
        </w:rPr>
        <w:t>CoVAR</w:t>
      </w:r>
      <w:proofErr w:type="spellEnd"/>
      <w:r w:rsidR="00095CDD" w:rsidRPr="00C83C5B">
        <w:rPr>
          <w:rFonts w:ascii="Times New Roman" w:eastAsia="PMingLiU" w:hAnsi="Times New Roman"/>
          <w:i/>
          <w:sz w:val="20"/>
          <w:szCs w:val="20"/>
          <w:vertAlign w:val="subscript"/>
          <w:lang w:eastAsia="zh-HK"/>
        </w:rPr>
        <w:t>α</w:t>
      </w:r>
      <w:r w:rsidRPr="00C83C5B">
        <w:rPr>
          <w:rFonts w:ascii="Times New Roman" w:eastAsiaTheme="minorEastAsia" w:hAnsi="Times New Roman"/>
          <w:i/>
          <w:sz w:val="20"/>
          <w:szCs w:val="20"/>
          <w:vertAlign w:val="superscript"/>
          <w:lang w:eastAsia="zh-HK"/>
        </w:rPr>
        <w:t>|Ri =VaRi50</w:t>
      </w:r>
      <w:r>
        <w:rPr>
          <w:rFonts w:ascii="Times New Roman" w:eastAsiaTheme="minorEastAsia" w:hAnsi="Times New Roman"/>
          <w:sz w:val="20"/>
          <w:szCs w:val="20"/>
          <w:lang w:eastAsia="zh-HK"/>
        </w:rPr>
        <w:t xml:space="preserve">           </w:t>
      </w:r>
      <w:r w:rsidR="00B42FA2">
        <w:rPr>
          <w:rFonts w:ascii="Times New Roman" w:eastAsiaTheme="minorEastAsia" w:hAnsi="Times New Roman"/>
          <w:sz w:val="20"/>
          <w:szCs w:val="20"/>
          <w:lang w:eastAsia="zh-HK"/>
        </w:rPr>
        <w:t xml:space="preserve"> </w:t>
      </w:r>
      <w:r w:rsidR="00C83C5B">
        <w:rPr>
          <w:rFonts w:ascii="Times New Roman" w:eastAsiaTheme="minorEastAsia" w:hAnsi="Times New Roman"/>
          <w:sz w:val="20"/>
          <w:szCs w:val="20"/>
          <w:lang w:eastAsia="zh-HK"/>
        </w:rPr>
        <w:t xml:space="preserve">  </w:t>
      </w:r>
      <w:r>
        <w:rPr>
          <w:rFonts w:ascii="Times New Roman" w:eastAsiaTheme="minorEastAsia" w:hAnsi="Times New Roman"/>
          <w:sz w:val="20"/>
          <w:szCs w:val="20"/>
          <w:lang w:eastAsia="zh-HK"/>
        </w:rPr>
        <w:t>(</w:t>
      </w:r>
      <w:r w:rsidR="00B42FA2">
        <w:rPr>
          <w:rFonts w:ascii="Times New Roman" w:eastAsiaTheme="minorEastAsia" w:hAnsi="Times New Roman"/>
          <w:sz w:val="20"/>
          <w:szCs w:val="20"/>
          <w:lang w:eastAsia="zh-HK"/>
        </w:rPr>
        <w:t>5</w:t>
      </w:r>
      <w:r>
        <w:rPr>
          <w:rFonts w:ascii="Times New Roman" w:eastAsiaTheme="minorEastAsia" w:hAnsi="Times New Roman"/>
          <w:sz w:val="20"/>
          <w:szCs w:val="20"/>
          <w:lang w:eastAsia="zh-HK"/>
        </w:rPr>
        <w:t>)</w:t>
      </w:r>
    </w:p>
    <w:p w14:paraId="0F79FB23" w14:textId="007DCF9F" w:rsidR="00E01B9F" w:rsidRDefault="00E01B9F" w:rsidP="00225B42">
      <w:pPr>
        <w:tabs>
          <w:tab w:val="left" w:pos="1816"/>
        </w:tabs>
        <w:spacing w:after="0" w:line="260" w:lineRule="exact"/>
        <w:jc w:val="both"/>
        <w:rPr>
          <w:rFonts w:ascii="Times New Roman" w:eastAsiaTheme="minorEastAsia" w:hAnsi="Times New Roman"/>
          <w:sz w:val="20"/>
          <w:szCs w:val="20"/>
          <w:lang w:eastAsia="zh-HK"/>
        </w:rPr>
      </w:pPr>
    </w:p>
    <w:p w14:paraId="0D9B47F4" w14:textId="4B936A88" w:rsidR="00095CDD" w:rsidRDefault="00EE7A94" w:rsidP="00225B42">
      <w:pPr>
        <w:tabs>
          <w:tab w:val="left" w:pos="1816"/>
        </w:tabs>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F</w:t>
      </w:r>
      <w:r>
        <w:rPr>
          <w:rFonts w:ascii="Times New Roman" w:eastAsiaTheme="minorEastAsia" w:hAnsi="Times New Roman"/>
          <w:sz w:val="20"/>
          <w:szCs w:val="20"/>
          <w:lang w:eastAsia="zh-HK"/>
        </w:rPr>
        <w:t xml:space="preserve">or the empirical estimation of </w:t>
      </w:r>
      <w:r w:rsidRPr="002649EA">
        <w:rPr>
          <w:rFonts w:ascii="Times New Roman" w:eastAsiaTheme="minorEastAsia" w:hAnsi="Times New Roman" w:hint="eastAsia"/>
          <w:sz w:val="20"/>
          <w:szCs w:val="20"/>
          <w:lang w:eastAsia="zh-HK"/>
        </w:rPr>
        <w:t>Δ</w:t>
      </w:r>
      <w:proofErr w:type="spellStart"/>
      <w:r w:rsidRPr="002649EA">
        <w:rPr>
          <w:rFonts w:ascii="Times New Roman" w:eastAsiaTheme="minorEastAsia" w:hAnsi="Times New Roman"/>
          <w:sz w:val="20"/>
          <w:szCs w:val="20"/>
          <w:lang w:eastAsia="zh-HK"/>
        </w:rPr>
        <w:t>CoVAR</w:t>
      </w:r>
      <w:proofErr w:type="spellEnd"/>
      <w:r>
        <w:rPr>
          <w:rFonts w:ascii="Times New Roman" w:eastAsiaTheme="minorEastAsia" w:hAnsi="Times New Roman"/>
          <w:sz w:val="20"/>
          <w:szCs w:val="20"/>
          <w:lang w:eastAsia="zh-HK"/>
        </w:rPr>
        <w:t xml:space="preserve">, Adrian and </w:t>
      </w:r>
      <w:proofErr w:type="spellStart"/>
      <w:r>
        <w:rPr>
          <w:rFonts w:ascii="Times New Roman" w:eastAsiaTheme="minorEastAsia" w:hAnsi="Times New Roman"/>
          <w:sz w:val="20"/>
          <w:szCs w:val="20"/>
          <w:lang w:eastAsia="zh-HK"/>
        </w:rPr>
        <w:t>Brunnermeier</w:t>
      </w:r>
      <w:proofErr w:type="spellEnd"/>
      <w:r>
        <w:rPr>
          <w:rFonts w:ascii="Times New Roman" w:eastAsiaTheme="minorEastAsia" w:hAnsi="Times New Roman"/>
          <w:sz w:val="20"/>
          <w:szCs w:val="20"/>
          <w:lang w:eastAsia="zh-HK"/>
        </w:rPr>
        <w:t xml:space="preserve"> (2014) show that equation (5) can be simplified to:</w:t>
      </w:r>
    </w:p>
    <w:p w14:paraId="716AD059" w14:textId="2FDDD6D2" w:rsidR="00EE7A94" w:rsidRDefault="00EE7A94" w:rsidP="00225B42">
      <w:pPr>
        <w:tabs>
          <w:tab w:val="left" w:pos="1816"/>
        </w:tabs>
        <w:spacing w:after="0" w:line="260" w:lineRule="exact"/>
        <w:jc w:val="both"/>
        <w:rPr>
          <w:rFonts w:ascii="Times New Roman" w:eastAsiaTheme="minorEastAsia" w:hAnsi="Times New Roman"/>
          <w:sz w:val="20"/>
          <w:szCs w:val="20"/>
          <w:lang w:eastAsia="zh-HK"/>
        </w:rPr>
      </w:pPr>
    </w:p>
    <w:p w14:paraId="6C86FC0B" w14:textId="08EBA767" w:rsidR="00EE7A94" w:rsidRPr="00095CDD" w:rsidRDefault="00971A23" w:rsidP="00971A23">
      <w:pPr>
        <w:tabs>
          <w:tab w:val="left" w:pos="2230"/>
        </w:tabs>
        <w:spacing w:after="0" w:line="260" w:lineRule="exact"/>
        <w:rPr>
          <w:rFonts w:ascii="Times New Roman" w:eastAsiaTheme="minorEastAsia" w:hAnsi="Times New Roman"/>
          <w:sz w:val="20"/>
          <w:szCs w:val="20"/>
          <w:lang w:eastAsia="zh-HK"/>
        </w:rPr>
      </w:pPr>
      <w:r>
        <w:rPr>
          <w:rFonts w:ascii="Times New Roman" w:eastAsiaTheme="minorEastAsia" w:hAnsi="Times New Roman"/>
          <w:sz w:val="20"/>
          <w:szCs w:val="20"/>
          <w:lang w:eastAsia="zh-HK"/>
        </w:rPr>
        <w:tab/>
      </w:r>
      <w:r w:rsidR="00EE7A94" w:rsidRPr="00C83C5B">
        <w:rPr>
          <w:rFonts w:ascii="Times New Roman" w:eastAsiaTheme="minorEastAsia" w:hAnsi="Times New Roman" w:hint="eastAsia"/>
          <w:i/>
          <w:sz w:val="20"/>
          <w:szCs w:val="20"/>
          <w:lang w:eastAsia="zh-HK"/>
        </w:rPr>
        <w:t>Δ</w:t>
      </w:r>
      <w:proofErr w:type="spellStart"/>
      <w:r w:rsidR="00EE7A94" w:rsidRPr="00C83C5B">
        <w:rPr>
          <w:rFonts w:ascii="Times New Roman" w:eastAsiaTheme="minorEastAsia" w:hAnsi="Times New Roman"/>
          <w:i/>
          <w:sz w:val="20"/>
          <w:szCs w:val="20"/>
          <w:lang w:eastAsia="zh-HK"/>
        </w:rPr>
        <w:t>CoVAR</w:t>
      </w:r>
      <w:proofErr w:type="spellEnd"/>
      <w:r w:rsidR="00EE7A94" w:rsidRPr="00C83C5B">
        <w:rPr>
          <w:rFonts w:ascii="Times New Roman" w:eastAsia="PMingLiU" w:hAnsi="Times New Roman"/>
          <w:i/>
          <w:sz w:val="20"/>
          <w:szCs w:val="20"/>
          <w:vertAlign w:val="subscript"/>
          <w:lang w:eastAsia="zh-HK"/>
        </w:rPr>
        <w:t>α</w:t>
      </w:r>
      <w:r w:rsidR="00EE7A94" w:rsidRPr="00C83C5B">
        <w:rPr>
          <w:rFonts w:ascii="Times New Roman" w:eastAsiaTheme="minorEastAsia" w:hAnsi="Times New Roman"/>
          <w:i/>
          <w:sz w:val="20"/>
          <w:szCs w:val="20"/>
          <w:vertAlign w:val="superscript"/>
          <w:lang w:eastAsia="zh-HK"/>
        </w:rPr>
        <w:t>i</w:t>
      </w:r>
      <w:r w:rsidR="00EE7A94" w:rsidRPr="00C83C5B">
        <w:rPr>
          <w:rFonts w:ascii="Times New Roman" w:eastAsiaTheme="minorEastAsia" w:hAnsi="Times New Roman"/>
          <w:i/>
          <w:sz w:val="20"/>
          <w:szCs w:val="20"/>
          <w:lang w:eastAsia="zh-HK"/>
        </w:rPr>
        <w:t xml:space="preserve"> = </w:t>
      </w:r>
      <m:oMath>
        <m:acc>
          <m:accPr>
            <m:ctrlPr>
              <w:rPr>
                <w:rFonts w:ascii="Cambria Math" w:eastAsia="PMingLiU" w:hAnsi="Cambria Math"/>
                <w:i/>
                <w:sz w:val="20"/>
                <w:szCs w:val="20"/>
                <w:lang w:eastAsia="zh-HK"/>
              </w:rPr>
            </m:ctrlPr>
          </m:accPr>
          <m:e>
            <m:r>
              <w:rPr>
                <w:rFonts w:ascii="Cambria Math" w:eastAsia="PMingLiU" w:hAnsi="Cambria Math"/>
                <w:sz w:val="20"/>
                <w:szCs w:val="20"/>
                <w:lang w:eastAsia="zh-HK"/>
              </w:rPr>
              <m:t>β</m:t>
            </m:r>
          </m:e>
        </m:acc>
      </m:oMath>
      <w:r w:rsidRPr="00C83C5B">
        <w:rPr>
          <w:rFonts w:ascii="Times New Roman" w:eastAsiaTheme="minorEastAsia" w:hAnsi="Times New Roman"/>
          <w:i/>
          <w:sz w:val="20"/>
          <w:szCs w:val="20"/>
          <w:vertAlign w:val="superscript"/>
          <w:lang w:eastAsia="zh-HK"/>
        </w:rPr>
        <w:t>i</w:t>
      </w:r>
      <w:r w:rsidRPr="00C83C5B">
        <w:rPr>
          <w:rFonts w:ascii="Times New Roman" w:eastAsia="PMingLiU" w:hAnsi="Times New Roman"/>
          <w:i/>
          <w:sz w:val="20"/>
          <w:szCs w:val="20"/>
          <w:vertAlign w:val="subscript"/>
          <w:lang w:eastAsia="zh-HK"/>
        </w:rPr>
        <w:t>α</w:t>
      </w:r>
      <w:r w:rsidRPr="00C83C5B">
        <w:rPr>
          <w:rFonts w:ascii="Times New Roman" w:eastAsia="PMingLiU" w:hAnsi="Times New Roman"/>
          <w:i/>
          <w:sz w:val="20"/>
          <w:szCs w:val="20"/>
          <w:lang w:eastAsia="zh-HK"/>
        </w:rPr>
        <w:t xml:space="preserve"> (</w:t>
      </w:r>
      <w:proofErr w:type="spellStart"/>
      <w:r w:rsidRPr="00C83C5B">
        <w:rPr>
          <w:rFonts w:ascii="Times New Roman" w:eastAsia="PMingLiU" w:hAnsi="Times New Roman"/>
          <w:i/>
          <w:sz w:val="20"/>
          <w:szCs w:val="20"/>
          <w:lang w:eastAsia="zh-HK"/>
        </w:rPr>
        <w:t>VaR</w:t>
      </w:r>
      <w:proofErr w:type="spellEnd"/>
      <w:r w:rsidRPr="00C83C5B">
        <w:rPr>
          <w:rFonts w:ascii="Times New Roman" w:eastAsia="PMingLiU" w:hAnsi="Times New Roman"/>
          <w:i/>
          <w:sz w:val="20"/>
          <w:szCs w:val="20"/>
          <w:vertAlign w:val="subscript"/>
          <w:lang w:eastAsia="zh-HK"/>
        </w:rPr>
        <w:t>α</w:t>
      </w:r>
      <w:r w:rsidR="0041615E" w:rsidRPr="00C83C5B">
        <w:rPr>
          <w:rFonts w:ascii="Times New Roman" w:eastAsia="PMingLiU" w:hAnsi="Times New Roman"/>
          <w:i/>
          <w:sz w:val="20"/>
          <w:szCs w:val="20"/>
          <w:vertAlign w:val="superscript"/>
          <w:lang w:eastAsia="zh-HK"/>
        </w:rPr>
        <w:t>i</w:t>
      </w:r>
      <w:r w:rsidRPr="00C83C5B">
        <w:rPr>
          <w:rFonts w:ascii="Times New Roman" w:eastAsia="PMingLiU" w:hAnsi="Times New Roman"/>
          <w:i/>
          <w:sz w:val="20"/>
          <w:szCs w:val="20"/>
          <w:lang w:eastAsia="zh-HK"/>
        </w:rPr>
        <w:t xml:space="preserve"> – VaR</w:t>
      </w:r>
      <w:r w:rsidRPr="00C83C5B">
        <w:rPr>
          <w:rFonts w:ascii="Times New Roman" w:eastAsia="PMingLiU" w:hAnsi="Times New Roman"/>
          <w:i/>
          <w:sz w:val="20"/>
          <w:szCs w:val="20"/>
          <w:vertAlign w:val="subscript"/>
          <w:lang w:eastAsia="zh-HK"/>
        </w:rPr>
        <w:t>50</w:t>
      </w:r>
      <w:r w:rsidR="0041615E" w:rsidRPr="00C83C5B">
        <w:rPr>
          <w:rFonts w:ascii="Times New Roman" w:eastAsia="PMingLiU" w:hAnsi="Times New Roman"/>
          <w:i/>
          <w:sz w:val="20"/>
          <w:szCs w:val="20"/>
          <w:vertAlign w:val="superscript"/>
          <w:lang w:eastAsia="zh-HK"/>
        </w:rPr>
        <w:t>i</w:t>
      </w:r>
      <w:r w:rsidRPr="00C83C5B">
        <w:rPr>
          <w:rFonts w:ascii="Times New Roman" w:eastAsia="PMingLiU" w:hAnsi="Times New Roman"/>
          <w:i/>
          <w:sz w:val="20"/>
          <w:szCs w:val="20"/>
          <w:lang w:eastAsia="zh-HK"/>
        </w:rPr>
        <w:t>)</w:t>
      </w:r>
      <w:r>
        <w:rPr>
          <w:rFonts w:ascii="Times New Roman" w:eastAsia="PMingLiU" w:hAnsi="Times New Roman"/>
          <w:sz w:val="20"/>
          <w:szCs w:val="20"/>
          <w:lang w:eastAsia="zh-HK"/>
        </w:rPr>
        <w:t xml:space="preserve">                   (6)</w:t>
      </w:r>
    </w:p>
    <w:p w14:paraId="3E6BB855" w14:textId="27283643" w:rsidR="00CD09E0" w:rsidRPr="00095CDD" w:rsidRDefault="00CD09E0" w:rsidP="00CD09E0">
      <w:pPr>
        <w:spacing w:after="0" w:line="260" w:lineRule="exact"/>
        <w:jc w:val="both"/>
        <w:rPr>
          <w:rFonts w:ascii="Times New Roman" w:eastAsiaTheme="minorEastAsia" w:hAnsi="Times New Roman"/>
          <w:sz w:val="20"/>
          <w:szCs w:val="20"/>
          <w:lang w:eastAsia="zh-HK"/>
        </w:rPr>
      </w:pPr>
    </w:p>
    <w:p w14:paraId="751601EC" w14:textId="751C8280" w:rsidR="00391826" w:rsidRPr="00824EED" w:rsidRDefault="00971A23" w:rsidP="00391826">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w</w:t>
      </w:r>
      <w:r>
        <w:rPr>
          <w:rFonts w:ascii="Times New Roman" w:eastAsiaTheme="minorEastAsia" w:hAnsi="Times New Roman" w:hint="eastAsia"/>
          <w:sz w:val="20"/>
          <w:szCs w:val="20"/>
          <w:lang w:eastAsia="zh-HK"/>
        </w:rPr>
        <w:t>here</w:t>
      </w:r>
      <w:r w:rsidRPr="00C83C5B">
        <w:rPr>
          <w:rFonts w:ascii="Times New Roman" w:eastAsiaTheme="minorEastAsia" w:hAnsi="Times New Roman"/>
          <w:i/>
          <w:sz w:val="20"/>
          <w:szCs w:val="20"/>
          <w:lang w:eastAsia="zh-HK"/>
        </w:rPr>
        <w:t xml:space="preserve"> </w:t>
      </w:r>
      <m:oMath>
        <m:acc>
          <m:accPr>
            <m:ctrlPr>
              <w:rPr>
                <w:rFonts w:ascii="Cambria Math" w:eastAsia="PMingLiU" w:hAnsi="Cambria Math"/>
                <w:i/>
                <w:sz w:val="20"/>
                <w:szCs w:val="20"/>
                <w:lang w:eastAsia="zh-HK"/>
              </w:rPr>
            </m:ctrlPr>
          </m:accPr>
          <m:e>
            <m:r>
              <w:rPr>
                <w:rFonts w:ascii="Cambria Math" w:eastAsia="PMingLiU" w:hAnsi="Cambria Math"/>
                <w:sz w:val="20"/>
                <w:szCs w:val="20"/>
                <w:lang w:eastAsia="zh-HK"/>
              </w:rPr>
              <m:t>β</m:t>
            </m:r>
          </m:e>
        </m:acc>
      </m:oMath>
      <w:r w:rsidRPr="00C83C5B">
        <w:rPr>
          <w:rFonts w:ascii="Times New Roman" w:eastAsiaTheme="minorEastAsia" w:hAnsi="Times New Roman"/>
          <w:i/>
          <w:sz w:val="20"/>
          <w:szCs w:val="20"/>
          <w:vertAlign w:val="superscript"/>
          <w:lang w:eastAsia="zh-HK"/>
        </w:rPr>
        <w:t>i</w:t>
      </w:r>
      <w:r w:rsidRPr="00C83C5B">
        <w:rPr>
          <w:rFonts w:ascii="Times New Roman" w:eastAsia="PMingLiU" w:hAnsi="Times New Roman"/>
          <w:i/>
          <w:sz w:val="20"/>
          <w:szCs w:val="20"/>
          <w:vertAlign w:val="subscript"/>
          <w:lang w:eastAsia="zh-HK"/>
        </w:rPr>
        <w:t>α</w:t>
      </w:r>
      <w:r w:rsidRPr="00C83C5B">
        <w:rPr>
          <w:rFonts w:ascii="Times New Roman" w:eastAsiaTheme="minorEastAsia" w:hAnsi="Times New Roman" w:hint="eastAsia"/>
          <w:i/>
          <w:sz w:val="20"/>
          <w:szCs w:val="20"/>
          <w:lang w:eastAsia="zh-HK"/>
        </w:rPr>
        <w:t xml:space="preserve"> </w:t>
      </w:r>
      <w:r>
        <w:rPr>
          <w:rFonts w:ascii="Times New Roman" w:eastAsiaTheme="minorEastAsia" w:hAnsi="Times New Roman"/>
          <w:sz w:val="20"/>
          <w:szCs w:val="20"/>
          <w:lang w:eastAsia="zh-HK"/>
        </w:rPr>
        <w:t xml:space="preserve">is the estimated coefficient of performing quantile regression with market return as dependent variable and stock return of insurer </w:t>
      </w:r>
      <w:proofErr w:type="spellStart"/>
      <w:r>
        <w:rPr>
          <w:rFonts w:ascii="Times New Roman" w:eastAsiaTheme="minorEastAsia" w:hAnsi="Times New Roman"/>
          <w:sz w:val="20"/>
          <w:szCs w:val="20"/>
          <w:lang w:eastAsia="zh-HK"/>
        </w:rPr>
        <w:t>i</w:t>
      </w:r>
      <w:proofErr w:type="spellEnd"/>
      <w:r>
        <w:rPr>
          <w:rFonts w:ascii="Times New Roman" w:eastAsiaTheme="minorEastAsia" w:hAnsi="Times New Roman"/>
          <w:sz w:val="20"/>
          <w:szCs w:val="20"/>
          <w:lang w:eastAsia="zh-HK"/>
        </w:rPr>
        <w:t xml:space="preserve"> as independent variable, and </w:t>
      </w:r>
      <w:proofErr w:type="spellStart"/>
      <w:r w:rsidRPr="00C83C5B">
        <w:rPr>
          <w:rFonts w:ascii="Times New Roman" w:eastAsia="PMingLiU" w:hAnsi="Times New Roman"/>
          <w:i/>
          <w:sz w:val="20"/>
          <w:szCs w:val="20"/>
          <w:lang w:eastAsia="zh-HK"/>
        </w:rPr>
        <w:t>VaR</w:t>
      </w:r>
      <w:proofErr w:type="spellEnd"/>
      <w:r w:rsidRPr="00C83C5B">
        <w:rPr>
          <w:rFonts w:ascii="Times New Roman" w:eastAsia="PMingLiU" w:hAnsi="Times New Roman"/>
          <w:i/>
          <w:sz w:val="20"/>
          <w:szCs w:val="20"/>
          <w:vertAlign w:val="subscript"/>
          <w:lang w:eastAsia="zh-HK"/>
        </w:rPr>
        <w:t>α</w:t>
      </w:r>
      <w:r w:rsidR="0041615E" w:rsidRPr="00C83C5B">
        <w:rPr>
          <w:rFonts w:ascii="Times New Roman" w:eastAsia="PMingLiU" w:hAnsi="Times New Roman"/>
          <w:i/>
          <w:sz w:val="20"/>
          <w:szCs w:val="20"/>
          <w:vertAlign w:val="superscript"/>
          <w:lang w:eastAsia="zh-HK"/>
        </w:rPr>
        <w:t>i</w:t>
      </w:r>
      <w:r w:rsidRPr="00C83C5B">
        <w:rPr>
          <w:rFonts w:ascii="Times New Roman" w:eastAsia="PMingLiU" w:hAnsi="Times New Roman"/>
          <w:i/>
          <w:sz w:val="20"/>
          <w:szCs w:val="20"/>
          <w:lang w:eastAsia="zh-HK"/>
        </w:rPr>
        <w:t xml:space="preserve"> </w:t>
      </w:r>
      <w:r>
        <w:rPr>
          <w:rFonts w:ascii="Times New Roman" w:eastAsia="PMingLiU" w:hAnsi="Times New Roman"/>
          <w:sz w:val="20"/>
          <w:szCs w:val="20"/>
          <w:lang w:eastAsia="zh-HK"/>
        </w:rPr>
        <w:t xml:space="preserve">is the </w:t>
      </w:r>
      <w:proofErr w:type="spellStart"/>
      <w:r>
        <w:rPr>
          <w:rFonts w:ascii="Times New Roman" w:eastAsia="PMingLiU" w:hAnsi="Times New Roman"/>
          <w:sz w:val="20"/>
          <w:szCs w:val="20"/>
          <w:lang w:eastAsia="zh-HK"/>
        </w:rPr>
        <w:t>VaR</w:t>
      </w:r>
      <w:proofErr w:type="spellEnd"/>
      <w:r>
        <w:rPr>
          <w:rFonts w:ascii="Times New Roman" w:eastAsia="PMingLiU" w:hAnsi="Times New Roman"/>
          <w:sz w:val="20"/>
          <w:szCs w:val="20"/>
          <w:lang w:eastAsia="zh-HK"/>
        </w:rPr>
        <w:t xml:space="preserve"> of insurer</w:t>
      </w:r>
      <w:r w:rsidRPr="00C83C5B">
        <w:rPr>
          <w:rFonts w:ascii="Times New Roman" w:eastAsia="PMingLiU" w:hAnsi="Times New Roman"/>
          <w:i/>
          <w:sz w:val="20"/>
          <w:szCs w:val="20"/>
          <w:lang w:eastAsia="zh-HK"/>
        </w:rPr>
        <w:t xml:space="preserve"> </w:t>
      </w:r>
      <w:proofErr w:type="spellStart"/>
      <w:r w:rsidRPr="00C83C5B">
        <w:rPr>
          <w:rFonts w:ascii="Times New Roman" w:eastAsia="PMingLiU" w:hAnsi="Times New Roman"/>
          <w:i/>
          <w:sz w:val="20"/>
          <w:szCs w:val="20"/>
          <w:lang w:eastAsia="zh-HK"/>
        </w:rPr>
        <w:t>i</w:t>
      </w:r>
      <w:proofErr w:type="spellEnd"/>
      <w:r w:rsidRPr="00C83C5B">
        <w:rPr>
          <w:rFonts w:ascii="Times New Roman" w:eastAsia="PMingLiU" w:hAnsi="Times New Roman"/>
          <w:i/>
          <w:sz w:val="20"/>
          <w:szCs w:val="20"/>
          <w:lang w:eastAsia="zh-HK"/>
        </w:rPr>
        <w:t xml:space="preserve"> </w:t>
      </w:r>
      <w:r>
        <w:rPr>
          <w:rFonts w:ascii="Times New Roman" w:eastAsia="PMingLiU" w:hAnsi="Times New Roman"/>
          <w:sz w:val="20"/>
          <w:szCs w:val="20"/>
          <w:lang w:eastAsia="zh-HK"/>
        </w:rPr>
        <w:t xml:space="preserve">with </w:t>
      </w:r>
      <w:r>
        <w:rPr>
          <w:rFonts w:ascii="Times New Roman" w:eastAsiaTheme="minorEastAsia" w:hAnsi="Times New Roman"/>
          <w:sz w:val="20"/>
          <w:szCs w:val="20"/>
          <w:lang w:eastAsia="zh-HK"/>
        </w:rPr>
        <w:t xml:space="preserve">confidence level 1 – </w:t>
      </w:r>
      <w:r w:rsidRPr="00C83C5B">
        <w:rPr>
          <w:rFonts w:ascii="Times New Roman" w:eastAsia="PMingLiU" w:hAnsi="Times New Roman"/>
          <w:i/>
          <w:sz w:val="20"/>
          <w:szCs w:val="20"/>
          <w:lang w:eastAsia="zh-HK"/>
        </w:rPr>
        <w:t>α</w:t>
      </w:r>
      <w:r>
        <w:rPr>
          <w:rFonts w:ascii="Times New Roman" w:eastAsia="PMingLiU" w:hAnsi="Times New Roman"/>
          <w:sz w:val="20"/>
          <w:szCs w:val="20"/>
          <w:lang w:eastAsia="zh-HK"/>
        </w:rPr>
        <w:t>%. We use the rolling window method to run quantile regression</w:t>
      </w:r>
      <w:r w:rsidR="0041615E">
        <w:rPr>
          <w:rFonts w:ascii="Times New Roman" w:eastAsia="PMingLiU" w:hAnsi="Times New Roman"/>
          <w:sz w:val="20"/>
          <w:szCs w:val="20"/>
          <w:lang w:eastAsia="zh-HK"/>
        </w:rPr>
        <w:t>s</w:t>
      </w:r>
      <w:r>
        <w:rPr>
          <w:rFonts w:ascii="Times New Roman" w:eastAsia="PMingLiU" w:hAnsi="Times New Roman"/>
          <w:sz w:val="20"/>
          <w:szCs w:val="20"/>
          <w:lang w:eastAsia="zh-HK"/>
        </w:rPr>
        <w:t xml:space="preserve"> on daily stock returns for each insurer to obtain</w:t>
      </w:r>
      <w:r w:rsidRPr="00C83C5B">
        <w:rPr>
          <w:rFonts w:ascii="Times New Roman" w:eastAsia="PMingLiU" w:hAnsi="Times New Roman"/>
          <w:i/>
          <w:sz w:val="20"/>
          <w:szCs w:val="20"/>
          <w:lang w:eastAsia="zh-HK"/>
        </w:rPr>
        <w:t xml:space="preserve"> </w:t>
      </w:r>
      <m:oMath>
        <m:acc>
          <m:accPr>
            <m:ctrlPr>
              <w:rPr>
                <w:rFonts w:ascii="Cambria Math" w:eastAsia="PMingLiU" w:hAnsi="Cambria Math"/>
                <w:i/>
                <w:sz w:val="20"/>
                <w:szCs w:val="20"/>
                <w:lang w:eastAsia="zh-HK"/>
              </w:rPr>
            </m:ctrlPr>
          </m:accPr>
          <m:e>
            <m:r>
              <w:rPr>
                <w:rFonts w:ascii="Cambria Math" w:eastAsia="PMingLiU" w:hAnsi="Cambria Math"/>
                <w:sz w:val="20"/>
                <w:szCs w:val="20"/>
                <w:lang w:eastAsia="zh-HK"/>
              </w:rPr>
              <m:t>β</m:t>
            </m:r>
          </m:e>
        </m:acc>
      </m:oMath>
      <w:proofErr w:type="spellStart"/>
      <w:r w:rsidRPr="00C83C5B">
        <w:rPr>
          <w:rFonts w:ascii="Times New Roman" w:eastAsiaTheme="minorEastAsia" w:hAnsi="Times New Roman"/>
          <w:i/>
          <w:sz w:val="20"/>
          <w:szCs w:val="20"/>
          <w:vertAlign w:val="superscript"/>
          <w:lang w:eastAsia="zh-HK"/>
        </w:rPr>
        <w:t>i</w:t>
      </w:r>
      <w:proofErr w:type="spellEnd"/>
      <w:r w:rsidRPr="00C83C5B">
        <w:rPr>
          <w:rFonts w:ascii="Times New Roman" w:eastAsia="PMingLiU" w:hAnsi="Times New Roman"/>
          <w:i/>
          <w:sz w:val="20"/>
          <w:szCs w:val="20"/>
          <w:vertAlign w:val="subscript"/>
          <w:lang w:eastAsia="zh-HK"/>
        </w:rPr>
        <w:t>α</w:t>
      </w:r>
      <w:r>
        <w:rPr>
          <w:rFonts w:ascii="Times New Roman" w:eastAsia="PMingLiU" w:hAnsi="Times New Roman"/>
          <w:sz w:val="20"/>
          <w:szCs w:val="20"/>
          <w:lang w:eastAsia="zh-HK"/>
        </w:rPr>
        <w:t xml:space="preserve"> </w:t>
      </w:r>
      <w:r w:rsidR="00426B26">
        <w:rPr>
          <w:rFonts w:ascii="Times New Roman" w:eastAsia="PMingLiU" w:hAnsi="Times New Roman"/>
          <w:sz w:val="20"/>
          <w:szCs w:val="20"/>
          <w:lang w:eastAsia="zh-HK"/>
        </w:rPr>
        <w:t xml:space="preserve">for each quarter, </w:t>
      </w:r>
      <w:r>
        <w:rPr>
          <w:rFonts w:ascii="Times New Roman" w:eastAsia="PMingLiU" w:hAnsi="Times New Roman"/>
          <w:sz w:val="20"/>
          <w:szCs w:val="20"/>
          <w:lang w:eastAsia="zh-HK"/>
        </w:rPr>
        <w:t xml:space="preserve">and subsequently compute the </w:t>
      </w:r>
      <w:r w:rsidRPr="00C83C5B">
        <w:rPr>
          <w:rFonts w:ascii="Times New Roman" w:eastAsiaTheme="minorEastAsia" w:hAnsi="Times New Roman" w:hint="eastAsia"/>
          <w:i/>
          <w:sz w:val="20"/>
          <w:szCs w:val="20"/>
          <w:lang w:eastAsia="zh-HK"/>
        </w:rPr>
        <w:t>Δ</w:t>
      </w:r>
      <w:proofErr w:type="spellStart"/>
      <w:r w:rsidRPr="00C83C5B">
        <w:rPr>
          <w:rFonts w:ascii="Times New Roman" w:eastAsiaTheme="minorEastAsia" w:hAnsi="Times New Roman"/>
          <w:i/>
          <w:sz w:val="20"/>
          <w:szCs w:val="20"/>
          <w:lang w:eastAsia="zh-HK"/>
        </w:rPr>
        <w:t>CoVAR</w:t>
      </w:r>
      <w:proofErr w:type="spellEnd"/>
      <w:r w:rsidRPr="00C83C5B">
        <w:rPr>
          <w:rFonts w:ascii="Times New Roman" w:eastAsia="PMingLiU" w:hAnsi="Times New Roman"/>
          <w:i/>
          <w:sz w:val="20"/>
          <w:szCs w:val="20"/>
          <w:vertAlign w:val="subscript"/>
          <w:lang w:eastAsia="zh-HK"/>
        </w:rPr>
        <w:t>α</w:t>
      </w:r>
      <w:r w:rsidRPr="00C83C5B">
        <w:rPr>
          <w:rFonts w:ascii="Times New Roman" w:eastAsiaTheme="minorEastAsia" w:hAnsi="Times New Roman"/>
          <w:i/>
          <w:sz w:val="20"/>
          <w:szCs w:val="20"/>
          <w:vertAlign w:val="superscript"/>
          <w:lang w:eastAsia="zh-HK"/>
        </w:rPr>
        <w:t>i</w:t>
      </w:r>
      <w:r>
        <w:rPr>
          <w:rFonts w:ascii="Times New Roman" w:eastAsia="PMingLiU" w:hAnsi="Times New Roman"/>
          <w:sz w:val="20"/>
          <w:szCs w:val="20"/>
          <w:lang w:eastAsia="zh-HK"/>
        </w:rPr>
        <w:t xml:space="preserve"> on a quarterly basis. To be </w:t>
      </w:r>
      <w:r>
        <w:rPr>
          <w:rFonts w:ascii="Times New Roman" w:eastAsia="PMingLiU" w:hAnsi="Times New Roman"/>
          <w:sz w:val="20"/>
          <w:szCs w:val="20"/>
          <w:lang w:eastAsia="zh-HK"/>
        </w:rPr>
        <w:lastRenderedPageBreak/>
        <w:t xml:space="preserve">consistent with previous systemic risk measures, we choose </w:t>
      </w:r>
      <w:r w:rsidRPr="00C83C5B">
        <w:rPr>
          <w:rFonts w:ascii="Times New Roman" w:eastAsia="PMingLiU" w:hAnsi="Times New Roman"/>
          <w:i/>
          <w:sz w:val="20"/>
          <w:szCs w:val="20"/>
          <w:lang w:eastAsia="zh-HK"/>
        </w:rPr>
        <w:t xml:space="preserve">α </w:t>
      </w:r>
      <w:r>
        <w:rPr>
          <w:rFonts w:ascii="Times New Roman" w:eastAsia="PMingLiU" w:hAnsi="Times New Roman"/>
          <w:sz w:val="20"/>
          <w:szCs w:val="20"/>
          <w:lang w:eastAsia="zh-HK"/>
        </w:rPr>
        <w:t>to be 5.</w:t>
      </w:r>
      <w:r w:rsidR="00391826">
        <w:rPr>
          <w:rFonts w:ascii="Times New Roman" w:eastAsia="PMingLiU" w:hAnsi="Times New Roman"/>
          <w:sz w:val="20"/>
          <w:szCs w:val="20"/>
          <w:lang w:eastAsia="zh-HK"/>
        </w:rPr>
        <w:t xml:space="preserve"> A lower value of </w:t>
      </w:r>
      <w:r w:rsidR="00391826" w:rsidRPr="002649EA">
        <w:rPr>
          <w:rFonts w:ascii="Times New Roman" w:eastAsiaTheme="minorEastAsia" w:hAnsi="Times New Roman" w:hint="eastAsia"/>
          <w:sz w:val="20"/>
          <w:szCs w:val="20"/>
          <w:lang w:eastAsia="zh-HK"/>
        </w:rPr>
        <w:t>Δ</w:t>
      </w:r>
      <w:proofErr w:type="spellStart"/>
      <w:r w:rsidR="00391826" w:rsidRPr="002649EA">
        <w:rPr>
          <w:rFonts w:ascii="Times New Roman" w:eastAsiaTheme="minorEastAsia" w:hAnsi="Times New Roman"/>
          <w:sz w:val="20"/>
          <w:szCs w:val="20"/>
          <w:lang w:eastAsia="zh-HK"/>
        </w:rPr>
        <w:t>CoVAR</w:t>
      </w:r>
      <w:proofErr w:type="spellEnd"/>
      <w:r w:rsidR="00391826">
        <w:rPr>
          <w:rFonts w:ascii="Times New Roman" w:eastAsia="PMingLiU" w:hAnsi="Times New Roman"/>
          <w:sz w:val="20"/>
          <w:szCs w:val="20"/>
          <w:lang w:eastAsia="zh-HK"/>
        </w:rPr>
        <w:t xml:space="preserve"> represents more systemic risk.</w:t>
      </w:r>
    </w:p>
    <w:p w14:paraId="14E51E08" w14:textId="20AC8E54" w:rsidR="00AD16BD" w:rsidRPr="007479DF" w:rsidRDefault="00AD16BD" w:rsidP="00CD09E0">
      <w:pPr>
        <w:spacing w:after="0" w:line="260" w:lineRule="exact"/>
        <w:jc w:val="both"/>
        <w:rPr>
          <w:rFonts w:ascii="Times New Roman" w:eastAsiaTheme="minorEastAsia" w:hAnsi="Times New Roman"/>
          <w:sz w:val="20"/>
          <w:szCs w:val="20"/>
          <w:lang w:eastAsia="zh-HK"/>
        </w:rPr>
      </w:pPr>
    </w:p>
    <w:p w14:paraId="55A42623" w14:textId="263C32D2" w:rsidR="00D91A00" w:rsidRPr="00B86E32" w:rsidRDefault="00426B26" w:rsidP="007E0778">
      <w:pPr>
        <w:pStyle w:val="ListParagraph"/>
        <w:numPr>
          <w:ilvl w:val="1"/>
          <w:numId w:val="1"/>
        </w:numPr>
        <w:spacing w:after="0" w:line="240" w:lineRule="auto"/>
        <w:ind w:leftChars="0" w:left="0" w:firstLine="0"/>
        <w:jc w:val="both"/>
        <w:rPr>
          <w:rFonts w:ascii="Times New Roman" w:eastAsiaTheme="minorEastAsia" w:hAnsi="Times New Roman"/>
          <w:b/>
          <w:i/>
          <w:sz w:val="20"/>
          <w:szCs w:val="20"/>
          <w:lang w:eastAsia="zh-HK"/>
        </w:rPr>
      </w:pPr>
      <w:r>
        <w:rPr>
          <w:rFonts w:ascii="Times New Roman" w:eastAsiaTheme="minorEastAsia" w:hAnsi="Times New Roman"/>
          <w:b/>
          <w:i/>
          <w:sz w:val="20"/>
          <w:szCs w:val="20"/>
          <w:lang w:eastAsia="zh-HK"/>
        </w:rPr>
        <w:t>Independent variables</w:t>
      </w:r>
    </w:p>
    <w:p w14:paraId="1557DDF1" w14:textId="5B3AC4DC" w:rsidR="00E01B9F" w:rsidRPr="000C6940" w:rsidRDefault="00975C55"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As we attemp</w:t>
      </w:r>
      <w:r w:rsidR="00495588">
        <w:rPr>
          <w:rFonts w:ascii="Times New Roman" w:eastAsiaTheme="minorEastAsia" w:hAnsi="Times New Roman"/>
          <w:sz w:val="20"/>
          <w:szCs w:val="20"/>
          <w:lang w:eastAsia="zh-HK"/>
        </w:rPr>
        <w:t>t to capture the effect of the new regulation</w:t>
      </w:r>
      <w:r>
        <w:rPr>
          <w:rFonts w:ascii="Times New Roman" w:eastAsiaTheme="minorEastAsia" w:hAnsi="Times New Roman"/>
          <w:sz w:val="20"/>
          <w:szCs w:val="20"/>
          <w:lang w:eastAsia="zh-HK"/>
        </w:rPr>
        <w:t xml:space="preserve"> on G-SII’s systemi</w:t>
      </w:r>
      <w:r w:rsidR="007479DF">
        <w:rPr>
          <w:rFonts w:ascii="Times New Roman" w:eastAsiaTheme="minorEastAsia" w:hAnsi="Times New Roman"/>
          <w:sz w:val="20"/>
          <w:szCs w:val="20"/>
          <w:lang w:eastAsia="zh-HK"/>
        </w:rPr>
        <w:t>c risk</w:t>
      </w:r>
      <w:r>
        <w:rPr>
          <w:rFonts w:ascii="Times New Roman" w:eastAsiaTheme="minorEastAsia" w:hAnsi="Times New Roman"/>
          <w:sz w:val="20"/>
          <w:szCs w:val="20"/>
          <w:lang w:eastAsia="zh-HK"/>
        </w:rPr>
        <w:t>, the variable of</w:t>
      </w:r>
      <w:r w:rsidR="00023B94">
        <w:rPr>
          <w:rFonts w:ascii="Times New Roman" w:eastAsiaTheme="minorEastAsia" w:hAnsi="Times New Roman"/>
          <w:sz w:val="20"/>
          <w:szCs w:val="20"/>
          <w:lang w:eastAsia="zh-HK"/>
        </w:rPr>
        <w:t xml:space="preserve"> </w:t>
      </w:r>
      <w:r w:rsidR="00023B94" w:rsidRPr="000C6940">
        <w:rPr>
          <w:rFonts w:ascii="Times New Roman" w:eastAsiaTheme="minorEastAsia" w:hAnsi="Times New Roman"/>
          <w:sz w:val="20"/>
          <w:szCs w:val="20"/>
          <w:lang w:eastAsia="zh-HK"/>
        </w:rPr>
        <w:t>our</w:t>
      </w:r>
      <w:r w:rsidRPr="000C6940">
        <w:rPr>
          <w:rFonts w:ascii="Times New Roman" w:eastAsiaTheme="minorEastAsia" w:hAnsi="Times New Roman"/>
          <w:sz w:val="20"/>
          <w:szCs w:val="20"/>
          <w:lang w:eastAsia="zh-HK"/>
        </w:rPr>
        <w:t xml:space="preserve"> interest is the interaction term</w:t>
      </w:r>
      <w:r w:rsidR="00495588">
        <w:rPr>
          <w:rFonts w:ascii="Times New Roman" w:eastAsiaTheme="minorEastAsia" w:hAnsi="Times New Roman"/>
          <w:i/>
          <w:sz w:val="20"/>
          <w:szCs w:val="20"/>
          <w:lang w:eastAsia="zh-HK"/>
        </w:rPr>
        <w:t xml:space="preserve"> Policy x G</w:t>
      </w:r>
      <w:r w:rsidRPr="000C6940">
        <w:rPr>
          <w:rFonts w:ascii="Times New Roman" w:eastAsiaTheme="minorEastAsia" w:hAnsi="Times New Roman"/>
          <w:i/>
          <w:sz w:val="20"/>
          <w:szCs w:val="20"/>
          <w:lang w:eastAsia="zh-HK"/>
        </w:rPr>
        <w:t>SII</w:t>
      </w:r>
      <w:r w:rsidRPr="000C6940">
        <w:rPr>
          <w:rFonts w:ascii="Times New Roman" w:eastAsiaTheme="minorEastAsia" w:hAnsi="Times New Roman"/>
          <w:sz w:val="20"/>
          <w:szCs w:val="20"/>
          <w:lang w:eastAsia="zh-HK"/>
        </w:rPr>
        <w:t xml:space="preserve">, where </w:t>
      </w:r>
      <w:r w:rsidR="0094269E" w:rsidRPr="000C6940">
        <w:rPr>
          <w:rFonts w:ascii="Times New Roman" w:eastAsiaTheme="minorEastAsia" w:hAnsi="Times New Roman"/>
          <w:i/>
          <w:sz w:val="20"/>
          <w:szCs w:val="20"/>
          <w:lang w:eastAsia="zh-HK"/>
        </w:rPr>
        <w:t>P</w:t>
      </w:r>
      <w:r w:rsidRPr="000C6940">
        <w:rPr>
          <w:rFonts w:ascii="Times New Roman" w:eastAsiaTheme="minorEastAsia" w:hAnsi="Times New Roman"/>
          <w:i/>
          <w:sz w:val="20"/>
          <w:szCs w:val="20"/>
          <w:lang w:eastAsia="zh-HK"/>
        </w:rPr>
        <w:t xml:space="preserve">olicy </w:t>
      </w:r>
      <w:r w:rsidRPr="000C6940">
        <w:rPr>
          <w:rFonts w:ascii="Times New Roman" w:eastAsiaTheme="minorEastAsia" w:hAnsi="Times New Roman"/>
          <w:sz w:val="20"/>
          <w:szCs w:val="20"/>
          <w:lang w:eastAsia="zh-HK"/>
        </w:rPr>
        <w:t xml:space="preserve">is a dummy variable that takes the value of 1 for </w:t>
      </w:r>
      <w:r w:rsidR="00023B94" w:rsidRPr="000C6940">
        <w:rPr>
          <w:rFonts w:ascii="Times New Roman" w:eastAsiaTheme="minorEastAsia" w:hAnsi="Times New Roman"/>
          <w:sz w:val="20"/>
          <w:szCs w:val="20"/>
          <w:lang w:eastAsia="zh-HK"/>
        </w:rPr>
        <w:t xml:space="preserve">the </w:t>
      </w:r>
      <w:r w:rsidRPr="000C6940">
        <w:rPr>
          <w:rFonts w:ascii="Times New Roman" w:eastAsiaTheme="minorEastAsia" w:hAnsi="Times New Roman"/>
          <w:sz w:val="20"/>
          <w:szCs w:val="20"/>
          <w:lang w:eastAsia="zh-HK"/>
        </w:rPr>
        <w:t>time period</w:t>
      </w:r>
      <w:r w:rsidR="001B5660" w:rsidRPr="000C6940">
        <w:rPr>
          <w:rFonts w:ascii="Times New Roman" w:eastAsiaTheme="minorEastAsia" w:hAnsi="Times New Roman"/>
          <w:sz w:val="20"/>
          <w:szCs w:val="20"/>
          <w:lang w:eastAsia="zh-HK"/>
        </w:rPr>
        <w:t xml:space="preserve"> on</w:t>
      </w:r>
      <w:r w:rsidRPr="000C6940">
        <w:rPr>
          <w:rFonts w:ascii="Times New Roman" w:eastAsiaTheme="minorEastAsia" w:hAnsi="Times New Roman"/>
          <w:sz w:val="20"/>
          <w:szCs w:val="20"/>
          <w:lang w:eastAsia="zh-HK"/>
        </w:rPr>
        <w:t xml:space="preserve"> </w:t>
      </w:r>
      <w:r w:rsidR="001B5660" w:rsidRPr="000C6940">
        <w:rPr>
          <w:rFonts w:ascii="Times New Roman" w:eastAsiaTheme="minorEastAsia" w:hAnsi="Times New Roman"/>
          <w:sz w:val="20"/>
          <w:szCs w:val="20"/>
          <w:lang w:eastAsia="zh-HK"/>
        </w:rPr>
        <w:t xml:space="preserve">or </w:t>
      </w:r>
      <w:r w:rsidRPr="000C6940">
        <w:rPr>
          <w:rFonts w:ascii="Times New Roman" w:eastAsiaTheme="minorEastAsia" w:hAnsi="Times New Roman"/>
          <w:sz w:val="20"/>
          <w:szCs w:val="20"/>
          <w:lang w:eastAsia="zh-HK"/>
        </w:rPr>
        <w:t xml:space="preserve">after </w:t>
      </w:r>
      <w:r w:rsidR="00023B94" w:rsidRPr="000C6940">
        <w:rPr>
          <w:rFonts w:ascii="Times New Roman" w:eastAsiaTheme="minorEastAsia" w:hAnsi="Times New Roman"/>
          <w:sz w:val="20"/>
          <w:szCs w:val="20"/>
          <w:lang w:eastAsia="zh-HK"/>
        </w:rPr>
        <w:t xml:space="preserve">the </w:t>
      </w:r>
      <w:r w:rsidR="001B5660" w:rsidRPr="000C6940">
        <w:rPr>
          <w:rFonts w:ascii="Times New Roman" w:eastAsiaTheme="minorEastAsia" w:hAnsi="Times New Roman"/>
          <w:sz w:val="20"/>
          <w:szCs w:val="20"/>
          <w:lang w:eastAsia="zh-HK"/>
        </w:rPr>
        <w:t>first</w:t>
      </w:r>
      <w:r w:rsidR="00023B94" w:rsidRPr="000C6940">
        <w:rPr>
          <w:rFonts w:ascii="Times New Roman" w:eastAsiaTheme="minorEastAsia" w:hAnsi="Times New Roman"/>
          <w:sz w:val="20"/>
          <w:szCs w:val="20"/>
          <w:lang w:eastAsia="zh-HK"/>
        </w:rPr>
        <w:t xml:space="preserve"> quarter of 201</w:t>
      </w:r>
      <w:r w:rsidR="001B5660" w:rsidRPr="000C6940">
        <w:rPr>
          <w:rFonts w:ascii="Times New Roman" w:eastAsiaTheme="minorEastAsia" w:hAnsi="Times New Roman"/>
          <w:sz w:val="20"/>
          <w:szCs w:val="20"/>
          <w:lang w:eastAsia="zh-HK"/>
        </w:rPr>
        <w:t>2</w:t>
      </w:r>
      <w:r w:rsidRPr="000C6940">
        <w:rPr>
          <w:rFonts w:ascii="Times New Roman" w:eastAsiaTheme="minorEastAsia" w:hAnsi="Times New Roman"/>
          <w:sz w:val="20"/>
          <w:szCs w:val="20"/>
          <w:lang w:eastAsia="zh-HK"/>
        </w:rPr>
        <w:t xml:space="preserve">, and </w:t>
      </w:r>
      <w:r w:rsidR="00DB5297">
        <w:rPr>
          <w:rFonts w:ascii="Times New Roman" w:eastAsiaTheme="minorEastAsia" w:hAnsi="Times New Roman"/>
          <w:i/>
          <w:sz w:val="20"/>
          <w:szCs w:val="20"/>
          <w:lang w:eastAsia="zh-HK"/>
        </w:rPr>
        <w:t>G</w:t>
      </w:r>
      <w:r w:rsidRPr="000C6940">
        <w:rPr>
          <w:rFonts w:ascii="Times New Roman" w:eastAsiaTheme="minorEastAsia" w:hAnsi="Times New Roman"/>
          <w:i/>
          <w:sz w:val="20"/>
          <w:szCs w:val="20"/>
          <w:lang w:eastAsia="zh-HK"/>
        </w:rPr>
        <w:t>SII</w:t>
      </w:r>
      <w:r w:rsidRPr="000C6940">
        <w:rPr>
          <w:rFonts w:ascii="Times New Roman" w:eastAsiaTheme="minorEastAsia" w:hAnsi="Times New Roman"/>
          <w:sz w:val="20"/>
          <w:szCs w:val="20"/>
          <w:lang w:eastAsia="zh-HK"/>
        </w:rPr>
        <w:t xml:space="preserve"> is a dummy variable that takes the value of 1 if the insurer has been designated by the FSB as global systemically important.</w:t>
      </w:r>
      <w:r w:rsidR="00023B94" w:rsidRPr="000C6940">
        <w:rPr>
          <w:rFonts w:ascii="Times New Roman" w:eastAsiaTheme="minorEastAsia" w:hAnsi="Times New Roman"/>
          <w:sz w:val="20"/>
          <w:szCs w:val="20"/>
          <w:lang w:eastAsia="zh-HK"/>
        </w:rPr>
        <w:t xml:space="preserve"> </w:t>
      </w:r>
      <w:r w:rsidR="0093053A" w:rsidRPr="000C6940">
        <w:rPr>
          <w:rFonts w:ascii="Times New Roman" w:eastAsiaTheme="minorEastAsia" w:hAnsi="Times New Roman"/>
          <w:sz w:val="20"/>
          <w:szCs w:val="20"/>
          <w:lang w:eastAsia="zh-HK"/>
        </w:rPr>
        <w:t xml:space="preserve">As </w:t>
      </w:r>
      <w:r w:rsidR="003109EB" w:rsidRPr="000C6940">
        <w:rPr>
          <w:rFonts w:ascii="Times New Roman" w:eastAsiaTheme="minorEastAsia" w:hAnsi="Times New Roman"/>
          <w:sz w:val="20"/>
          <w:szCs w:val="20"/>
          <w:lang w:eastAsia="zh-HK"/>
        </w:rPr>
        <w:t>the G20 publicly declared</w:t>
      </w:r>
      <w:r w:rsidR="001B5660" w:rsidRPr="000C6940">
        <w:rPr>
          <w:rFonts w:ascii="Times New Roman" w:eastAsiaTheme="minorEastAsia" w:hAnsi="Times New Roman"/>
          <w:sz w:val="20"/>
          <w:szCs w:val="20"/>
          <w:lang w:eastAsia="zh-HK"/>
        </w:rPr>
        <w:t xml:space="preserve"> the need to tighten supervision on G-SIIs </w:t>
      </w:r>
      <w:r w:rsidR="003109EB" w:rsidRPr="000C6940">
        <w:rPr>
          <w:rFonts w:ascii="Times New Roman" w:eastAsiaTheme="minorEastAsia" w:hAnsi="Times New Roman"/>
          <w:sz w:val="20"/>
          <w:szCs w:val="20"/>
          <w:lang w:eastAsia="zh-HK"/>
        </w:rPr>
        <w:t>during</w:t>
      </w:r>
      <w:r w:rsidR="001B5660" w:rsidRPr="000C6940">
        <w:rPr>
          <w:rFonts w:ascii="Times New Roman" w:eastAsiaTheme="minorEastAsia" w:hAnsi="Times New Roman"/>
          <w:sz w:val="20"/>
          <w:szCs w:val="20"/>
          <w:lang w:eastAsia="zh-HK"/>
        </w:rPr>
        <w:t xml:space="preserve"> the meetings in November 2011 and June 2012, </w:t>
      </w:r>
      <w:r w:rsidR="00023B94" w:rsidRPr="000C6940">
        <w:rPr>
          <w:rFonts w:ascii="Times New Roman" w:eastAsiaTheme="minorEastAsia" w:hAnsi="Times New Roman"/>
          <w:sz w:val="20"/>
          <w:szCs w:val="20"/>
          <w:lang w:eastAsia="zh-HK"/>
        </w:rPr>
        <w:t xml:space="preserve">the IAIS </w:t>
      </w:r>
      <w:r w:rsidR="001B5660" w:rsidRPr="000C6940">
        <w:rPr>
          <w:rFonts w:ascii="Times New Roman" w:eastAsiaTheme="minorEastAsia" w:hAnsi="Times New Roman"/>
          <w:sz w:val="20"/>
          <w:szCs w:val="20"/>
          <w:lang w:eastAsia="zh-HK"/>
        </w:rPr>
        <w:t>responded by publishing</w:t>
      </w:r>
      <w:r w:rsidR="00023B94" w:rsidRPr="000C6940">
        <w:rPr>
          <w:rFonts w:ascii="Times New Roman" w:eastAsiaTheme="minorEastAsia" w:hAnsi="Times New Roman"/>
          <w:sz w:val="20"/>
          <w:szCs w:val="20"/>
          <w:lang w:eastAsia="zh-HK"/>
        </w:rPr>
        <w:t xml:space="preserve"> three different policy measures governing the supervision of G-SIIs in July 2013, October 2014 and October 2015</w:t>
      </w:r>
      <w:r w:rsidR="001B5660" w:rsidRPr="000C6940">
        <w:rPr>
          <w:rFonts w:ascii="Times New Roman" w:eastAsiaTheme="minorEastAsia" w:hAnsi="Times New Roman"/>
          <w:sz w:val="20"/>
          <w:szCs w:val="20"/>
          <w:lang w:eastAsia="zh-HK"/>
        </w:rPr>
        <w:t>. T</w:t>
      </w:r>
      <w:r w:rsidR="00C24B59" w:rsidRPr="000C6940">
        <w:rPr>
          <w:rFonts w:ascii="Times New Roman" w:eastAsiaTheme="minorEastAsia" w:hAnsi="Times New Roman"/>
          <w:sz w:val="20"/>
          <w:szCs w:val="20"/>
          <w:lang w:eastAsia="zh-HK"/>
        </w:rPr>
        <w:t xml:space="preserve">he </w:t>
      </w:r>
      <w:r w:rsidR="00C83C5B">
        <w:rPr>
          <w:rFonts w:ascii="Times New Roman" w:eastAsiaTheme="minorEastAsia" w:hAnsi="Times New Roman"/>
          <w:sz w:val="20"/>
          <w:szCs w:val="20"/>
          <w:lang w:eastAsia="zh-HK"/>
        </w:rPr>
        <w:t>regulatory attention paid to the supervision of G-SIIs is</w:t>
      </w:r>
      <w:r w:rsidR="00C24B59" w:rsidRPr="000C6940">
        <w:rPr>
          <w:rFonts w:ascii="Times New Roman" w:eastAsiaTheme="minorEastAsia" w:hAnsi="Times New Roman"/>
          <w:sz w:val="20"/>
          <w:szCs w:val="20"/>
          <w:lang w:eastAsia="zh-HK"/>
        </w:rPr>
        <w:t xml:space="preserve"> expected to </w:t>
      </w:r>
      <w:r w:rsidR="001B5660" w:rsidRPr="000C6940">
        <w:rPr>
          <w:rFonts w:ascii="Times New Roman" w:eastAsiaTheme="minorEastAsia" w:hAnsi="Times New Roman"/>
          <w:sz w:val="20"/>
          <w:szCs w:val="20"/>
          <w:lang w:eastAsia="zh-HK"/>
        </w:rPr>
        <w:t>generate incentives for</w:t>
      </w:r>
      <w:r w:rsidR="00C24B59" w:rsidRPr="000C6940">
        <w:rPr>
          <w:rFonts w:ascii="Times New Roman" w:eastAsiaTheme="minorEastAsia" w:hAnsi="Times New Roman"/>
          <w:sz w:val="20"/>
          <w:szCs w:val="20"/>
          <w:lang w:eastAsia="zh-HK"/>
        </w:rPr>
        <w:t xml:space="preserve"> G-SIIs </w:t>
      </w:r>
      <w:r w:rsidR="00DB5297">
        <w:rPr>
          <w:rFonts w:ascii="Times New Roman" w:eastAsiaTheme="minorEastAsia" w:hAnsi="Times New Roman"/>
          <w:sz w:val="20"/>
          <w:szCs w:val="20"/>
          <w:lang w:eastAsia="zh-HK"/>
        </w:rPr>
        <w:t xml:space="preserve">to </w:t>
      </w:r>
      <w:r w:rsidR="00F34BD3">
        <w:rPr>
          <w:rFonts w:ascii="Times New Roman" w:eastAsiaTheme="minorEastAsia" w:hAnsi="Times New Roman"/>
          <w:sz w:val="20"/>
          <w:szCs w:val="20"/>
          <w:lang w:eastAsia="zh-HK"/>
        </w:rPr>
        <w:t>change their risk-taking behaviors</w:t>
      </w:r>
      <w:r w:rsidR="00DB5297">
        <w:rPr>
          <w:rFonts w:ascii="Times New Roman" w:eastAsiaTheme="minorEastAsia" w:hAnsi="Times New Roman"/>
          <w:sz w:val="20"/>
          <w:szCs w:val="20"/>
          <w:lang w:eastAsia="zh-HK"/>
        </w:rPr>
        <w:t xml:space="preserve"> from 2012 Q1 to the end of our sample period </w:t>
      </w:r>
      <w:r w:rsidR="00C24B59" w:rsidRPr="000C6940">
        <w:rPr>
          <w:rFonts w:ascii="Times New Roman" w:eastAsiaTheme="minorEastAsia" w:hAnsi="Times New Roman"/>
          <w:sz w:val="20"/>
          <w:szCs w:val="20"/>
          <w:lang w:eastAsia="zh-HK"/>
        </w:rPr>
        <w:t xml:space="preserve">and hence, the </w:t>
      </w:r>
      <w:r w:rsidR="0094269E" w:rsidRPr="000C6940">
        <w:rPr>
          <w:rFonts w:ascii="Times New Roman" w:eastAsiaTheme="minorEastAsia" w:hAnsi="Times New Roman"/>
          <w:i/>
          <w:sz w:val="20"/>
          <w:szCs w:val="20"/>
          <w:lang w:eastAsia="zh-HK"/>
        </w:rPr>
        <w:t>Policy</w:t>
      </w:r>
      <w:r w:rsidR="00C24B59" w:rsidRPr="000C6940">
        <w:rPr>
          <w:rFonts w:ascii="Times New Roman" w:eastAsiaTheme="minorEastAsia" w:hAnsi="Times New Roman"/>
          <w:sz w:val="20"/>
          <w:szCs w:val="20"/>
          <w:lang w:eastAsia="zh-HK"/>
        </w:rPr>
        <w:t xml:space="preserve"> dummy remains at 1 during this period.</w:t>
      </w:r>
      <w:r w:rsidR="0041615E">
        <w:rPr>
          <w:rFonts w:ascii="Times New Roman" w:eastAsiaTheme="minorEastAsia" w:hAnsi="Times New Roman"/>
          <w:sz w:val="20"/>
          <w:szCs w:val="20"/>
          <w:lang w:eastAsia="zh-HK"/>
        </w:rPr>
        <w:t xml:space="preserve"> </w:t>
      </w:r>
      <w:r w:rsidR="002C3DE3" w:rsidRPr="000C6940">
        <w:rPr>
          <w:rFonts w:ascii="Times New Roman" w:eastAsiaTheme="minorEastAsia" w:hAnsi="Times New Roman"/>
          <w:sz w:val="20"/>
          <w:szCs w:val="20"/>
          <w:lang w:eastAsia="zh-HK"/>
        </w:rPr>
        <w:t>If the new regulation success</w:t>
      </w:r>
      <w:r w:rsidR="007479DF">
        <w:rPr>
          <w:rFonts w:ascii="Times New Roman" w:eastAsiaTheme="minorEastAsia" w:hAnsi="Times New Roman"/>
          <w:sz w:val="20"/>
          <w:szCs w:val="20"/>
          <w:lang w:eastAsia="zh-HK"/>
        </w:rPr>
        <w:t>fully reduces the systemic risk</w:t>
      </w:r>
      <w:r w:rsidR="002C3DE3" w:rsidRPr="000C6940">
        <w:rPr>
          <w:rFonts w:ascii="Times New Roman" w:eastAsiaTheme="minorEastAsia" w:hAnsi="Times New Roman"/>
          <w:sz w:val="20"/>
          <w:szCs w:val="20"/>
          <w:lang w:eastAsia="zh-HK"/>
        </w:rPr>
        <w:t xml:space="preserve"> of G-SIIs, we </w:t>
      </w:r>
      <w:r w:rsidR="007479DF">
        <w:rPr>
          <w:rFonts w:ascii="Times New Roman" w:eastAsiaTheme="minorEastAsia" w:hAnsi="Times New Roman"/>
          <w:sz w:val="20"/>
          <w:szCs w:val="20"/>
          <w:lang w:eastAsia="zh-HK"/>
        </w:rPr>
        <w:t>should</w:t>
      </w:r>
      <w:r w:rsidR="002C3DE3" w:rsidRPr="000C6940">
        <w:rPr>
          <w:rFonts w:ascii="Times New Roman" w:eastAsiaTheme="minorEastAsia" w:hAnsi="Times New Roman"/>
          <w:sz w:val="20"/>
          <w:szCs w:val="20"/>
          <w:lang w:eastAsia="zh-HK"/>
        </w:rPr>
        <w:t xml:space="preserve"> expect the estimated coefficient for the interaction term to</w:t>
      </w:r>
      <w:r w:rsidR="00E11090">
        <w:rPr>
          <w:rFonts w:ascii="Times New Roman" w:eastAsiaTheme="minorEastAsia" w:hAnsi="Times New Roman"/>
          <w:sz w:val="20"/>
          <w:szCs w:val="20"/>
          <w:lang w:eastAsia="zh-HK"/>
        </w:rPr>
        <w:t xml:space="preserve"> be negative when systemic risk</w:t>
      </w:r>
      <w:r w:rsidR="002C3DE3" w:rsidRPr="000C6940">
        <w:rPr>
          <w:rFonts w:ascii="Times New Roman" w:eastAsiaTheme="minorEastAsia" w:hAnsi="Times New Roman"/>
          <w:sz w:val="20"/>
          <w:szCs w:val="20"/>
          <w:lang w:eastAsia="zh-HK"/>
        </w:rPr>
        <w:t xml:space="preserve"> </w:t>
      </w:r>
      <w:r w:rsidR="00E11090">
        <w:rPr>
          <w:rFonts w:ascii="Times New Roman" w:eastAsiaTheme="minorEastAsia" w:hAnsi="Times New Roman"/>
          <w:sz w:val="20"/>
          <w:szCs w:val="20"/>
          <w:lang w:eastAsia="zh-HK"/>
        </w:rPr>
        <w:t>is</w:t>
      </w:r>
      <w:r w:rsidR="002C3DE3" w:rsidRPr="000C6940">
        <w:rPr>
          <w:rFonts w:ascii="Times New Roman" w:eastAsiaTheme="minorEastAsia" w:hAnsi="Times New Roman"/>
          <w:sz w:val="20"/>
          <w:szCs w:val="20"/>
          <w:lang w:eastAsia="zh-HK"/>
        </w:rPr>
        <w:t xml:space="preserve"> measured by MES and SRISK, </w:t>
      </w:r>
      <w:r w:rsidR="00E11090">
        <w:rPr>
          <w:rFonts w:ascii="Times New Roman" w:eastAsiaTheme="minorEastAsia" w:hAnsi="Times New Roman"/>
          <w:sz w:val="20"/>
          <w:szCs w:val="20"/>
          <w:lang w:eastAsia="zh-HK"/>
        </w:rPr>
        <w:t>and positive when systemic risk</w:t>
      </w:r>
      <w:r w:rsidR="002C3DE3" w:rsidRPr="000C6940">
        <w:rPr>
          <w:rFonts w:ascii="Times New Roman" w:eastAsiaTheme="minorEastAsia" w:hAnsi="Times New Roman"/>
          <w:sz w:val="20"/>
          <w:szCs w:val="20"/>
          <w:lang w:eastAsia="zh-HK"/>
        </w:rPr>
        <w:t xml:space="preserve"> </w:t>
      </w:r>
      <w:r w:rsidR="00E11090">
        <w:rPr>
          <w:rFonts w:ascii="Times New Roman" w:eastAsiaTheme="minorEastAsia" w:hAnsi="Times New Roman"/>
          <w:sz w:val="20"/>
          <w:szCs w:val="20"/>
          <w:lang w:eastAsia="zh-HK"/>
        </w:rPr>
        <w:t>is</w:t>
      </w:r>
      <w:r w:rsidR="002C3DE3" w:rsidRPr="000C6940">
        <w:rPr>
          <w:rFonts w:ascii="Times New Roman" w:eastAsiaTheme="minorEastAsia" w:hAnsi="Times New Roman"/>
          <w:sz w:val="20"/>
          <w:szCs w:val="20"/>
          <w:lang w:eastAsia="zh-HK"/>
        </w:rPr>
        <w:t xml:space="preserve"> measured by </w:t>
      </w:r>
      <w:r w:rsidR="002C3DE3" w:rsidRPr="000C6940">
        <w:rPr>
          <w:rFonts w:ascii="Times New Roman" w:eastAsiaTheme="minorEastAsia" w:hAnsi="Times New Roman" w:hint="eastAsia"/>
          <w:sz w:val="20"/>
          <w:szCs w:val="20"/>
          <w:lang w:eastAsia="zh-HK"/>
        </w:rPr>
        <w:t>Δ</w:t>
      </w:r>
      <w:proofErr w:type="spellStart"/>
      <w:r w:rsidR="002C3DE3" w:rsidRPr="000C6940">
        <w:rPr>
          <w:rFonts w:ascii="Times New Roman" w:eastAsiaTheme="minorEastAsia" w:hAnsi="Times New Roman"/>
          <w:sz w:val="20"/>
          <w:szCs w:val="20"/>
          <w:lang w:eastAsia="zh-HK"/>
        </w:rPr>
        <w:t>CoVAR</w:t>
      </w:r>
      <w:proofErr w:type="spellEnd"/>
      <w:r w:rsidR="002C3DE3" w:rsidRPr="000C6940">
        <w:rPr>
          <w:rFonts w:ascii="Times New Roman" w:eastAsiaTheme="minorEastAsia" w:hAnsi="Times New Roman"/>
          <w:sz w:val="20"/>
          <w:szCs w:val="20"/>
          <w:lang w:eastAsia="zh-HK"/>
        </w:rPr>
        <w:t>.</w:t>
      </w:r>
    </w:p>
    <w:p w14:paraId="59A81FE0" w14:textId="5F75686F" w:rsidR="003D470C" w:rsidRPr="000C6940" w:rsidRDefault="003D470C" w:rsidP="00BA3FFD">
      <w:pPr>
        <w:spacing w:after="0" w:line="260" w:lineRule="exact"/>
        <w:jc w:val="both"/>
        <w:rPr>
          <w:rFonts w:ascii="Times New Roman" w:eastAsiaTheme="minorEastAsia" w:hAnsi="Times New Roman"/>
          <w:sz w:val="20"/>
          <w:szCs w:val="20"/>
          <w:lang w:eastAsia="zh-HK"/>
        </w:rPr>
      </w:pPr>
    </w:p>
    <w:p w14:paraId="2254262F" w14:textId="6CD70084" w:rsidR="00F94166" w:rsidRDefault="003D470C" w:rsidP="0094269E">
      <w:pPr>
        <w:spacing w:after="0" w:line="260" w:lineRule="exact"/>
        <w:jc w:val="both"/>
        <w:rPr>
          <w:rFonts w:ascii="Times New Roman" w:eastAsiaTheme="minorEastAsia" w:hAnsi="Times New Roman"/>
          <w:sz w:val="20"/>
          <w:szCs w:val="20"/>
          <w:lang w:eastAsia="zh-HK"/>
        </w:rPr>
      </w:pPr>
      <w:r w:rsidRPr="000C6940">
        <w:rPr>
          <w:rFonts w:ascii="Times New Roman" w:eastAsiaTheme="minorEastAsia" w:hAnsi="Times New Roman" w:hint="eastAsia"/>
          <w:sz w:val="20"/>
          <w:szCs w:val="20"/>
          <w:lang w:eastAsia="zh-TW"/>
        </w:rPr>
        <w:t xml:space="preserve">Apart from the interaction term, we add a bunch of </w:t>
      </w:r>
      <w:r w:rsidRPr="000C6940">
        <w:rPr>
          <w:rFonts w:ascii="Times New Roman" w:eastAsiaTheme="minorEastAsia" w:hAnsi="Times New Roman"/>
          <w:sz w:val="20"/>
          <w:szCs w:val="20"/>
          <w:lang w:eastAsia="zh-TW"/>
        </w:rPr>
        <w:t xml:space="preserve">insurer-specific </w:t>
      </w:r>
      <w:r w:rsidR="00D64714" w:rsidRPr="000C6940">
        <w:rPr>
          <w:rFonts w:ascii="Times New Roman" w:eastAsiaTheme="minorEastAsia" w:hAnsi="Times New Roman"/>
          <w:sz w:val="20"/>
          <w:szCs w:val="20"/>
          <w:lang w:eastAsia="zh-TW"/>
        </w:rPr>
        <w:t>characteristics</w:t>
      </w:r>
      <w:r w:rsidRPr="000C6940">
        <w:rPr>
          <w:rFonts w:ascii="Times New Roman" w:eastAsiaTheme="minorEastAsia" w:hAnsi="Times New Roman"/>
          <w:sz w:val="20"/>
          <w:szCs w:val="20"/>
          <w:lang w:eastAsia="zh-TW"/>
        </w:rPr>
        <w:t xml:space="preserve"> </w:t>
      </w:r>
      <w:r w:rsidR="00D64714" w:rsidRPr="000C6940">
        <w:rPr>
          <w:rFonts w:ascii="Times New Roman" w:eastAsiaTheme="minorEastAsia" w:hAnsi="Times New Roman"/>
          <w:sz w:val="20"/>
          <w:szCs w:val="20"/>
          <w:lang w:eastAsia="zh-TW"/>
        </w:rPr>
        <w:t>as</w:t>
      </w:r>
      <w:r w:rsidRPr="000C6940">
        <w:rPr>
          <w:rFonts w:ascii="Times New Roman" w:eastAsiaTheme="minorEastAsia" w:hAnsi="Times New Roman"/>
          <w:sz w:val="20"/>
          <w:szCs w:val="20"/>
          <w:lang w:eastAsia="zh-TW"/>
        </w:rPr>
        <w:t xml:space="preserve"> control </w:t>
      </w:r>
      <w:r w:rsidR="00D64714" w:rsidRPr="000C6940">
        <w:rPr>
          <w:rFonts w:ascii="Times New Roman" w:eastAsiaTheme="minorEastAsia" w:hAnsi="Times New Roman"/>
          <w:sz w:val="20"/>
          <w:szCs w:val="20"/>
          <w:lang w:eastAsia="zh-TW"/>
        </w:rPr>
        <w:t>variables.</w:t>
      </w:r>
      <w:r w:rsidR="00BA6CA5" w:rsidRPr="000C6940">
        <w:rPr>
          <w:rFonts w:ascii="Times New Roman" w:eastAsiaTheme="minorEastAsia" w:hAnsi="Times New Roman"/>
          <w:sz w:val="20"/>
          <w:szCs w:val="20"/>
          <w:lang w:eastAsia="zh-TW"/>
        </w:rPr>
        <w:t xml:space="preserve"> We use the natural logarithm of total asset</w:t>
      </w:r>
      <w:r w:rsidR="006D5CCC" w:rsidRPr="000C6940">
        <w:rPr>
          <w:rFonts w:ascii="Times New Roman" w:eastAsiaTheme="minorEastAsia" w:hAnsi="Times New Roman"/>
          <w:sz w:val="20"/>
          <w:szCs w:val="20"/>
          <w:lang w:eastAsia="zh-TW"/>
        </w:rPr>
        <w:t>s</w:t>
      </w:r>
      <w:r w:rsidR="00BA6CA5" w:rsidRPr="000C6940">
        <w:rPr>
          <w:rFonts w:ascii="Times New Roman" w:eastAsiaTheme="minorEastAsia" w:hAnsi="Times New Roman"/>
          <w:sz w:val="20"/>
          <w:szCs w:val="20"/>
          <w:lang w:eastAsia="zh-TW"/>
        </w:rPr>
        <w:t xml:space="preserve"> to proxy for an insurer’s size because Weiβ and </w:t>
      </w:r>
      <w:proofErr w:type="spellStart"/>
      <w:r w:rsidR="00BA6CA5" w:rsidRPr="000C6940">
        <w:rPr>
          <w:rFonts w:ascii="Times New Roman" w:eastAsiaTheme="minorEastAsia" w:hAnsi="Times New Roman"/>
          <w:sz w:val="20"/>
          <w:szCs w:val="20"/>
          <w:lang w:eastAsia="zh-TW"/>
        </w:rPr>
        <w:t>Mühlnickel</w:t>
      </w:r>
      <w:proofErr w:type="spellEnd"/>
      <w:r w:rsidR="00BA6CA5" w:rsidRPr="000C6940">
        <w:rPr>
          <w:rFonts w:ascii="Times New Roman" w:eastAsiaTheme="minorEastAsia" w:hAnsi="Times New Roman"/>
          <w:sz w:val="20"/>
          <w:szCs w:val="20"/>
          <w:lang w:eastAsia="zh-TW"/>
        </w:rPr>
        <w:t xml:space="preserve"> (2014) find that insurers’ contribution to systemic risk is mainly driven by their size.</w:t>
      </w:r>
      <w:r w:rsidR="006D5CCC" w:rsidRPr="000C6940">
        <w:rPr>
          <w:rFonts w:ascii="Times New Roman" w:eastAsiaTheme="minorEastAsia" w:hAnsi="Times New Roman"/>
          <w:sz w:val="20"/>
          <w:szCs w:val="20"/>
          <w:lang w:eastAsia="zh-TW"/>
        </w:rPr>
        <w:t xml:space="preserve"> We also proxy leverage of an insurer by the ratio of market value of assets to market value of equities, as </w:t>
      </w:r>
      <w:proofErr w:type="spellStart"/>
      <w:r w:rsidR="006D5CCC" w:rsidRPr="000C6940">
        <w:rPr>
          <w:rFonts w:ascii="Times New Roman" w:eastAsiaTheme="minorEastAsia" w:hAnsi="Times New Roman"/>
          <w:sz w:val="20"/>
          <w:szCs w:val="20"/>
          <w:lang w:eastAsia="zh-TW"/>
        </w:rPr>
        <w:t>Bierth</w:t>
      </w:r>
      <w:proofErr w:type="spellEnd"/>
      <w:r w:rsidR="006D5CCC" w:rsidRPr="000C6940">
        <w:rPr>
          <w:rFonts w:ascii="Times New Roman" w:eastAsiaTheme="minorEastAsia" w:hAnsi="Times New Roman"/>
          <w:sz w:val="20"/>
          <w:szCs w:val="20"/>
          <w:lang w:eastAsia="zh-TW"/>
        </w:rPr>
        <w:t xml:space="preserve"> </w:t>
      </w:r>
      <w:r w:rsidR="006D5CCC" w:rsidRPr="000C6940">
        <w:rPr>
          <w:rFonts w:ascii="Times New Roman" w:eastAsiaTheme="minorEastAsia" w:hAnsi="Times New Roman"/>
          <w:i/>
          <w:sz w:val="20"/>
          <w:szCs w:val="20"/>
          <w:lang w:eastAsia="zh-TW"/>
        </w:rPr>
        <w:t>et al.</w:t>
      </w:r>
      <w:r w:rsidR="006D5CCC" w:rsidRPr="000C6940">
        <w:rPr>
          <w:rFonts w:ascii="Times New Roman" w:eastAsiaTheme="minorEastAsia" w:hAnsi="Times New Roman"/>
          <w:sz w:val="20"/>
          <w:szCs w:val="20"/>
          <w:lang w:eastAsia="zh-TW"/>
        </w:rPr>
        <w:t xml:space="preserve"> (2015) find that leverage is the primary driver for insurer’s systemic risk. </w:t>
      </w:r>
      <w:r w:rsidR="00FC0143" w:rsidRPr="000C6940">
        <w:rPr>
          <w:rFonts w:ascii="Times New Roman" w:eastAsiaTheme="minorEastAsia" w:hAnsi="Times New Roman"/>
          <w:sz w:val="20"/>
          <w:szCs w:val="20"/>
          <w:lang w:eastAsia="zh-TW"/>
        </w:rPr>
        <w:t>Other</w:t>
      </w:r>
      <w:r w:rsidR="003E34AA" w:rsidRPr="000C6940">
        <w:rPr>
          <w:rFonts w:ascii="Times New Roman" w:eastAsiaTheme="minorEastAsia" w:hAnsi="Times New Roman"/>
          <w:sz w:val="20"/>
          <w:szCs w:val="20"/>
          <w:lang w:eastAsia="zh-TW"/>
        </w:rPr>
        <w:t xml:space="preserve"> important control variable</w:t>
      </w:r>
      <w:r w:rsidR="00FC0143" w:rsidRPr="000C6940">
        <w:rPr>
          <w:rFonts w:ascii="Times New Roman" w:eastAsiaTheme="minorEastAsia" w:hAnsi="Times New Roman"/>
          <w:sz w:val="20"/>
          <w:szCs w:val="20"/>
          <w:lang w:eastAsia="zh-TW"/>
        </w:rPr>
        <w:t>s</w:t>
      </w:r>
      <w:r w:rsidR="003E34AA" w:rsidRPr="000C6940">
        <w:rPr>
          <w:rFonts w:ascii="Times New Roman" w:eastAsiaTheme="minorEastAsia" w:hAnsi="Times New Roman"/>
          <w:sz w:val="20"/>
          <w:szCs w:val="20"/>
          <w:lang w:eastAsia="zh-TW"/>
        </w:rPr>
        <w:t xml:space="preserve"> </w:t>
      </w:r>
      <w:r w:rsidR="00DB5297">
        <w:rPr>
          <w:rFonts w:ascii="Times New Roman" w:eastAsiaTheme="minorEastAsia" w:hAnsi="Times New Roman"/>
          <w:sz w:val="20"/>
          <w:szCs w:val="20"/>
          <w:lang w:eastAsia="zh-TW"/>
        </w:rPr>
        <w:t>include</w:t>
      </w:r>
      <w:r w:rsidR="003E34AA" w:rsidRPr="000C6940">
        <w:rPr>
          <w:rFonts w:ascii="Times New Roman" w:eastAsiaTheme="minorEastAsia" w:hAnsi="Times New Roman"/>
          <w:sz w:val="20"/>
          <w:szCs w:val="20"/>
          <w:lang w:eastAsia="zh-TW"/>
        </w:rPr>
        <w:t xml:space="preserve"> non-</w:t>
      </w:r>
      <w:r w:rsidR="009F11A7" w:rsidRPr="000C6940">
        <w:rPr>
          <w:rFonts w:ascii="Times New Roman" w:eastAsiaTheme="minorEastAsia" w:hAnsi="Times New Roman"/>
          <w:sz w:val="20"/>
          <w:szCs w:val="20"/>
          <w:lang w:eastAsia="zh-TW"/>
        </w:rPr>
        <w:t>insurance activities</w:t>
      </w:r>
      <w:r w:rsidR="00FC0143" w:rsidRPr="000C6940">
        <w:rPr>
          <w:rFonts w:ascii="Times New Roman" w:eastAsiaTheme="minorEastAsia" w:hAnsi="Times New Roman"/>
          <w:sz w:val="20"/>
          <w:szCs w:val="20"/>
          <w:lang w:eastAsia="zh-TW"/>
        </w:rPr>
        <w:t xml:space="preserve"> and other incomes besides operating income</w:t>
      </w:r>
      <w:r w:rsidR="003E34AA" w:rsidRPr="000C6940">
        <w:rPr>
          <w:rFonts w:ascii="Times New Roman" w:eastAsiaTheme="minorEastAsia" w:hAnsi="Times New Roman"/>
          <w:sz w:val="20"/>
          <w:szCs w:val="20"/>
          <w:lang w:eastAsia="zh-TW"/>
        </w:rPr>
        <w:t xml:space="preserve">, as the </w:t>
      </w:r>
      <w:r w:rsidR="003E34AA" w:rsidRPr="000C6940">
        <w:rPr>
          <w:rFonts w:ascii="Times New Roman" w:eastAsiaTheme="minorEastAsia" w:hAnsi="Times New Roman" w:hint="eastAsia"/>
          <w:sz w:val="20"/>
          <w:szCs w:val="20"/>
          <w:lang w:eastAsia="zh-TW"/>
        </w:rPr>
        <w:t>IAIS</w:t>
      </w:r>
      <w:r w:rsidR="003E34AA" w:rsidRPr="000C6940">
        <w:rPr>
          <w:rFonts w:ascii="Times New Roman" w:eastAsiaTheme="minorEastAsia" w:hAnsi="Times New Roman"/>
          <w:sz w:val="20"/>
          <w:szCs w:val="20"/>
          <w:lang w:eastAsia="zh-TW"/>
        </w:rPr>
        <w:t xml:space="preserve"> </w:t>
      </w:r>
      <w:r w:rsidR="003E34AA" w:rsidRPr="000C6940">
        <w:rPr>
          <w:rFonts w:ascii="Times New Roman" w:eastAsiaTheme="minorEastAsia" w:hAnsi="Times New Roman" w:hint="eastAsia"/>
          <w:sz w:val="20"/>
          <w:szCs w:val="20"/>
          <w:lang w:eastAsia="zh-TW"/>
        </w:rPr>
        <w:t>(2011)</w:t>
      </w:r>
      <w:r w:rsidR="003E34AA" w:rsidRPr="000C6940">
        <w:rPr>
          <w:rFonts w:ascii="Times New Roman" w:eastAsiaTheme="minorEastAsia" w:hAnsi="Times New Roman"/>
          <w:sz w:val="20"/>
          <w:szCs w:val="20"/>
          <w:lang w:eastAsia="zh-TW"/>
        </w:rPr>
        <w:t xml:space="preserve"> </w:t>
      </w:r>
      <w:r w:rsidR="00B2772C">
        <w:rPr>
          <w:rFonts w:ascii="Times New Roman" w:eastAsiaTheme="minorEastAsia" w:hAnsi="Times New Roman"/>
          <w:sz w:val="20"/>
          <w:szCs w:val="20"/>
          <w:lang w:eastAsia="zh-TW"/>
        </w:rPr>
        <w:t>suggests</w:t>
      </w:r>
      <w:r w:rsidR="003E34AA" w:rsidRPr="000C6940">
        <w:rPr>
          <w:rFonts w:ascii="Times New Roman" w:eastAsiaTheme="minorEastAsia" w:hAnsi="Times New Roman" w:hint="eastAsia"/>
          <w:sz w:val="20"/>
          <w:szCs w:val="20"/>
          <w:lang w:eastAsia="zh-TW"/>
        </w:rPr>
        <w:t xml:space="preserve"> that </w:t>
      </w:r>
      <w:r w:rsidR="003E34AA" w:rsidRPr="000C6940">
        <w:rPr>
          <w:rFonts w:ascii="Times New Roman" w:eastAsiaTheme="minorEastAsia" w:hAnsi="Times New Roman"/>
          <w:sz w:val="20"/>
          <w:szCs w:val="20"/>
          <w:lang w:eastAsia="zh-TW"/>
        </w:rPr>
        <w:t xml:space="preserve">non-insurance activities are </w:t>
      </w:r>
      <w:r w:rsidR="00FC52E5" w:rsidRPr="000C6940">
        <w:rPr>
          <w:rFonts w:ascii="Times New Roman" w:eastAsiaTheme="minorEastAsia" w:hAnsi="Times New Roman"/>
          <w:sz w:val="20"/>
          <w:szCs w:val="20"/>
          <w:lang w:eastAsia="zh-TW"/>
        </w:rPr>
        <w:t xml:space="preserve">more </w:t>
      </w:r>
      <w:r w:rsidR="003E34AA" w:rsidRPr="000C6940">
        <w:rPr>
          <w:rFonts w:ascii="Times New Roman" w:eastAsiaTheme="minorEastAsia" w:hAnsi="Times New Roman"/>
          <w:sz w:val="20"/>
          <w:szCs w:val="20"/>
          <w:lang w:eastAsia="zh-TW"/>
        </w:rPr>
        <w:t xml:space="preserve">likely to amplify </w:t>
      </w:r>
      <w:r w:rsidR="00FC52E5" w:rsidRPr="000C6940">
        <w:rPr>
          <w:rFonts w:ascii="Times New Roman" w:eastAsiaTheme="minorEastAsia" w:hAnsi="Times New Roman"/>
          <w:sz w:val="20"/>
          <w:szCs w:val="20"/>
          <w:lang w:eastAsia="zh-TW"/>
        </w:rPr>
        <w:t xml:space="preserve">and contribute to </w:t>
      </w:r>
      <w:r w:rsidR="003E34AA" w:rsidRPr="000C6940">
        <w:rPr>
          <w:rFonts w:ascii="Times New Roman" w:eastAsiaTheme="minorEastAsia" w:hAnsi="Times New Roman"/>
          <w:sz w:val="20"/>
          <w:szCs w:val="20"/>
          <w:lang w:eastAsia="zh-TW"/>
        </w:rPr>
        <w:t>systemic risk</w:t>
      </w:r>
      <w:r w:rsidR="005254D4">
        <w:rPr>
          <w:rFonts w:ascii="Times New Roman" w:eastAsiaTheme="minorEastAsia" w:hAnsi="Times New Roman"/>
          <w:sz w:val="20"/>
          <w:szCs w:val="20"/>
          <w:lang w:eastAsia="zh-TW"/>
        </w:rPr>
        <w:t>s</w:t>
      </w:r>
      <w:r w:rsidR="003E34AA" w:rsidRPr="000C6940">
        <w:rPr>
          <w:rFonts w:ascii="Times New Roman" w:eastAsiaTheme="minorEastAsia" w:hAnsi="Times New Roman"/>
          <w:sz w:val="20"/>
          <w:szCs w:val="20"/>
          <w:lang w:eastAsia="zh-TW"/>
        </w:rPr>
        <w:t xml:space="preserve"> </w:t>
      </w:r>
      <w:r w:rsidR="00FC52E5" w:rsidRPr="000C6940">
        <w:rPr>
          <w:rFonts w:ascii="Times New Roman" w:eastAsiaTheme="minorEastAsia" w:hAnsi="Times New Roman"/>
          <w:sz w:val="20"/>
          <w:szCs w:val="20"/>
          <w:lang w:eastAsia="zh-TW"/>
        </w:rPr>
        <w:t>than insurance activities</w:t>
      </w:r>
      <w:r w:rsidR="003E34AA" w:rsidRPr="000C6940">
        <w:rPr>
          <w:rFonts w:ascii="Times New Roman" w:eastAsiaTheme="minorEastAsia" w:hAnsi="Times New Roman"/>
          <w:sz w:val="20"/>
          <w:szCs w:val="20"/>
          <w:lang w:eastAsia="zh-TW"/>
        </w:rPr>
        <w:t>.</w:t>
      </w:r>
      <w:r w:rsidR="009F11A7" w:rsidRPr="000C6940">
        <w:rPr>
          <w:rFonts w:ascii="Times New Roman" w:eastAsiaTheme="minorEastAsia" w:hAnsi="Times New Roman"/>
          <w:sz w:val="20"/>
          <w:szCs w:val="20"/>
          <w:lang w:eastAsia="zh-TW"/>
        </w:rPr>
        <w:t xml:space="preserve"> We proxy non-insurance activities with non-policyholder liabilities scaled by total liabilities. We also scale other incomes besides operating income by </w:t>
      </w:r>
      <w:r w:rsidR="005532BD" w:rsidRPr="000C6940">
        <w:rPr>
          <w:rFonts w:ascii="Times New Roman" w:eastAsiaTheme="minorEastAsia" w:hAnsi="Times New Roman"/>
          <w:sz w:val="20"/>
          <w:szCs w:val="20"/>
          <w:lang w:eastAsia="zh-TW"/>
        </w:rPr>
        <w:t>net sales</w:t>
      </w:r>
      <w:r w:rsidR="009F11A7" w:rsidRPr="000C6940">
        <w:rPr>
          <w:rFonts w:ascii="Times New Roman" w:eastAsiaTheme="minorEastAsia" w:hAnsi="Times New Roman"/>
          <w:sz w:val="20"/>
          <w:szCs w:val="20"/>
          <w:lang w:eastAsia="zh-TW"/>
        </w:rPr>
        <w:t>.</w:t>
      </w:r>
      <w:r w:rsidR="00A46030" w:rsidRPr="000C6940">
        <w:rPr>
          <w:rFonts w:ascii="Times New Roman" w:eastAsiaTheme="minorEastAsia" w:hAnsi="Times New Roman"/>
          <w:sz w:val="20"/>
          <w:szCs w:val="20"/>
          <w:lang w:eastAsia="zh-TW"/>
        </w:rPr>
        <w:t xml:space="preserve"> </w:t>
      </w:r>
      <w:r w:rsidR="00742D78" w:rsidRPr="000C6940">
        <w:rPr>
          <w:rFonts w:ascii="Times New Roman" w:eastAsiaTheme="minorEastAsia" w:hAnsi="Times New Roman"/>
          <w:sz w:val="20"/>
          <w:szCs w:val="20"/>
          <w:lang w:eastAsia="zh-TW"/>
        </w:rPr>
        <w:t xml:space="preserve">If an insurer operates not only in its domestic country, it is intuitive to argue that the </w:t>
      </w:r>
      <w:r w:rsidR="00C93FFF" w:rsidRPr="000C6940">
        <w:rPr>
          <w:rFonts w:ascii="Times New Roman" w:eastAsiaTheme="minorEastAsia" w:hAnsi="Times New Roman"/>
          <w:sz w:val="20"/>
          <w:szCs w:val="20"/>
          <w:lang w:eastAsia="zh-TW"/>
        </w:rPr>
        <w:t>financial distress</w:t>
      </w:r>
      <w:r w:rsidR="00742D78" w:rsidRPr="000C6940">
        <w:rPr>
          <w:rFonts w:ascii="Times New Roman" w:eastAsiaTheme="minorEastAsia" w:hAnsi="Times New Roman"/>
          <w:sz w:val="20"/>
          <w:szCs w:val="20"/>
          <w:lang w:eastAsia="zh-TW"/>
        </w:rPr>
        <w:t xml:space="preserve"> of the insurer is more likely to be </w:t>
      </w:r>
      <w:r w:rsidR="00A3609D" w:rsidRPr="000C6940">
        <w:rPr>
          <w:rFonts w:ascii="Times New Roman" w:eastAsiaTheme="minorEastAsia" w:hAnsi="Times New Roman"/>
          <w:sz w:val="20"/>
          <w:szCs w:val="20"/>
          <w:lang w:eastAsia="zh-TW"/>
        </w:rPr>
        <w:t xml:space="preserve">contagious </w:t>
      </w:r>
      <w:r w:rsidR="00742D78" w:rsidRPr="000C6940">
        <w:rPr>
          <w:rFonts w:ascii="Times New Roman" w:eastAsiaTheme="minorEastAsia" w:hAnsi="Times New Roman"/>
          <w:sz w:val="20"/>
          <w:szCs w:val="20"/>
          <w:lang w:eastAsia="zh-TW"/>
        </w:rPr>
        <w:t>to the financial system</w:t>
      </w:r>
      <w:r w:rsidR="008020CE">
        <w:rPr>
          <w:rFonts w:ascii="Times New Roman" w:eastAsiaTheme="minorEastAsia" w:hAnsi="Times New Roman"/>
          <w:sz w:val="20"/>
          <w:szCs w:val="20"/>
          <w:lang w:eastAsia="zh-TW"/>
        </w:rPr>
        <w:t>s</w:t>
      </w:r>
      <w:r w:rsidR="00742D78" w:rsidRPr="000C6940">
        <w:rPr>
          <w:rFonts w:ascii="Times New Roman" w:eastAsiaTheme="minorEastAsia" w:hAnsi="Times New Roman"/>
          <w:sz w:val="20"/>
          <w:szCs w:val="20"/>
          <w:lang w:eastAsia="zh-TW"/>
        </w:rPr>
        <w:t xml:space="preserve"> </w:t>
      </w:r>
      <w:r w:rsidR="00A3609D" w:rsidRPr="000C6940">
        <w:rPr>
          <w:rFonts w:ascii="Times New Roman" w:eastAsiaTheme="minorEastAsia" w:hAnsi="Times New Roman"/>
          <w:sz w:val="20"/>
          <w:szCs w:val="20"/>
          <w:lang w:eastAsia="zh-TW"/>
        </w:rPr>
        <w:t>in other countries</w:t>
      </w:r>
      <w:r w:rsidR="00742D78" w:rsidRPr="000C6940">
        <w:rPr>
          <w:rFonts w:ascii="Times New Roman" w:eastAsiaTheme="minorEastAsia" w:hAnsi="Times New Roman"/>
          <w:sz w:val="20"/>
          <w:szCs w:val="20"/>
          <w:lang w:eastAsia="zh-TW"/>
        </w:rPr>
        <w:t xml:space="preserve">. Hence, </w:t>
      </w:r>
      <w:r w:rsidR="00C93FFF" w:rsidRPr="000C6940">
        <w:rPr>
          <w:rFonts w:ascii="Times New Roman" w:eastAsiaTheme="minorEastAsia" w:hAnsi="Times New Roman"/>
          <w:sz w:val="20"/>
          <w:szCs w:val="20"/>
          <w:lang w:eastAsia="zh-TW"/>
        </w:rPr>
        <w:t xml:space="preserve">we proxy global activities with the amount of foreign sales scaled by </w:t>
      </w:r>
      <w:r w:rsidR="00BB682B" w:rsidRPr="000C6940">
        <w:rPr>
          <w:rFonts w:ascii="Times New Roman" w:eastAsiaTheme="minorEastAsia" w:hAnsi="Times New Roman"/>
          <w:sz w:val="20"/>
          <w:szCs w:val="20"/>
          <w:lang w:eastAsia="zh-TW"/>
        </w:rPr>
        <w:t>total sales</w:t>
      </w:r>
      <w:r w:rsidR="00C93FFF" w:rsidRPr="000C6940">
        <w:rPr>
          <w:rFonts w:ascii="Times New Roman" w:eastAsiaTheme="minorEastAsia" w:hAnsi="Times New Roman"/>
          <w:sz w:val="20"/>
          <w:szCs w:val="20"/>
          <w:lang w:eastAsia="zh-TW"/>
        </w:rPr>
        <w:t>.</w:t>
      </w:r>
      <w:r w:rsidR="0020109D" w:rsidRPr="000C6940">
        <w:rPr>
          <w:rFonts w:ascii="Times New Roman" w:eastAsiaTheme="minorEastAsia" w:hAnsi="Times New Roman"/>
          <w:sz w:val="20"/>
          <w:szCs w:val="20"/>
          <w:lang w:eastAsia="zh-TW"/>
        </w:rPr>
        <w:t xml:space="preserve"> </w:t>
      </w:r>
      <w:proofErr w:type="spellStart"/>
      <w:r w:rsidR="004E2526" w:rsidRPr="000C6940">
        <w:rPr>
          <w:rFonts w:ascii="Times New Roman" w:eastAsiaTheme="minorEastAsia" w:hAnsi="Times New Roman"/>
          <w:sz w:val="20"/>
          <w:szCs w:val="20"/>
          <w:lang w:eastAsia="zh-TW"/>
        </w:rPr>
        <w:t>Fahlenbrach</w:t>
      </w:r>
      <w:proofErr w:type="spellEnd"/>
      <w:r w:rsidR="004E2526" w:rsidRPr="000C6940">
        <w:rPr>
          <w:rFonts w:ascii="Times New Roman" w:eastAsiaTheme="minorEastAsia" w:hAnsi="Times New Roman"/>
          <w:sz w:val="20"/>
          <w:szCs w:val="20"/>
          <w:lang w:eastAsia="zh-TW"/>
        </w:rPr>
        <w:t xml:space="preserve"> </w:t>
      </w:r>
      <w:r w:rsidR="004E2526" w:rsidRPr="000C6940">
        <w:rPr>
          <w:rFonts w:ascii="Times New Roman" w:eastAsiaTheme="minorEastAsia" w:hAnsi="Times New Roman"/>
          <w:i/>
          <w:sz w:val="20"/>
          <w:szCs w:val="20"/>
          <w:lang w:eastAsia="zh-TW"/>
        </w:rPr>
        <w:t>et al.</w:t>
      </w:r>
      <w:r w:rsidR="004E2526" w:rsidRPr="000C6940">
        <w:rPr>
          <w:rFonts w:ascii="Times New Roman" w:eastAsiaTheme="minorEastAsia" w:hAnsi="Times New Roman"/>
          <w:sz w:val="20"/>
          <w:szCs w:val="20"/>
          <w:lang w:eastAsia="zh-TW"/>
        </w:rPr>
        <w:t xml:space="preserve"> (2012) argues that banks with short-term funding are more likely to be in financial distress during crisis. </w:t>
      </w:r>
      <w:r w:rsidR="00617645" w:rsidRPr="000C6940">
        <w:rPr>
          <w:rFonts w:ascii="Times New Roman" w:eastAsiaTheme="minorEastAsia" w:hAnsi="Times New Roman"/>
          <w:sz w:val="20"/>
          <w:szCs w:val="20"/>
          <w:lang w:eastAsia="zh-TW"/>
        </w:rPr>
        <w:t xml:space="preserve">Hence, </w:t>
      </w:r>
      <w:r w:rsidR="005254D4">
        <w:rPr>
          <w:rFonts w:ascii="Times New Roman" w:eastAsiaTheme="minorEastAsia" w:hAnsi="Times New Roman"/>
          <w:sz w:val="20"/>
          <w:szCs w:val="20"/>
          <w:lang w:eastAsia="zh-TW"/>
        </w:rPr>
        <w:t xml:space="preserve">we use </w:t>
      </w:r>
      <w:r w:rsidR="00AC1DDF" w:rsidRPr="000C6940">
        <w:rPr>
          <w:rFonts w:ascii="Times New Roman" w:eastAsiaTheme="minorEastAsia" w:hAnsi="Times New Roman"/>
          <w:sz w:val="20"/>
          <w:szCs w:val="20"/>
          <w:lang w:eastAsia="zh-TW"/>
        </w:rPr>
        <w:t xml:space="preserve">the ratio of </w:t>
      </w:r>
      <w:r w:rsidR="008A6E4C" w:rsidRPr="000C6940">
        <w:rPr>
          <w:rFonts w:ascii="Times New Roman" w:eastAsiaTheme="minorEastAsia" w:hAnsi="Times New Roman"/>
          <w:sz w:val="20"/>
          <w:szCs w:val="20"/>
          <w:lang w:eastAsia="zh-TW"/>
        </w:rPr>
        <w:t xml:space="preserve">long term debts </w:t>
      </w:r>
      <w:r w:rsidR="00AC1DDF" w:rsidRPr="000C6940">
        <w:rPr>
          <w:rFonts w:ascii="Times New Roman" w:eastAsiaTheme="minorEastAsia" w:hAnsi="Times New Roman"/>
          <w:sz w:val="20"/>
          <w:szCs w:val="20"/>
          <w:lang w:eastAsia="zh-TW"/>
        </w:rPr>
        <w:t>to</w:t>
      </w:r>
      <w:r w:rsidR="008A6E4C" w:rsidRPr="000C6940">
        <w:rPr>
          <w:rFonts w:ascii="Times New Roman" w:eastAsiaTheme="minorEastAsia" w:hAnsi="Times New Roman"/>
          <w:sz w:val="20"/>
          <w:szCs w:val="20"/>
          <w:lang w:eastAsia="zh-TW"/>
        </w:rPr>
        <w:t xml:space="preserve"> total debts</w:t>
      </w:r>
      <w:r w:rsidR="005254D4">
        <w:rPr>
          <w:rFonts w:ascii="Times New Roman" w:eastAsiaTheme="minorEastAsia" w:hAnsi="Times New Roman"/>
          <w:sz w:val="20"/>
          <w:szCs w:val="20"/>
          <w:lang w:eastAsia="zh-TW"/>
        </w:rPr>
        <w:t xml:space="preserve"> as proxy for liquidity</w:t>
      </w:r>
      <w:r w:rsidR="004E2526" w:rsidRPr="000C6940">
        <w:rPr>
          <w:rFonts w:ascii="Times New Roman" w:eastAsiaTheme="minorEastAsia" w:hAnsi="Times New Roman"/>
          <w:sz w:val="20"/>
          <w:szCs w:val="20"/>
          <w:lang w:eastAsia="zh-TW"/>
        </w:rPr>
        <w:t>.</w:t>
      </w:r>
      <w:r w:rsidR="00617645" w:rsidRPr="000C6940">
        <w:rPr>
          <w:rFonts w:ascii="Times New Roman" w:eastAsiaTheme="minorEastAsia" w:hAnsi="Times New Roman"/>
          <w:sz w:val="20"/>
          <w:szCs w:val="20"/>
          <w:lang w:eastAsia="zh-TW"/>
        </w:rPr>
        <w:t xml:space="preserve"> </w:t>
      </w:r>
      <w:proofErr w:type="spellStart"/>
      <w:r w:rsidR="00DB7AA0" w:rsidRPr="000C6940">
        <w:rPr>
          <w:rFonts w:ascii="Times New Roman" w:eastAsiaTheme="minorEastAsia" w:hAnsi="Times New Roman"/>
          <w:sz w:val="20"/>
          <w:szCs w:val="20"/>
          <w:lang w:eastAsia="zh-TW"/>
        </w:rPr>
        <w:t>Trigeorgis</w:t>
      </w:r>
      <w:proofErr w:type="spellEnd"/>
      <w:r w:rsidR="00DB7AA0" w:rsidRPr="000C6940">
        <w:rPr>
          <w:rFonts w:ascii="Times New Roman" w:eastAsiaTheme="minorEastAsia" w:hAnsi="Times New Roman"/>
          <w:sz w:val="20"/>
          <w:szCs w:val="20"/>
          <w:lang w:eastAsia="zh-TW"/>
        </w:rPr>
        <w:t xml:space="preserve"> and </w:t>
      </w:r>
      <w:proofErr w:type="spellStart"/>
      <w:r w:rsidR="00DB7AA0" w:rsidRPr="000C6940">
        <w:rPr>
          <w:rFonts w:ascii="Times New Roman" w:eastAsiaTheme="minorEastAsia" w:hAnsi="Times New Roman"/>
          <w:sz w:val="20"/>
          <w:szCs w:val="20"/>
          <w:lang w:eastAsia="zh-TW"/>
        </w:rPr>
        <w:t>Lambertides</w:t>
      </w:r>
      <w:proofErr w:type="spellEnd"/>
      <w:r w:rsidR="00DB7AA0" w:rsidRPr="000C6940">
        <w:rPr>
          <w:rFonts w:ascii="Times New Roman" w:eastAsiaTheme="minorEastAsia" w:hAnsi="Times New Roman"/>
          <w:sz w:val="20"/>
          <w:szCs w:val="20"/>
          <w:lang w:eastAsia="zh-TW"/>
        </w:rPr>
        <w:t xml:space="preserve"> (2014) suggest that </w:t>
      </w:r>
      <w:r w:rsidR="006E6138" w:rsidRPr="000C6940">
        <w:rPr>
          <w:rFonts w:ascii="Times New Roman" w:eastAsiaTheme="minorEastAsia" w:hAnsi="Times New Roman"/>
          <w:sz w:val="20"/>
          <w:szCs w:val="20"/>
          <w:lang w:eastAsia="zh-TW"/>
        </w:rPr>
        <w:t xml:space="preserve">market-to-book ratio </w:t>
      </w:r>
      <w:r w:rsidR="00DB7AA0" w:rsidRPr="000C6940">
        <w:rPr>
          <w:rFonts w:ascii="Times New Roman" w:eastAsiaTheme="minorEastAsia" w:hAnsi="Times New Roman"/>
          <w:sz w:val="20"/>
          <w:szCs w:val="20"/>
          <w:lang w:eastAsia="zh-TW"/>
        </w:rPr>
        <w:t>seems to proxy for</w:t>
      </w:r>
      <w:r w:rsidR="006E6138" w:rsidRPr="000C6940">
        <w:rPr>
          <w:rFonts w:ascii="Times New Roman" w:eastAsiaTheme="minorEastAsia" w:hAnsi="Times New Roman"/>
          <w:sz w:val="20"/>
          <w:szCs w:val="20"/>
          <w:lang w:eastAsia="zh-TW"/>
        </w:rPr>
        <w:t xml:space="preserve"> distress </w:t>
      </w:r>
      <w:r w:rsidR="00DB7AA0" w:rsidRPr="000C6940">
        <w:rPr>
          <w:rFonts w:ascii="Times New Roman" w:eastAsiaTheme="minorEastAsia" w:hAnsi="Times New Roman"/>
          <w:sz w:val="20"/>
          <w:szCs w:val="20"/>
          <w:lang w:eastAsia="zh-TW"/>
        </w:rPr>
        <w:t>variables</w:t>
      </w:r>
      <w:r w:rsidR="006E6138" w:rsidRPr="000C6940">
        <w:rPr>
          <w:rFonts w:ascii="Times New Roman" w:eastAsiaTheme="minorEastAsia" w:hAnsi="Times New Roman"/>
          <w:sz w:val="20"/>
          <w:szCs w:val="20"/>
          <w:lang w:eastAsia="zh-TW"/>
        </w:rPr>
        <w:t xml:space="preserve">, and therefore we include </w:t>
      </w:r>
      <w:r w:rsidR="00746DCB" w:rsidRPr="000C6940">
        <w:rPr>
          <w:rFonts w:ascii="Times New Roman" w:eastAsiaTheme="minorEastAsia" w:hAnsi="Times New Roman"/>
          <w:sz w:val="20"/>
          <w:szCs w:val="20"/>
          <w:lang w:eastAsia="zh-TW"/>
        </w:rPr>
        <w:t>market-to-book ratio</w:t>
      </w:r>
      <w:r w:rsidR="006E6138" w:rsidRPr="000C6940">
        <w:rPr>
          <w:rFonts w:ascii="Times New Roman" w:eastAsiaTheme="minorEastAsia" w:hAnsi="Times New Roman"/>
          <w:sz w:val="20"/>
          <w:szCs w:val="20"/>
          <w:lang w:eastAsia="zh-TW"/>
        </w:rPr>
        <w:t xml:space="preserve"> as </w:t>
      </w:r>
      <w:r w:rsidR="00EC4A40" w:rsidRPr="000C6940">
        <w:rPr>
          <w:rFonts w:ascii="Times New Roman" w:eastAsiaTheme="minorEastAsia" w:hAnsi="Times New Roman"/>
          <w:sz w:val="20"/>
          <w:szCs w:val="20"/>
          <w:lang w:eastAsia="zh-TW"/>
        </w:rPr>
        <w:t>a control variable</w:t>
      </w:r>
      <w:r w:rsidR="006E6138" w:rsidRPr="000C6940">
        <w:rPr>
          <w:rFonts w:ascii="Times New Roman" w:eastAsiaTheme="minorEastAsia" w:hAnsi="Times New Roman"/>
          <w:sz w:val="20"/>
          <w:szCs w:val="20"/>
          <w:lang w:eastAsia="zh-TW"/>
        </w:rPr>
        <w:t xml:space="preserve">. </w:t>
      </w:r>
      <w:r w:rsidR="00EC4A40" w:rsidRPr="000C6940">
        <w:rPr>
          <w:rFonts w:ascii="Times New Roman" w:eastAsiaTheme="minorEastAsia" w:hAnsi="Times New Roman"/>
          <w:sz w:val="20"/>
          <w:szCs w:val="20"/>
          <w:lang w:eastAsia="zh-TW"/>
        </w:rPr>
        <w:t xml:space="preserve">To control for the different characteristics between life and non-life insurers, we use a </w:t>
      </w:r>
      <w:r w:rsidR="00EC4A40" w:rsidRPr="000C6940">
        <w:rPr>
          <w:rFonts w:ascii="Times New Roman" w:eastAsiaTheme="minorEastAsia" w:hAnsi="Times New Roman"/>
          <w:i/>
          <w:sz w:val="20"/>
          <w:szCs w:val="20"/>
          <w:lang w:eastAsia="zh-TW"/>
        </w:rPr>
        <w:t xml:space="preserve">Life </w:t>
      </w:r>
      <w:r w:rsidR="00EC4A40" w:rsidRPr="000C6940">
        <w:rPr>
          <w:rFonts w:ascii="Times New Roman" w:eastAsiaTheme="minorEastAsia" w:hAnsi="Times New Roman"/>
          <w:sz w:val="20"/>
          <w:szCs w:val="20"/>
          <w:lang w:eastAsia="zh-TW"/>
        </w:rPr>
        <w:t xml:space="preserve">dummy that takes the value of 1 for life insurers </w:t>
      </w:r>
      <w:r w:rsidR="004C3F64" w:rsidRPr="000C6940">
        <w:rPr>
          <w:rFonts w:ascii="Times New Roman" w:eastAsiaTheme="minorEastAsia" w:hAnsi="Times New Roman"/>
          <w:sz w:val="20"/>
          <w:szCs w:val="20"/>
          <w:lang w:eastAsia="zh-TW"/>
        </w:rPr>
        <w:t>and 0 for non-life insurers</w:t>
      </w:r>
      <w:r w:rsidR="00EC4A40" w:rsidRPr="000C6940">
        <w:rPr>
          <w:rFonts w:ascii="Times New Roman" w:eastAsiaTheme="minorEastAsia" w:hAnsi="Times New Roman"/>
          <w:sz w:val="20"/>
          <w:szCs w:val="20"/>
          <w:lang w:eastAsia="zh-TW"/>
        </w:rPr>
        <w:t xml:space="preserve">. </w:t>
      </w:r>
      <w:r w:rsidR="00120217" w:rsidRPr="000C6940">
        <w:rPr>
          <w:rFonts w:ascii="Times New Roman" w:eastAsiaTheme="minorEastAsia" w:hAnsi="Times New Roman"/>
          <w:sz w:val="20"/>
          <w:szCs w:val="20"/>
          <w:lang w:eastAsia="zh-TW"/>
        </w:rPr>
        <w:t xml:space="preserve">To assess the quality of an insurer’s insurance portfolio, we </w:t>
      </w:r>
      <w:r w:rsidR="00350427">
        <w:rPr>
          <w:rFonts w:ascii="Times New Roman" w:eastAsiaTheme="minorEastAsia" w:hAnsi="Times New Roman"/>
          <w:sz w:val="20"/>
          <w:szCs w:val="20"/>
          <w:lang w:eastAsia="zh-TW"/>
        </w:rPr>
        <w:t>include</w:t>
      </w:r>
      <w:r w:rsidR="00120217" w:rsidRPr="000C6940">
        <w:rPr>
          <w:rFonts w:ascii="Times New Roman" w:eastAsiaTheme="minorEastAsia" w:hAnsi="Times New Roman"/>
          <w:sz w:val="20"/>
          <w:szCs w:val="20"/>
          <w:lang w:eastAsia="zh-TW"/>
        </w:rPr>
        <w:t xml:space="preserve"> the loss ratio</w:t>
      </w:r>
      <w:r w:rsidR="00F068AF" w:rsidRPr="000C6940">
        <w:rPr>
          <w:rFonts w:ascii="Times New Roman" w:eastAsiaTheme="minorEastAsia" w:hAnsi="Times New Roman"/>
          <w:sz w:val="20"/>
          <w:szCs w:val="20"/>
          <w:lang w:eastAsia="zh-TW"/>
        </w:rPr>
        <w:t xml:space="preserve"> </w:t>
      </w:r>
      <w:r w:rsidR="00120217" w:rsidRPr="000C6940">
        <w:rPr>
          <w:rFonts w:ascii="Times New Roman" w:eastAsiaTheme="minorEastAsia" w:hAnsi="Times New Roman"/>
          <w:sz w:val="20"/>
          <w:szCs w:val="20"/>
          <w:lang w:eastAsia="zh-TW"/>
        </w:rPr>
        <w:t>as a control variable.</w:t>
      </w:r>
      <w:r w:rsidR="00A12302" w:rsidRPr="000C6940">
        <w:rPr>
          <w:rFonts w:ascii="Times New Roman" w:eastAsiaTheme="minorEastAsia" w:hAnsi="Times New Roman"/>
          <w:sz w:val="20"/>
          <w:szCs w:val="20"/>
          <w:lang w:eastAsia="zh-TW"/>
        </w:rPr>
        <w:t xml:space="preserve"> </w:t>
      </w:r>
      <w:r w:rsidR="00F94166" w:rsidRPr="000C6940">
        <w:rPr>
          <w:rFonts w:ascii="Times New Roman" w:eastAsiaTheme="minorEastAsia" w:hAnsi="Times New Roman"/>
          <w:sz w:val="20"/>
          <w:szCs w:val="20"/>
          <w:lang w:eastAsia="zh-TW"/>
        </w:rPr>
        <w:t xml:space="preserve">We also include investment income because an exceptionally high investment income may imply excessive risk taking in the insurer’s investment portfolio. </w:t>
      </w:r>
      <w:r w:rsidR="0094269E" w:rsidRPr="000C6940">
        <w:rPr>
          <w:rFonts w:ascii="Times New Roman" w:eastAsiaTheme="minorEastAsia" w:hAnsi="Times New Roman"/>
          <w:sz w:val="20"/>
          <w:szCs w:val="20"/>
          <w:lang w:eastAsia="zh-TW"/>
        </w:rPr>
        <w:t>In addition</w:t>
      </w:r>
      <w:r w:rsidR="00A12302" w:rsidRPr="000C6940">
        <w:rPr>
          <w:rFonts w:ascii="Times New Roman" w:eastAsiaTheme="minorEastAsia" w:hAnsi="Times New Roman"/>
          <w:sz w:val="20"/>
          <w:szCs w:val="20"/>
          <w:lang w:eastAsia="zh-TW"/>
        </w:rPr>
        <w:t xml:space="preserve">, </w:t>
      </w:r>
      <w:r w:rsidR="00430835" w:rsidRPr="000C6940">
        <w:rPr>
          <w:rFonts w:ascii="Times New Roman" w:eastAsiaTheme="minorEastAsia" w:hAnsi="Times New Roman"/>
          <w:sz w:val="20"/>
          <w:szCs w:val="20"/>
          <w:lang w:eastAsia="zh-TW"/>
        </w:rPr>
        <w:t xml:space="preserve">we control </w:t>
      </w:r>
      <w:r w:rsidR="006F2CF6" w:rsidRPr="000C6940">
        <w:rPr>
          <w:rFonts w:ascii="Times New Roman" w:eastAsiaTheme="minorEastAsia" w:hAnsi="Times New Roman"/>
          <w:sz w:val="20"/>
          <w:szCs w:val="20"/>
          <w:lang w:eastAsia="zh-TW"/>
        </w:rPr>
        <w:t xml:space="preserve">the performance of insurer by its return on assets (ROA) and </w:t>
      </w:r>
      <w:r w:rsidR="00430835" w:rsidRPr="000C6940">
        <w:rPr>
          <w:rFonts w:ascii="Times New Roman" w:eastAsiaTheme="minorEastAsia" w:hAnsi="Times New Roman"/>
          <w:sz w:val="20"/>
          <w:szCs w:val="20"/>
          <w:lang w:eastAsia="zh-TW"/>
        </w:rPr>
        <w:t xml:space="preserve">the quality of management by the ratio of operating expenses to </w:t>
      </w:r>
      <w:r w:rsidR="005532BD" w:rsidRPr="000C6940">
        <w:rPr>
          <w:rFonts w:ascii="Times New Roman" w:eastAsiaTheme="minorEastAsia" w:hAnsi="Times New Roman"/>
          <w:sz w:val="20"/>
          <w:szCs w:val="20"/>
          <w:lang w:eastAsia="zh-TW"/>
        </w:rPr>
        <w:t>net sales</w:t>
      </w:r>
      <w:r w:rsidR="00430835" w:rsidRPr="000C6940">
        <w:rPr>
          <w:rFonts w:ascii="Times New Roman" w:eastAsiaTheme="minorEastAsia" w:hAnsi="Times New Roman"/>
          <w:sz w:val="20"/>
          <w:szCs w:val="20"/>
          <w:lang w:eastAsia="zh-TW"/>
        </w:rPr>
        <w:t>.</w:t>
      </w:r>
      <w:r w:rsidR="0094269E" w:rsidRPr="000C6940">
        <w:rPr>
          <w:rFonts w:ascii="Times New Roman" w:eastAsiaTheme="minorEastAsia" w:hAnsi="Times New Roman" w:hint="eastAsia"/>
          <w:sz w:val="20"/>
          <w:szCs w:val="20"/>
          <w:lang w:eastAsia="zh-HK"/>
        </w:rPr>
        <w:t xml:space="preserve"> </w:t>
      </w:r>
      <w:r w:rsidR="00F94166" w:rsidRPr="000C6940">
        <w:rPr>
          <w:rFonts w:ascii="Times New Roman" w:eastAsiaTheme="minorEastAsia" w:hAnsi="Times New Roman" w:hint="eastAsia"/>
          <w:sz w:val="20"/>
          <w:szCs w:val="20"/>
          <w:lang w:eastAsia="zh-HK"/>
        </w:rPr>
        <w:t>T</w:t>
      </w:r>
      <w:r w:rsidR="00F94166" w:rsidRPr="000C6940">
        <w:rPr>
          <w:rFonts w:ascii="Times New Roman" w:eastAsiaTheme="minorEastAsia" w:hAnsi="Times New Roman"/>
          <w:sz w:val="20"/>
          <w:szCs w:val="20"/>
          <w:lang w:eastAsia="zh-HK"/>
        </w:rPr>
        <w:t xml:space="preserve">o control for country-specific </w:t>
      </w:r>
      <w:r w:rsidR="007A556B">
        <w:rPr>
          <w:rFonts w:ascii="Times New Roman" w:eastAsiaTheme="minorEastAsia" w:hAnsi="Times New Roman"/>
          <w:sz w:val="20"/>
          <w:szCs w:val="20"/>
          <w:lang w:eastAsia="zh-HK"/>
        </w:rPr>
        <w:lastRenderedPageBreak/>
        <w:t>macroeconomic characteristics</w:t>
      </w:r>
      <w:r w:rsidR="00F94166" w:rsidRPr="000C6940">
        <w:rPr>
          <w:rFonts w:ascii="Times New Roman" w:eastAsiaTheme="minorEastAsia" w:hAnsi="Times New Roman"/>
          <w:sz w:val="20"/>
          <w:szCs w:val="20"/>
          <w:lang w:eastAsia="zh-HK"/>
        </w:rPr>
        <w:t>, we use the annual GDP growth and</w:t>
      </w:r>
      <w:r w:rsidR="007646BC" w:rsidRPr="000C6940">
        <w:rPr>
          <w:rFonts w:ascii="Times New Roman" w:eastAsiaTheme="minorEastAsia" w:hAnsi="Times New Roman"/>
          <w:sz w:val="20"/>
          <w:szCs w:val="20"/>
          <w:lang w:eastAsia="zh-HK"/>
        </w:rPr>
        <w:t xml:space="preserve"> inflation as control variables, as</w:t>
      </w:r>
      <w:r w:rsidR="004E45D6" w:rsidRPr="000C6940">
        <w:rPr>
          <w:rFonts w:ascii="Times New Roman" w:eastAsiaTheme="minorEastAsia" w:hAnsi="Times New Roman"/>
          <w:sz w:val="20"/>
          <w:szCs w:val="20"/>
          <w:lang w:eastAsia="zh-HK"/>
        </w:rPr>
        <w:t xml:space="preserve"> </w:t>
      </w:r>
      <w:proofErr w:type="spellStart"/>
      <w:r w:rsidR="004E45D6" w:rsidRPr="000C6940">
        <w:rPr>
          <w:rFonts w:ascii="Times New Roman" w:eastAsiaTheme="minorEastAsia" w:hAnsi="Times New Roman"/>
          <w:sz w:val="20"/>
          <w:szCs w:val="20"/>
          <w:lang w:eastAsia="zh-HK"/>
        </w:rPr>
        <w:t>Baselga-Pascual</w:t>
      </w:r>
      <w:proofErr w:type="spellEnd"/>
      <w:r w:rsidR="004E45D6" w:rsidRPr="000C6940">
        <w:rPr>
          <w:rFonts w:ascii="Times New Roman" w:eastAsiaTheme="minorEastAsia" w:hAnsi="Times New Roman"/>
          <w:i/>
          <w:sz w:val="20"/>
          <w:szCs w:val="20"/>
          <w:lang w:eastAsia="zh-HK"/>
        </w:rPr>
        <w:t xml:space="preserve"> et al. </w:t>
      </w:r>
      <w:r w:rsidR="004E45D6" w:rsidRPr="000C6940">
        <w:rPr>
          <w:rFonts w:ascii="Times New Roman" w:eastAsiaTheme="minorEastAsia" w:hAnsi="Times New Roman"/>
          <w:sz w:val="20"/>
          <w:szCs w:val="20"/>
          <w:lang w:eastAsia="zh-HK"/>
        </w:rPr>
        <w:t>(2015) show that falling GDP and high inflation rates increase bank risk.</w:t>
      </w:r>
      <w:r w:rsidR="004D4437" w:rsidRPr="000C6940">
        <w:rPr>
          <w:rFonts w:ascii="Times New Roman" w:eastAsiaTheme="minorEastAsia" w:hAnsi="Times New Roman"/>
          <w:sz w:val="20"/>
          <w:szCs w:val="20"/>
          <w:lang w:eastAsia="zh-HK"/>
        </w:rPr>
        <w:t xml:space="preserve"> Table II d</w:t>
      </w:r>
      <w:r w:rsidR="004D4437">
        <w:rPr>
          <w:rFonts w:ascii="Times New Roman" w:eastAsiaTheme="minorEastAsia" w:hAnsi="Times New Roman"/>
          <w:sz w:val="20"/>
          <w:szCs w:val="20"/>
          <w:lang w:eastAsia="zh-HK"/>
        </w:rPr>
        <w:t>ocuments the definition of the above variables.</w:t>
      </w:r>
    </w:p>
    <w:p w14:paraId="20C5A50F" w14:textId="29551CCB" w:rsidR="00CF0F7F" w:rsidRPr="00B86E32" w:rsidRDefault="00CF0F7F" w:rsidP="00BA3FFD">
      <w:pPr>
        <w:spacing w:after="0" w:line="260" w:lineRule="exact"/>
        <w:jc w:val="both"/>
        <w:rPr>
          <w:rFonts w:ascii="Times New Roman" w:eastAsiaTheme="minorEastAsia" w:hAnsi="Times New Roman"/>
          <w:sz w:val="20"/>
          <w:szCs w:val="20"/>
          <w:lang w:eastAsia="zh-HK"/>
        </w:rPr>
      </w:pPr>
    </w:p>
    <w:p w14:paraId="5959EB31" w14:textId="13F90B1B" w:rsidR="00CF0F7F" w:rsidRDefault="00CF0F7F" w:rsidP="00CF0F7F">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[Table I</w:t>
      </w:r>
      <w:r w:rsidR="00A73FEF">
        <w:rPr>
          <w:rFonts w:ascii="Times New Roman" w:eastAsiaTheme="minorEastAsia" w:hAnsi="Times New Roman" w:hint="eastAsia"/>
          <w:b/>
          <w:sz w:val="20"/>
          <w:szCs w:val="20"/>
          <w:lang w:eastAsia="zh-HK"/>
        </w:rPr>
        <w:t>I</w:t>
      </w:r>
      <w:r w:rsidRPr="00B86E32">
        <w:rPr>
          <w:rFonts w:ascii="Times New Roman" w:eastAsiaTheme="minorEastAsia" w:hAnsi="Times New Roman"/>
          <w:b/>
          <w:sz w:val="20"/>
          <w:szCs w:val="20"/>
          <w:lang w:eastAsia="zh-HK"/>
        </w:rPr>
        <w:t xml:space="preserve"> inserted here]</w:t>
      </w:r>
    </w:p>
    <w:p w14:paraId="0E0B5A2D" w14:textId="77777777" w:rsidR="00033BD8" w:rsidRDefault="00033BD8" w:rsidP="00CF0F7F">
      <w:pPr>
        <w:spacing w:after="0" w:line="260" w:lineRule="exact"/>
        <w:jc w:val="center"/>
        <w:rPr>
          <w:rFonts w:ascii="Times New Roman" w:eastAsiaTheme="minorEastAsia" w:hAnsi="Times New Roman"/>
          <w:b/>
          <w:sz w:val="20"/>
          <w:szCs w:val="20"/>
          <w:lang w:eastAsia="zh-HK"/>
        </w:rPr>
      </w:pPr>
    </w:p>
    <w:p w14:paraId="522F9A59" w14:textId="7D30DC73" w:rsidR="00D91A00" w:rsidRPr="00B86E32" w:rsidRDefault="00B926DA" w:rsidP="007E0778">
      <w:pPr>
        <w:pStyle w:val="ListParagraph"/>
        <w:numPr>
          <w:ilvl w:val="1"/>
          <w:numId w:val="1"/>
        </w:numPr>
        <w:spacing w:after="0" w:line="240" w:lineRule="auto"/>
        <w:ind w:leftChars="0" w:left="0" w:firstLine="0"/>
        <w:jc w:val="both"/>
        <w:rPr>
          <w:rFonts w:ascii="Times New Roman" w:eastAsiaTheme="minorEastAsia" w:hAnsi="Times New Roman"/>
          <w:b/>
          <w:i/>
          <w:sz w:val="20"/>
          <w:szCs w:val="20"/>
          <w:lang w:eastAsia="zh-HK"/>
        </w:rPr>
      </w:pPr>
      <w:r>
        <w:rPr>
          <w:rFonts w:ascii="Times New Roman" w:eastAsiaTheme="minorEastAsia" w:hAnsi="Times New Roman"/>
          <w:b/>
          <w:i/>
          <w:sz w:val="20"/>
          <w:szCs w:val="20"/>
          <w:lang w:eastAsia="zh-HK"/>
        </w:rPr>
        <w:t>Descriptive statistics</w:t>
      </w:r>
    </w:p>
    <w:p w14:paraId="43880529" w14:textId="7E6F9DE3" w:rsidR="00924F0C" w:rsidRDefault="00033BD8"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The descriptive statistics are summarized in table III.</w:t>
      </w:r>
      <w:r w:rsidR="000A176B">
        <w:rPr>
          <w:rFonts w:ascii="Times New Roman" w:eastAsiaTheme="minorEastAsia" w:hAnsi="Times New Roman"/>
          <w:sz w:val="20"/>
          <w:szCs w:val="20"/>
          <w:lang w:eastAsia="zh-HK"/>
        </w:rPr>
        <w:t xml:space="preserve"> </w:t>
      </w:r>
      <w:r w:rsidR="00350427">
        <w:rPr>
          <w:rFonts w:ascii="Times New Roman" w:eastAsiaTheme="minorEastAsia" w:hAnsi="Times New Roman"/>
          <w:sz w:val="20"/>
          <w:szCs w:val="20"/>
          <w:lang w:eastAsia="zh-HK"/>
        </w:rPr>
        <w:t>Panel A, B and C report</w:t>
      </w:r>
      <w:r w:rsidR="00111D6B">
        <w:rPr>
          <w:rFonts w:ascii="Times New Roman" w:eastAsiaTheme="minorEastAsia" w:hAnsi="Times New Roman"/>
          <w:sz w:val="20"/>
          <w:szCs w:val="20"/>
          <w:lang w:eastAsia="zh-HK"/>
        </w:rPr>
        <w:t xml:space="preserve"> the statistics of systemic risk measures, firm characteristics, and country-specific macroeconomic variables respectively. </w:t>
      </w:r>
      <w:r w:rsidR="000A176B">
        <w:rPr>
          <w:rFonts w:ascii="Times New Roman" w:eastAsiaTheme="minorEastAsia" w:hAnsi="Times New Roman"/>
          <w:sz w:val="20"/>
          <w:szCs w:val="20"/>
          <w:lang w:eastAsia="zh-HK"/>
        </w:rPr>
        <w:t xml:space="preserve">The mean of MES, SRISK and </w:t>
      </w:r>
      <w:r w:rsidR="000A176B" w:rsidRPr="000A176B">
        <w:rPr>
          <w:rFonts w:ascii="Times New Roman" w:eastAsiaTheme="minorEastAsia" w:hAnsi="Times New Roman" w:hint="eastAsia"/>
          <w:sz w:val="20"/>
          <w:szCs w:val="20"/>
          <w:lang w:eastAsia="zh-HK"/>
        </w:rPr>
        <w:t>Δ</w:t>
      </w:r>
      <w:proofErr w:type="spellStart"/>
      <w:r w:rsidR="000A176B" w:rsidRPr="000A176B">
        <w:rPr>
          <w:rFonts w:ascii="Times New Roman" w:eastAsiaTheme="minorEastAsia" w:hAnsi="Times New Roman"/>
          <w:sz w:val="20"/>
          <w:szCs w:val="20"/>
          <w:lang w:eastAsia="zh-HK"/>
        </w:rPr>
        <w:t>CoVAR</w:t>
      </w:r>
      <w:proofErr w:type="spellEnd"/>
      <w:r w:rsidR="001A6A36">
        <w:rPr>
          <w:rFonts w:ascii="Times New Roman" w:eastAsiaTheme="minorEastAsia" w:hAnsi="Times New Roman"/>
          <w:sz w:val="20"/>
          <w:szCs w:val="20"/>
          <w:lang w:eastAsia="zh-HK"/>
        </w:rPr>
        <w:t xml:space="preserve"> </w:t>
      </w:r>
      <w:r w:rsidR="000A176B">
        <w:rPr>
          <w:rFonts w:ascii="Times New Roman" w:eastAsiaTheme="minorEastAsia" w:hAnsi="Times New Roman"/>
          <w:sz w:val="20"/>
          <w:szCs w:val="20"/>
          <w:lang w:eastAsia="zh-HK"/>
        </w:rPr>
        <w:t>are 2.15%, US$3.36 billion, and</w:t>
      </w:r>
      <w:r w:rsidR="005A29BB">
        <w:rPr>
          <w:rFonts w:ascii="Times New Roman" w:eastAsiaTheme="minorEastAsia" w:hAnsi="Times New Roman"/>
          <w:sz w:val="20"/>
          <w:szCs w:val="20"/>
          <w:lang w:eastAsia="zh-HK"/>
        </w:rPr>
        <w:t xml:space="preserve"> -0.98% respectively</w:t>
      </w:r>
      <w:r w:rsidR="001A6A36">
        <w:rPr>
          <w:rFonts w:ascii="Times New Roman" w:eastAsiaTheme="minorEastAsia" w:hAnsi="Times New Roman"/>
          <w:sz w:val="20"/>
          <w:szCs w:val="20"/>
          <w:lang w:eastAsia="zh-HK"/>
        </w:rPr>
        <w:t xml:space="preserve">. The time evolution of these </w:t>
      </w:r>
      <w:r w:rsidR="000D240D">
        <w:rPr>
          <w:rFonts w:ascii="Times New Roman" w:eastAsiaTheme="minorEastAsia" w:hAnsi="Times New Roman"/>
          <w:sz w:val="20"/>
          <w:szCs w:val="20"/>
          <w:lang w:eastAsia="zh-HK"/>
        </w:rPr>
        <w:t>three systemic risk measures is</w:t>
      </w:r>
      <w:r w:rsidR="001A6A36">
        <w:rPr>
          <w:rFonts w:ascii="Times New Roman" w:eastAsiaTheme="minorEastAsia" w:hAnsi="Times New Roman"/>
          <w:sz w:val="20"/>
          <w:szCs w:val="20"/>
          <w:lang w:eastAsia="zh-HK"/>
        </w:rPr>
        <w:t xml:space="preserve"> reported in Figure 1. Before the financial crisis in 2008, </w:t>
      </w:r>
      <w:r w:rsidR="000C26A1">
        <w:rPr>
          <w:rFonts w:ascii="Times New Roman" w:eastAsiaTheme="minorEastAsia" w:hAnsi="Times New Roman"/>
          <w:sz w:val="20"/>
          <w:szCs w:val="20"/>
          <w:lang w:eastAsia="zh-HK"/>
        </w:rPr>
        <w:t>systemic risk</w:t>
      </w:r>
      <w:r w:rsidR="00DB7665">
        <w:rPr>
          <w:rFonts w:ascii="Times New Roman" w:eastAsiaTheme="minorEastAsia" w:hAnsi="Times New Roman"/>
          <w:sz w:val="20"/>
          <w:szCs w:val="20"/>
          <w:lang w:eastAsia="zh-HK"/>
        </w:rPr>
        <w:t xml:space="preserve"> of insurers remain</w:t>
      </w:r>
      <w:r w:rsidR="000C26A1">
        <w:rPr>
          <w:rFonts w:ascii="Times New Roman" w:eastAsiaTheme="minorEastAsia" w:hAnsi="Times New Roman"/>
          <w:sz w:val="20"/>
          <w:szCs w:val="20"/>
          <w:lang w:eastAsia="zh-HK"/>
        </w:rPr>
        <w:t>s</w:t>
      </w:r>
      <w:r w:rsidR="00DB7665">
        <w:rPr>
          <w:rFonts w:ascii="Times New Roman" w:eastAsiaTheme="minorEastAsia" w:hAnsi="Times New Roman"/>
          <w:sz w:val="20"/>
          <w:szCs w:val="20"/>
          <w:lang w:eastAsia="zh-HK"/>
        </w:rPr>
        <w:t xml:space="preserve"> at </w:t>
      </w:r>
      <w:r w:rsidR="0010430F">
        <w:rPr>
          <w:rFonts w:ascii="Times New Roman" w:eastAsiaTheme="minorEastAsia" w:hAnsi="Times New Roman"/>
          <w:sz w:val="20"/>
          <w:szCs w:val="20"/>
          <w:lang w:eastAsia="zh-HK"/>
        </w:rPr>
        <w:t xml:space="preserve">a </w:t>
      </w:r>
      <w:r w:rsidR="00DB7665">
        <w:rPr>
          <w:rFonts w:ascii="Times New Roman" w:eastAsiaTheme="minorEastAsia" w:hAnsi="Times New Roman"/>
          <w:sz w:val="20"/>
          <w:szCs w:val="20"/>
          <w:lang w:eastAsia="zh-HK"/>
        </w:rPr>
        <w:t>low level. However, both three measure</w:t>
      </w:r>
      <w:r w:rsidR="000C26A1">
        <w:rPr>
          <w:rFonts w:ascii="Times New Roman" w:eastAsiaTheme="minorEastAsia" w:hAnsi="Times New Roman"/>
          <w:sz w:val="20"/>
          <w:szCs w:val="20"/>
          <w:lang w:eastAsia="zh-HK"/>
        </w:rPr>
        <w:t>s indicate that systemic risk</w:t>
      </w:r>
      <w:r w:rsidR="00DB7665">
        <w:rPr>
          <w:rFonts w:ascii="Times New Roman" w:eastAsiaTheme="minorEastAsia" w:hAnsi="Times New Roman"/>
          <w:sz w:val="20"/>
          <w:szCs w:val="20"/>
          <w:lang w:eastAsia="zh-HK"/>
        </w:rPr>
        <w:t xml:space="preserve"> increase</w:t>
      </w:r>
      <w:r w:rsidR="000C26A1">
        <w:rPr>
          <w:rFonts w:ascii="Times New Roman" w:eastAsiaTheme="minorEastAsia" w:hAnsi="Times New Roman"/>
          <w:sz w:val="20"/>
          <w:szCs w:val="20"/>
          <w:lang w:eastAsia="zh-HK"/>
        </w:rPr>
        <w:t>s</w:t>
      </w:r>
      <w:r w:rsidR="00DB7665">
        <w:rPr>
          <w:rFonts w:ascii="Times New Roman" w:eastAsiaTheme="minorEastAsia" w:hAnsi="Times New Roman"/>
          <w:sz w:val="20"/>
          <w:szCs w:val="20"/>
          <w:lang w:eastAsia="zh-HK"/>
        </w:rPr>
        <w:t xml:space="preserve"> sharply during the financial crisis in 2008. </w:t>
      </w:r>
      <w:r w:rsidR="00D4134C">
        <w:rPr>
          <w:rFonts w:ascii="Times New Roman" w:eastAsiaTheme="minorEastAsia" w:hAnsi="Times New Roman"/>
          <w:sz w:val="20"/>
          <w:szCs w:val="20"/>
          <w:lang w:eastAsia="zh-HK"/>
        </w:rPr>
        <w:t xml:space="preserve">The peak of MES (6.80%) and SRISK ($5.12 billion) occur in the fourth quarter of 2008, while the </w:t>
      </w:r>
      <w:r w:rsidR="00F972CC">
        <w:rPr>
          <w:rFonts w:ascii="Times New Roman" w:eastAsiaTheme="minorEastAsia" w:hAnsi="Times New Roman"/>
          <w:sz w:val="20"/>
          <w:szCs w:val="20"/>
          <w:lang w:eastAsia="zh-HK"/>
        </w:rPr>
        <w:t>trough</w:t>
      </w:r>
      <w:r w:rsidR="00D4134C">
        <w:rPr>
          <w:rFonts w:ascii="Times New Roman" w:eastAsiaTheme="minorEastAsia" w:hAnsi="Times New Roman"/>
          <w:sz w:val="20"/>
          <w:szCs w:val="20"/>
          <w:lang w:eastAsia="zh-HK"/>
        </w:rPr>
        <w:t xml:space="preserve"> of </w:t>
      </w:r>
      <w:r w:rsidR="00D4134C" w:rsidRPr="000A176B">
        <w:rPr>
          <w:rFonts w:ascii="Times New Roman" w:eastAsiaTheme="minorEastAsia" w:hAnsi="Times New Roman" w:hint="eastAsia"/>
          <w:sz w:val="20"/>
          <w:szCs w:val="20"/>
          <w:lang w:eastAsia="zh-HK"/>
        </w:rPr>
        <w:t>Δ</w:t>
      </w:r>
      <w:proofErr w:type="spellStart"/>
      <w:r w:rsidR="00D4134C">
        <w:rPr>
          <w:rFonts w:ascii="Times New Roman" w:eastAsiaTheme="minorEastAsia" w:hAnsi="Times New Roman"/>
          <w:sz w:val="20"/>
          <w:szCs w:val="20"/>
          <w:lang w:eastAsia="zh-HK"/>
        </w:rPr>
        <w:t>CoVAR</w:t>
      </w:r>
      <w:proofErr w:type="spellEnd"/>
      <w:r w:rsidR="00D4134C">
        <w:rPr>
          <w:rFonts w:ascii="Times New Roman" w:eastAsiaTheme="minorEastAsia" w:hAnsi="Times New Roman"/>
          <w:sz w:val="20"/>
          <w:szCs w:val="20"/>
          <w:lang w:eastAsia="zh-HK"/>
        </w:rPr>
        <w:t xml:space="preserve"> (-2.82%) occurs in the first quarter of 2009. </w:t>
      </w:r>
      <w:r w:rsidR="0010430F">
        <w:rPr>
          <w:rFonts w:ascii="Times New Roman" w:eastAsiaTheme="minorEastAsia" w:hAnsi="Times New Roman"/>
          <w:sz w:val="20"/>
          <w:szCs w:val="20"/>
          <w:lang w:eastAsia="zh-HK"/>
        </w:rPr>
        <w:t>Although th</w:t>
      </w:r>
      <w:r w:rsidR="000C26A1">
        <w:rPr>
          <w:rFonts w:ascii="Times New Roman" w:eastAsiaTheme="minorEastAsia" w:hAnsi="Times New Roman"/>
          <w:sz w:val="20"/>
          <w:szCs w:val="20"/>
          <w:lang w:eastAsia="zh-HK"/>
        </w:rPr>
        <w:t>e systemic risk</w:t>
      </w:r>
      <w:r w:rsidR="0010430F">
        <w:rPr>
          <w:rFonts w:ascii="Times New Roman" w:eastAsiaTheme="minorEastAsia" w:hAnsi="Times New Roman"/>
          <w:sz w:val="20"/>
          <w:szCs w:val="20"/>
          <w:lang w:eastAsia="zh-HK"/>
        </w:rPr>
        <w:t xml:space="preserve"> decrease</w:t>
      </w:r>
      <w:r w:rsidR="000C26A1">
        <w:rPr>
          <w:rFonts w:ascii="Times New Roman" w:eastAsiaTheme="minorEastAsia" w:hAnsi="Times New Roman"/>
          <w:sz w:val="20"/>
          <w:szCs w:val="20"/>
          <w:lang w:eastAsia="zh-HK"/>
        </w:rPr>
        <w:t>s</w:t>
      </w:r>
      <w:r w:rsidR="0010430F">
        <w:rPr>
          <w:rFonts w:ascii="Times New Roman" w:eastAsiaTheme="minorEastAsia" w:hAnsi="Times New Roman"/>
          <w:sz w:val="20"/>
          <w:szCs w:val="20"/>
          <w:lang w:eastAsia="zh-HK"/>
        </w:rPr>
        <w:t xml:space="preserve"> temporarily after the financial crisis, another peak occurs </w:t>
      </w:r>
      <w:r w:rsidR="005E4234">
        <w:rPr>
          <w:rFonts w:ascii="Times New Roman" w:eastAsiaTheme="minorEastAsia" w:hAnsi="Times New Roman"/>
          <w:sz w:val="20"/>
          <w:szCs w:val="20"/>
          <w:lang w:eastAsia="zh-HK"/>
        </w:rPr>
        <w:t>near</w:t>
      </w:r>
      <w:r w:rsidR="0010430F">
        <w:rPr>
          <w:rFonts w:ascii="Times New Roman" w:eastAsiaTheme="minorEastAsia" w:hAnsi="Times New Roman"/>
          <w:sz w:val="20"/>
          <w:szCs w:val="20"/>
          <w:lang w:eastAsia="zh-HK"/>
        </w:rPr>
        <w:t xml:space="preserve"> the end of 2011. Subsequently, the G20 made a declaration after the meeting on 4 November</w:t>
      </w:r>
      <w:r w:rsidR="005E4234">
        <w:rPr>
          <w:rFonts w:ascii="Times New Roman" w:eastAsiaTheme="minorEastAsia" w:hAnsi="Times New Roman"/>
          <w:sz w:val="20"/>
          <w:szCs w:val="20"/>
          <w:lang w:eastAsia="zh-HK"/>
        </w:rPr>
        <w:t xml:space="preserve"> 2011</w:t>
      </w:r>
      <w:r w:rsidR="00C93D19">
        <w:rPr>
          <w:rFonts w:ascii="Times New Roman" w:eastAsiaTheme="minorEastAsia" w:hAnsi="Times New Roman"/>
          <w:sz w:val="20"/>
          <w:szCs w:val="20"/>
          <w:lang w:eastAsia="zh-HK"/>
        </w:rPr>
        <w:t xml:space="preserve"> explicitly expressing the need to develop supervisory framework for internationally active insurance groups. </w:t>
      </w:r>
      <w:r w:rsidR="00824CE3">
        <w:rPr>
          <w:rFonts w:ascii="Times New Roman" w:eastAsiaTheme="minorEastAsia" w:hAnsi="Times New Roman"/>
          <w:sz w:val="20"/>
          <w:szCs w:val="20"/>
          <w:lang w:eastAsia="zh-HK"/>
        </w:rPr>
        <w:t xml:space="preserve">On 19 June 2012, the G20 reiterated the need to supervise G-SIIs. </w:t>
      </w:r>
      <w:r w:rsidR="005E4234">
        <w:rPr>
          <w:rFonts w:ascii="Times New Roman" w:eastAsiaTheme="minorEastAsia" w:hAnsi="Times New Roman"/>
          <w:sz w:val="20"/>
          <w:szCs w:val="20"/>
          <w:lang w:eastAsia="zh-HK"/>
        </w:rPr>
        <w:t xml:space="preserve">In response, the </w:t>
      </w:r>
      <w:r w:rsidR="00824CE3">
        <w:rPr>
          <w:rFonts w:ascii="Times New Roman" w:eastAsiaTheme="minorEastAsia" w:hAnsi="Times New Roman"/>
          <w:sz w:val="20"/>
          <w:szCs w:val="20"/>
          <w:lang w:eastAsia="zh-HK"/>
        </w:rPr>
        <w:t xml:space="preserve">IAIS published various policy measures to govern G-SIIs in 2013, 2014 and 2015. Coincidentally, we observe a downward trend on insurers’ systemic risk in the same period. </w:t>
      </w:r>
      <w:r w:rsidR="00F0641D">
        <w:rPr>
          <w:rFonts w:ascii="Times New Roman" w:eastAsiaTheme="minorEastAsia" w:hAnsi="Times New Roman"/>
          <w:sz w:val="20"/>
          <w:szCs w:val="20"/>
          <w:lang w:eastAsia="zh-HK"/>
        </w:rPr>
        <w:t xml:space="preserve">Whether the new regulation contributes to the downward trend </w:t>
      </w:r>
      <w:r w:rsidR="003109EB">
        <w:rPr>
          <w:rFonts w:ascii="Times New Roman" w:eastAsiaTheme="minorEastAsia" w:hAnsi="Times New Roman"/>
          <w:sz w:val="20"/>
          <w:szCs w:val="20"/>
          <w:lang w:eastAsia="zh-HK"/>
        </w:rPr>
        <w:t>observed between 2012 and 2015</w:t>
      </w:r>
      <w:r w:rsidR="00F0641D">
        <w:rPr>
          <w:rFonts w:ascii="Times New Roman" w:eastAsiaTheme="minorEastAsia" w:hAnsi="Times New Roman"/>
          <w:sz w:val="20"/>
          <w:szCs w:val="20"/>
          <w:lang w:eastAsia="zh-HK"/>
        </w:rPr>
        <w:t xml:space="preserve"> is the </w:t>
      </w:r>
      <w:r w:rsidR="005E4234">
        <w:rPr>
          <w:rFonts w:ascii="Times New Roman" w:eastAsiaTheme="minorEastAsia" w:hAnsi="Times New Roman"/>
          <w:sz w:val="20"/>
          <w:szCs w:val="20"/>
          <w:lang w:eastAsia="zh-HK"/>
        </w:rPr>
        <w:t xml:space="preserve">main </w:t>
      </w:r>
      <w:r w:rsidR="001D148B">
        <w:rPr>
          <w:rFonts w:ascii="Times New Roman" w:eastAsiaTheme="minorEastAsia" w:hAnsi="Times New Roman"/>
          <w:sz w:val="20"/>
          <w:szCs w:val="20"/>
          <w:lang w:eastAsia="zh-HK"/>
        </w:rPr>
        <w:t>research question we would address in later sections.</w:t>
      </w:r>
      <w:r w:rsidR="005E4234">
        <w:rPr>
          <w:rFonts w:ascii="Times New Roman" w:eastAsiaTheme="minorEastAsia" w:hAnsi="Times New Roman"/>
          <w:sz w:val="20"/>
          <w:szCs w:val="20"/>
          <w:lang w:eastAsia="zh-HK"/>
        </w:rPr>
        <w:t xml:space="preserve"> </w:t>
      </w:r>
    </w:p>
    <w:p w14:paraId="69660C3E" w14:textId="77777777" w:rsidR="00EB3D0F" w:rsidRPr="00B86E32" w:rsidRDefault="00EB3D0F" w:rsidP="00EB3D0F">
      <w:pPr>
        <w:spacing w:after="0" w:line="260" w:lineRule="exact"/>
        <w:jc w:val="both"/>
        <w:rPr>
          <w:rFonts w:ascii="Times New Roman" w:eastAsiaTheme="minorEastAsia" w:hAnsi="Times New Roman"/>
          <w:sz w:val="20"/>
          <w:szCs w:val="20"/>
          <w:lang w:eastAsia="zh-HK"/>
        </w:rPr>
      </w:pPr>
    </w:p>
    <w:p w14:paraId="0AF08DDA" w14:textId="57AC9BB2" w:rsidR="00EB3D0F" w:rsidRDefault="00EB3D0F" w:rsidP="00EB3D0F">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[Table I</w:t>
      </w:r>
      <w:r>
        <w:rPr>
          <w:rFonts w:ascii="Times New Roman" w:eastAsiaTheme="minorEastAsia" w:hAnsi="Times New Roman"/>
          <w:b/>
          <w:sz w:val="20"/>
          <w:szCs w:val="20"/>
          <w:lang w:eastAsia="zh-HK"/>
        </w:rPr>
        <w:t>I</w:t>
      </w:r>
      <w:r>
        <w:rPr>
          <w:rFonts w:ascii="Times New Roman" w:eastAsiaTheme="minorEastAsia" w:hAnsi="Times New Roman" w:hint="eastAsia"/>
          <w:b/>
          <w:sz w:val="20"/>
          <w:szCs w:val="20"/>
          <w:lang w:eastAsia="zh-HK"/>
        </w:rPr>
        <w:t>I</w:t>
      </w:r>
      <w:r w:rsidRPr="00B86E32">
        <w:rPr>
          <w:rFonts w:ascii="Times New Roman" w:eastAsiaTheme="minorEastAsia" w:hAnsi="Times New Roman"/>
          <w:b/>
          <w:sz w:val="20"/>
          <w:szCs w:val="20"/>
          <w:lang w:eastAsia="zh-HK"/>
        </w:rPr>
        <w:t xml:space="preserve"> inserted here]</w:t>
      </w:r>
    </w:p>
    <w:p w14:paraId="497EAA2E" w14:textId="28724341" w:rsidR="00EB3D0F" w:rsidRDefault="00EB3D0F" w:rsidP="00EB3D0F">
      <w:pPr>
        <w:spacing w:after="0" w:line="260" w:lineRule="exact"/>
        <w:jc w:val="center"/>
        <w:rPr>
          <w:rFonts w:ascii="Times New Roman" w:eastAsiaTheme="minorEastAsia" w:hAnsi="Times New Roman"/>
          <w:b/>
          <w:sz w:val="20"/>
          <w:szCs w:val="20"/>
          <w:lang w:eastAsia="zh-HK"/>
        </w:rPr>
      </w:pPr>
    </w:p>
    <w:p w14:paraId="3673D004" w14:textId="6737C687" w:rsidR="00D33FD7" w:rsidRDefault="00D33FD7" w:rsidP="00247A99">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w:t>
      </w:r>
      <w:r>
        <w:rPr>
          <w:rFonts w:ascii="Times New Roman" w:eastAsiaTheme="minorEastAsia" w:hAnsi="Times New Roman"/>
          <w:b/>
          <w:sz w:val="20"/>
          <w:szCs w:val="20"/>
          <w:lang w:eastAsia="zh-HK"/>
        </w:rPr>
        <w:t xml:space="preserve">Figure </w:t>
      </w:r>
      <w:r>
        <w:rPr>
          <w:rFonts w:ascii="Times New Roman" w:eastAsiaTheme="minorEastAsia" w:hAnsi="Times New Roman" w:hint="eastAsia"/>
          <w:b/>
          <w:sz w:val="20"/>
          <w:szCs w:val="20"/>
          <w:lang w:eastAsia="zh-HK"/>
        </w:rPr>
        <w:t>I</w:t>
      </w:r>
      <w:r w:rsidRPr="00B86E32">
        <w:rPr>
          <w:rFonts w:ascii="Times New Roman" w:eastAsiaTheme="minorEastAsia" w:hAnsi="Times New Roman"/>
          <w:b/>
          <w:sz w:val="20"/>
          <w:szCs w:val="20"/>
          <w:lang w:eastAsia="zh-HK"/>
        </w:rPr>
        <w:t xml:space="preserve"> inserted here]</w:t>
      </w:r>
    </w:p>
    <w:p w14:paraId="1CFA1360" w14:textId="77777777" w:rsidR="002B5E1E" w:rsidRDefault="002B5E1E" w:rsidP="00247A99">
      <w:pPr>
        <w:spacing w:after="0" w:line="260" w:lineRule="exact"/>
        <w:jc w:val="center"/>
        <w:rPr>
          <w:rFonts w:ascii="Times New Roman" w:eastAsiaTheme="minorEastAsia" w:hAnsi="Times New Roman"/>
          <w:b/>
          <w:sz w:val="20"/>
          <w:szCs w:val="20"/>
          <w:lang w:eastAsia="zh-HK"/>
        </w:rPr>
      </w:pPr>
    </w:p>
    <w:p w14:paraId="40C6012C" w14:textId="0068DBCC" w:rsidR="002B5E1E" w:rsidRPr="00B86E32" w:rsidRDefault="002B5E1E" w:rsidP="00247A99">
      <w:pPr>
        <w:pStyle w:val="ListParagraph"/>
        <w:numPr>
          <w:ilvl w:val="1"/>
          <w:numId w:val="1"/>
        </w:numPr>
        <w:spacing w:after="0" w:line="260" w:lineRule="exact"/>
        <w:ind w:leftChars="0" w:left="0" w:firstLine="0"/>
        <w:jc w:val="both"/>
        <w:rPr>
          <w:rFonts w:ascii="Times New Roman" w:eastAsiaTheme="minorEastAsia" w:hAnsi="Times New Roman"/>
          <w:b/>
          <w:i/>
          <w:sz w:val="20"/>
          <w:szCs w:val="20"/>
          <w:lang w:eastAsia="zh-HK"/>
        </w:rPr>
      </w:pPr>
      <w:r>
        <w:rPr>
          <w:rFonts w:ascii="Times New Roman" w:eastAsiaTheme="minorEastAsia" w:hAnsi="Times New Roman"/>
          <w:b/>
          <w:i/>
          <w:sz w:val="20"/>
          <w:szCs w:val="20"/>
          <w:lang w:eastAsia="zh-HK"/>
        </w:rPr>
        <w:t>Univariate analysis</w:t>
      </w:r>
    </w:p>
    <w:p w14:paraId="10BF9ED6" w14:textId="1BBEF62B" w:rsidR="00DB7665" w:rsidRDefault="002B5E1E" w:rsidP="00247A99">
      <w:pPr>
        <w:spacing w:after="0" w:line="260" w:lineRule="exact"/>
        <w:jc w:val="both"/>
        <w:rPr>
          <w:rFonts w:ascii="Times New Roman" w:eastAsiaTheme="minorEastAsia" w:hAnsi="Times New Roman"/>
          <w:sz w:val="16"/>
          <w:szCs w:val="16"/>
          <w:lang w:eastAsia="zh-HK"/>
        </w:rPr>
      </w:pPr>
      <w:r>
        <w:rPr>
          <w:rFonts w:ascii="Times New Roman" w:eastAsiaTheme="minorEastAsia" w:hAnsi="Times New Roman"/>
          <w:sz w:val="20"/>
          <w:szCs w:val="20"/>
          <w:lang w:eastAsia="zh-HK"/>
        </w:rPr>
        <w:t xml:space="preserve">Before applying multivariate regression in section 3, we conduct the univariate analysis in this subsection. In particular, we attempt to investigate whether </w:t>
      </w:r>
      <w:r w:rsidR="009963E1">
        <w:rPr>
          <w:rFonts w:ascii="Times New Roman" w:eastAsiaTheme="minorEastAsia" w:hAnsi="Times New Roman"/>
          <w:sz w:val="20"/>
          <w:szCs w:val="20"/>
          <w:lang w:eastAsia="zh-HK"/>
        </w:rPr>
        <w:t xml:space="preserve">G-SIIs and non G-SIIs are different in nature. We also investigate whether </w:t>
      </w:r>
      <w:r>
        <w:rPr>
          <w:rFonts w:ascii="Times New Roman" w:eastAsiaTheme="minorEastAsia" w:hAnsi="Times New Roman"/>
          <w:sz w:val="20"/>
          <w:szCs w:val="20"/>
          <w:lang w:eastAsia="zh-HK"/>
        </w:rPr>
        <w:t>systemic</w:t>
      </w:r>
      <w:r w:rsidR="00427772">
        <w:rPr>
          <w:rFonts w:ascii="Times New Roman" w:eastAsiaTheme="minorEastAsia" w:hAnsi="Times New Roman"/>
          <w:sz w:val="20"/>
          <w:szCs w:val="20"/>
          <w:lang w:eastAsia="zh-HK"/>
        </w:rPr>
        <w:t xml:space="preserve"> risk</w:t>
      </w:r>
      <w:r>
        <w:rPr>
          <w:rFonts w:ascii="Times New Roman" w:eastAsiaTheme="minorEastAsia" w:hAnsi="Times New Roman"/>
          <w:sz w:val="20"/>
          <w:szCs w:val="20"/>
          <w:lang w:eastAsia="zh-HK"/>
        </w:rPr>
        <w:t xml:space="preserve"> and insurer-specific characteristics change for G-SIIs before and </w:t>
      </w:r>
      <w:r w:rsidR="009963E1">
        <w:rPr>
          <w:rFonts w:ascii="Times New Roman" w:eastAsiaTheme="minorEastAsia" w:hAnsi="Times New Roman"/>
          <w:sz w:val="20"/>
          <w:szCs w:val="20"/>
          <w:lang w:eastAsia="zh-HK"/>
        </w:rPr>
        <w:t>after the new regulation. We</w:t>
      </w:r>
      <w:r>
        <w:rPr>
          <w:rFonts w:ascii="Times New Roman" w:eastAsiaTheme="minorEastAsia" w:hAnsi="Times New Roman"/>
          <w:sz w:val="20"/>
          <w:szCs w:val="20"/>
          <w:lang w:eastAsia="zh-HK"/>
        </w:rPr>
        <w:t xml:space="preserve"> </w:t>
      </w:r>
      <w:r w:rsidR="00427772">
        <w:rPr>
          <w:rFonts w:ascii="Times New Roman" w:eastAsiaTheme="minorEastAsia" w:hAnsi="Times New Roman"/>
          <w:sz w:val="20"/>
          <w:szCs w:val="20"/>
          <w:lang w:eastAsia="zh-HK"/>
        </w:rPr>
        <w:t>repeat the same analysis on non-</w:t>
      </w:r>
      <w:r>
        <w:rPr>
          <w:rFonts w:ascii="Times New Roman" w:eastAsiaTheme="minorEastAsia" w:hAnsi="Times New Roman"/>
          <w:sz w:val="20"/>
          <w:szCs w:val="20"/>
          <w:lang w:eastAsia="zh-HK"/>
        </w:rPr>
        <w:t>G-SIIs</w:t>
      </w:r>
      <w:r w:rsidR="009963E1">
        <w:rPr>
          <w:rFonts w:ascii="Times New Roman" w:eastAsiaTheme="minorEastAsia" w:hAnsi="Times New Roman"/>
          <w:sz w:val="20"/>
          <w:szCs w:val="20"/>
          <w:lang w:eastAsia="zh-HK"/>
        </w:rPr>
        <w:t xml:space="preserve"> as well</w:t>
      </w:r>
      <w:r>
        <w:rPr>
          <w:rFonts w:ascii="Times New Roman" w:eastAsiaTheme="minorEastAsia" w:hAnsi="Times New Roman"/>
          <w:sz w:val="20"/>
          <w:szCs w:val="20"/>
          <w:lang w:eastAsia="zh-HK"/>
        </w:rPr>
        <w:t>. The results are reported in Table IV.</w:t>
      </w:r>
    </w:p>
    <w:p w14:paraId="15FE4272" w14:textId="1C9B5284" w:rsidR="00DB7665" w:rsidRDefault="00DB7665" w:rsidP="00247A99">
      <w:pPr>
        <w:spacing w:after="0" w:line="260" w:lineRule="exact"/>
        <w:jc w:val="both"/>
        <w:rPr>
          <w:rFonts w:ascii="Times New Roman" w:eastAsiaTheme="minorEastAsia" w:hAnsi="Times New Roman"/>
          <w:sz w:val="16"/>
          <w:szCs w:val="16"/>
          <w:lang w:eastAsia="zh-HK"/>
        </w:rPr>
      </w:pPr>
    </w:p>
    <w:p w14:paraId="71DFDC7F" w14:textId="73D01ABA" w:rsidR="009963E1" w:rsidRPr="00737D39" w:rsidRDefault="00337EEA" w:rsidP="00737D39">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w:t>
      </w:r>
      <w:r w:rsidR="00C650ED">
        <w:rPr>
          <w:rFonts w:ascii="Times New Roman" w:eastAsiaTheme="minorEastAsia" w:hAnsi="Times New Roman"/>
          <w:b/>
          <w:sz w:val="20"/>
          <w:szCs w:val="20"/>
          <w:lang w:eastAsia="zh-HK"/>
        </w:rPr>
        <w:t>Table</w:t>
      </w:r>
      <w:r>
        <w:rPr>
          <w:rFonts w:ascii="Times New Roman" w:eastAsiaTheme="minorEastAsia" w:hAnsi="Times New Roman"/>
          <w:b/>
          <w:sz w:val="20"/>
          <w:szCs w:val="20"/>
          <w:lang w:eastAsia="zh-HK"/>
        </w:rPr>
        <w:t xml:space="preserve"> </w:t>
      </w:r>
      <w:r>
        <w:rPr>
          <w:rFonts w:ascii="Times New Roman" w:eastAsiaTheme="minorEastAsia" w:hAnsi="Times New Roman" w:hint="eastAsia"/>
          <w:b/>
          <w:sz w:val="20"/>
          <w:szCs w:val="20"/>
          <w:lang w:eastAsia="zh-HK"/>
        </w:rPr>
        <w:t>I</w:t>
      </w:r>
      <w:r>
        <w:rPr>
          <w:rFonts w:ascii="Times New Roman" w:eastAsiaTheme="minorEastAsia" w:hAnsi="Times New Roman"/>
          <w:b/>
          <w:sz w:val="20"/>
          <w:szCs w:val="20"/>
          <w:lang w:eastAsia="zh-HK"/>
        </w:rPr>
        <w:t>V</w:t>
      </w:r>
      <w:r w:rsidRPr="00B86E32">
        <w:rPr>
          <w:rFonts w:ascii="Times New Roman" w:eastAsiaTheme="minorEastAsia" w:hAnsi="Times New Roman"/>
          <w:b/>
          <w:sz w:val="20"/>
          <w:szCs w:val="20"/>
          <w:lang w:eastAsia="zh-HK"/>
        </w:rPr>
        <w:t xml:space="preserve"> inserted here]</w:t>
      </w:r>
    </w:p>
    <w:p w14:paraId="0DB960EE" w14:textId="089B724E" w:rsidR="00DB7665" w:rsidRPr="00337EEA" w:rsidRDefault="00DB7665" w:rsidP="005B5C76">
      <w:pPr>
        <w:spacing w:after="0" w:line="200" w:lineRule="exact"/>
        <w:jc w:val="both"/>
        <w:rPr>
          <w:rFonts w:ascii="Times New Roman" w:eastAsiaTheme="minorEastAsia" w:hAnsi="Times New Roman"/>
          <w:sz w:val="16"/>
          <w:szCs w:val="16"/>
          <w:lang w:eastAsia="zh-HK"/>
        </w:rPr>
      </w:pPr>
    </w:p>
    <w:p w14:paraId="350D8C33" w14:textId="5FAFBA61" w:rsidR="00DB7665" w:rsidRPr="00857AB7" w:rsidRDefault="00B54CB3" w:rsidP="00247A99">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TW"/>
        </w:rPr>
        <w:t>C</w:t>
      </w:r>
      <w:r>
        <w:rPr>
          <w:rFonts w:ascii="Times New Roman" w:eastAsiaTheme="minorEastAsia" w:hAnsi="Times New Roman" w:hint="eastAsia"/>
          <w:sz w:val="20"/>
          <w:szCs w:val="20"/>
          <w:lang w:eastAsia="zh-HK"/>
        </w:rPr>
        <w:t>o</w:t>
      </w:r>
      <w:r w:rsidR="00220DB1">
        <w:rPr>
          <w:rFonts w:ascii="Times New Roman" w:eastAsiaTheme="minorEastAsia" w:hAnsi="Times New Roman"/>
          <w:sz w:val="20"/>
          <w:szCs w:val="20"/>
          <w:lang w:eastAsia="zh-HK"/>
        </w:rPr>
        <w:t>lumn 1 to 3 report</w:t>
      </w:r>
      <w:r>
        <w:rPr>
          <w:rFonts w:ascii="Times New Roman" w:eastAsiaTheme="minorEastAsia" w:hAnsi="Times New Roman"/>
          <w:sz w:val="20"/>
          <w:szCs w:val="20"/>
          <w:lang w:eastAsia="zh-HK"/>
        </w:rPr>
        <w:t xml:space="preserve"> the difference of sy</w:t>
      </w:r>
      <w:r w:rsidR="00427772">
        <w:rPr>
          <w:rFonts w:ascii="Times New Roman" w:eastAsiaTheme="minorEastAsia" w:hAnsi="Times New Roman"/>
          <w:sz w:val="20"/>
          <w:szCs w:val="20"/>
          <w:lang w:eastAsia="zh-HK"/>
        </w:rPr>
        <w:t>stemic risk</w:t>
      </w:r>
      <w:r>
        <w:rPr>
          <w:rFonts w:ascii="Times New Roman" w:eastAsiaTheme="minorEastAsia" w:hAnsi="Times New Roman"/>
          <w:sz w:val="20"/>
          <w:szCs w:val="20"/>
          <w:lang w:eastAsia="zh-HK"/>
        </w:rPr>
        <w:t xml:space="preserve"> and insurer characteristics between G-SIIs and non G-SIIs; </w:t>
      </w:r>
      <w:r w:rsidR="00220DB1">
        <w:rPr>
          <w:rFonts w:ascii="Times New Roman" w:eastAsiaTheme="minorEastAsia" w:hAnsi="Times New Roman" w:hint="eastAsia"/>
          <w:sz w:val="20"/>
          <w:szCs w:val="20"/>
          <w:lang w:eastAsia="zh-HK"/>
        </w:rPr>
        <w:t>column 4 to 6 report</w:t>
      </w:r>
      <w:r>
        <w:rPr>
          <w:rFonts w:ascii="Times New Roman" w:eastAsiaTheme="minorEastAsia" w:hAnsi="Times New Roman" w:hint="eastAsia"/>
          <w:sz w:val="20"/>
          <w:szCs w:val="20"/>
          <w:lang w:eastAsia="zh-HK"/>
        </w:rPr>
        <w:t xml:space="preserve"> </w:t>
      </w:r>
      <w:r w:rsidR="00427772">
        <w:rPr>
          <w:rFonts w:ascii="Times New Roman" w:eastAsiaTheme="minorEastAsia" w:hAnsi="Times New Roman" w:hint="eastAsia"/>
          <w:sz w:val="20"/>
          <w:szCs w:val="20"/>
          <w:lang w:eastAsia="zh-HK"/>
        </w:rPr>
        <w:t>the difference of systemic risk</w:t>
      </w:r>
      <w:r>
        <w:rPr>
          <w:rFonts w:ascii="Times New Roman" w:eastAsiaTheme="minorEastAsia" w:hAnsi="Times New Roman" w:hint="eastAsia"/>
          <w:sz w:val="20"/>
          <w:szCs w:val="20"/>
          <w:lang w:eastAsia="zh-HK"/>
        </w:rPr>
        <w:t xml:space="preserve"> and insurer characteristics before and after the regulation for G-SIIs; column 7 to 9 report</w:t>
      </w:r>
      <w:r w:rsidR="00220DB1">
        <w:rPr>
          <w:rFonts w:ascii="Times New Roman" w:eastAsiaTheme="minorEastAsia" w:hAnsi="Times New Roman"/>
          <w:sz w:val="20"/>
          <w:szCs w:val="20"/>
          <w:lang w:eastAsia="zh-HK"/>
        </w:rPr>
        <w:t xml:space="preserve"> </w:t>
      </w:r>
      <w:r w:rsidR="00427772">
        <w:rPr>
          <w:rFonts w:ascii="Times New Roman" w:eastAsiaTheme="minorEastAsia" w:hAnsi="Times New Roman"/>
          <w:sz w:val="20"/>
          <w:szCs w:val="20"/>
          <w:lang w:eastAsia="zh-HK"/>
        </w:rPr>
        <w:t>the difference of systemic risk</w:t>
      </w:r>
      <w:r w:rsidR="00220DB1">
        <w:rPr>
          <w:rFonts w:ascii="Times New Roman" w:eastAsiaTheme="minorEastAsia" w:hAnsi="Times New Roman"/>
          <w:sz w:val="20"/>
          <w:szCs w:val="20"/>
          <w:lang w:eastAsia="zh-HK"/>
        </w:rPr>
        <w:t xml:space="preserve"> and insurer characteristics before and after the regulation for non G-SIIs. </w:t>
      </w:r>
      <w:r w:rsidR="00857AB7" w:rsidRPr="00857AB7">
        <w:rPr>
          <w:rFonts w:ascii="Times New Roman" w:eastAsiaTheme="minorEastAsia" w:hAnsi="Times New Roman" w:hint="eastAsia"/>
          <w:sz w:val="20"/>
          <w:szCs w:val="20"/>
          <w:lang w:eastAsia="zh-HK"/>
        </w:rPr>
        <w:t xml:space="preserve">As indicated by all the risk measures, </w:t>
      </w:r>
      <w:r w:rsidR="00DB61D7">
        <w:rPr>
          <w:rFonts w:ascii="Times New Roman" w:eastAsiaTheme="minorEastAsia" w:hAnsi="Times New Roman"/>
          <w:sz w:val="20"/>
          <w:szCs w:val="20"/>
          <w:lang w:eastAsia="zh-HK"/>
        </w:rPr>
        <w:t>G-SIIs have more systemic risk</w:t>
      </w:r>
      <w:r w:rsidR="00DE4CDF">
        <w:rPr>
          <w:rFonts w:ascii="Times New Roman" w:eastAsiaTheme="minorEastAsia" w:hAnsi="Times New Roman"/>
          <w:sz w:val="20"/>
          <w:szCs w:val="20"/>
          <w:lang w:eastAsia="zh-HK"/>
        </w:rPr>
        <w:t xml:space="preserve"> than </w:t>
      </w:r>
      <w:r w:rsidR="00DB61D7">
        <w:rPr>
          <w:rFonts w:ascii="Times New Roman" w:eastAsiaTheme="minorEastAsia" w:hAnsi="Times New Roman"/>
          <w:sz w:val="20"/>
          <w:szCs w:val="20"/>
          <w:lang w:eastAsia="zh-HK"/>
        </w:rPr>
        <w:lastRenderedPageBreak/>
        <w:t>non-</w:t>
      </w:r>
      <w:r w:rsidR="00DE4CDF">
        <w:rPr>
          <w:rFonts w:ascii="Times New Roman" w:eastAsiaTheme="minorEastAsia" w:hAnsi="Times New Roman"/>
          <w:sz w:val="20"/>
          <w:szCs w:val="20"/>
          <w:lang w:eastAsia="zh-HK"/>
        </w:rPr>
        <w:t>G-SIIs, both before and after the new regulation. T</w:t>
      </w:r>
      <w:r w:rsidR="00857AB7" w:rsidRPr="00857AB7">
        <w:rPr>
          <w:rFonts w:ascii="Times New Roman" w:eastAsiaTheme="minorEastAsia" w:hAnsi="Times New Roman"/>
          <w:sz w:val="20"/>
          <w:szCs w:val="20"/>
          <w:lang w:eastAsia="zh-HK"/>
        </w:rPr>
        <w:t>he systemic risk</w:t>
      </w:r>
      <w:r w:rsidR="00042DEF">
        <w:rPr>
          <w:rFonts w:ascii="Times New Roman" w:eastAsiaTheme="minorEastAsia" w:hAnsi="Times New Roman"/>
          <w:sz w:val="20"/>
          <w:szCs w:val="20"/>
          <w:lang w:eastAsia="zh-HK"/>
        </w:rPr>
        <w:t xml:space="preserve"> of insurers decrease</w:t>
      </w:r>
      <w:r w:rsidR="00857AB7" w:rsidRPr="00857AB7">
        <w:rPr>
          <w:rFonts w:ascii="Times New Roman" w:eastAsiaTheme="minorEastAsia" w:hAnsi="Times New Roman"/>
          <w:sz w:val="20"/>
          <w:szCs w:val="20"/>
          <w:lang w:eastAsia="zh-HK"/>
        </w:rPr>
        <w:t xml:space="preserve"> dramatically after the publication of new policy measures. </w:t>
      </w:r>
      <w:r w:rsidR="00857AB7">
        <w:rPr>
          <w:rFonts w:ascii="Times New Roman" w:eastAsiaTheme="minorEastAsia" w:hAnsi="Times New Roman"/>
          <w:sz w:val="20"/>
          <w:szCs w:val="20"/>
          <w:lang w:eastAsia="zh-HK"/>
        </w:rPr>
        <w:t xml:space="preserve">MES, SRISK, and </w:t>
      </w:r>
      <w:r w:rsidR="00857AB7" w:rsidRPr="00857AB7">
        <w:rPr>
          <w:rFonts w:ascii="Times New Roman" w:eastAsiaTheme="minorEastAsia" w:hAnsi="Times New Roman" w:hint="eastAsia"/>
          <w:sz w:val="20"/>
          <w:szCs w:val="20"/>
          <w:lang w:eastAsia="zh-HK"/>
        </w:rPr>
        <w:t>Δ</w:t>
      </w:r>
      <w:proofErr w:type="spellStart"/>
      <w:r w:rsidR="00857AB7" w:rsidRPr="00857AB7">
        <w:rPr>
          <w:rFonts w:ascii="Times New Roman" w:eastAsiaTheme="minorEastAsia" w:hAnsi="Times New Roman"/>
          <w:sz w:val="20"/>
          <w:szCs w:val="20"/>
          <w:lang w:eastAsia="zh-HK"/>
        </w:rPr>
        <w:t>CoVAR</w:t>
      </w:r>
      <w:proofErr w:type="spellEnd"/>
      <w:r w:rsidR="00857AB7">
        <w:rPr>
          <w:rFonts w:ascii="Times New Roman" w:eastAsiaTheme="minorEastAsia" w:hAnsi="Times New Roman"/>
          <w:sz w:val="20"/>
          <w:szCs w:val="20"/>
          <w:lang w:eastAsia="zh-HK"/>
        </w:rPr>
        <w:t xml:space="preserve"> of G-SIIs are respectively reduced from 4.47%, US$30.04 billion, and -1.63% to 2.18%, US$20.07 billion, and -0.76% after the </w:t>
      </w:r>
      <w:r w:rsidR="00042DEF">
        <w:rPr>
          <w:rFonts w:ascii="Times New Roman" w:eastAsiaTheme="minorEastAsia" w:hAnsi="Times New Roman"/>
          <w:sz w:val="20"/>
          <w:szCs w:val="20"/>
          <w:lang w:eastAsia="zh-HK"/>
        </w:rPr>
        <w:t>new regulation</w:t>
      </w:r>
      <w:r w:rsidR="004A7A48">
        <w:rPr>
          <w:rFonts w:ascii="Times New Roman" w:eastAsiaTheme="minorEastAsia" w:hAnsi="Times New Roman"/>
          <w:sz w:val="20"/>
          <w:szCs w:val="20"/>
          <w:lang w:eastAsia="zh-HK"/>
        </w:rPr>
        <w:t>, which represent approximately 51%, 33% and 53% reduction of systemic risks</w:t>
      </w:r>
      <w:r w:rsidR="00857AB7">
        <w:rPr>
          <w:rFonts w:ascii="Times New Roman" w:eastAsiaTheme="minorEastAsia" w:hAnsi="Times New Roman"/>
          <w:sz w:val="20"/>
          <w:szCs w:val="20"/>
          <w:lang w:eastAsia="zh-HK"/>
        </w:rPr>
        <w:t xml:space="preserve">. </w:t>
      </w:r>
      <w:r w:rsidR="00247A99">
        <w:rPr>
          <w:rFonts w:ascii="Times New Roman" w:eastAsiaTheme="minorEastAsia" w:hAnsi="Times New Roman"/>
          <w:sz w:val="20"/>
          <w:szCs w:val="20"/>
          <w:lang w:eastAsia="zh-HK"/>
        </w:rPr>
        <w:t>We also observe a downward trend of systemic risk</w:t>
      </w:r>
      <w:r w:rsidR="00DB61D7">
        <w:rPr>
          <w:rFonts w:ascii="Times New Roman" w:eastAsiaTheme="minorEastAsia" w:hAnsi="Times New Roman"/>
          <w:sz w:val="20"/>
          <w:szCs w:val="20"/>
          <w:lang w:eastAsia="zh-HK"/>
        </w:rPr>
        <w:t xml:space="preserve"> among non-</w:t>
      </w:r>
      <w:r w:rsidR="00247A99">
        <w:rPr>
          <w:rFonts w:ascii="Times New Roman" w:eastAsiaTheme="minorEastAsia" w:hAnsi="Times New Roman"/>
          <w:sz w:val="20"/>
          <w:szCs w:val="20"/>
          <w:lang w:eastAsia="zh-HK"/>
        </w:rPr>
        <w:t xml:space="preserve">G-SIIs, but the magnitude of risk reduction is not as much as that for G-SIIs. The significant reduction of systemic risk among </w:t>
      </w:r>
      <w:r w:rsidR="00AE3512">
        <w:rPr>
          <w:rFonts w:ascii="Times New Roman" w:eastAsiaTheme="minorEastAsia" w:hAnsi="Times New Roman"/>
          <w:sz w:val="20"/>
          <w:szCs w:val="20"/>
          <w:lang w:eastAsia="zh-HK"/>
        </w:rPr>
        <w:t xml:space="preserve">G-SIIs is accompanied by a </w:t>
      </w:r>
      <w:r w:rsidR="002E2C5D">
        <w:rPr>
          <w:rFonts w:ascii="Times New Roman" w:eastAsiaTheme="minorEastAsia" w:hAnsi="Times New Roman"/>
          <w:sz w:val="20"/>
          <w:szCs w:val="20"/>
          <w:lang w:eastAsia="zh-HK"/>
        </w:rPr>
        <w:t>11.31</w:t>
      </w:r>
      <w:r w:rsidR="00247A99">
        <w:rPr>
          <w:rFonts w:ascii="Times New Roman" w:eastAsiaTheme="minorEastAsia" w:hAnsi="Times New Roman"/>
          <w:sz w:val="20"/>
          <w:szCs w:val="20"/>
          <w:lang w:eastAsia="zh-HK"/>
        </w:rPr>
        <w:t xml:space="preserve"> reduction of leverage and 6.6% reduction of global activities. </w:t>
      </w:r>
      <w:r w:rsidR="00BB3ACF">
        <w:rPr>
          <w:rFonts w:ascii="Times New Roman" w:eastAsiaTheme="minorEastAsia" w:hAnsi="Times New Roman"/>
          <w:sz w:val="20"/>
          <w:szCs w:val="20"/>
          <w:lang w:eastAsia="zh-HK"/>
        </w:rPr>
        <w:t xml:space="preserve">The univariate analysis results strongly suggest that the introduction of new regulation changes the characteristics as well as systemic risk of G-SIIs. </w:t>
      </w:r>
      <w:r w:rsidR="00AD78CF">
        <w:rPr>
          <w:rFonts w:ascii="Times New Roman" w:eastAsiaTheme="minorEastAsia" w:hAnsi="Times New Roman"/>
          <w:sz w:val="20"/>
          <w:szCs w:val="20"/>
          <w:lang w:eastAsia="zh-HK"/>
        </w:rPr>
        <w:t xml:space="preserve">We also observe that G-SIIs </w:t>
      </w:r>
      <w:r w:rsidR="00DB61D7">
        <w:rPr>
          <w:rFonts w:ascii="Times New Roman" w:eastAsiaTheme="minorEastAsia" w:hAnsi="Times New Roman"/>
          <w:sz w:val="20"/>
          <w:szCs w:val="20"/>
          <w:lang w:eastAsia="zh-HK"/>
        </w:rPr>
        <w:t>are very different from non-</w:t>
      </w:r>
      <w:r w:rsidR="00737D39">
        <w:rPr>
          <w:rFonts w:ascii="Times New Roman" w:eastAsiaTheme="minorEastAsia" w:hAnsi="Times New Roman"/>
          <w:sz w:val="20"/>
          <w:szCs w:val="20"/>
          <w:lang w:eastAsia="zh-HK"/>
        </w:rPr>
        <w:t xml:space="preserve">G-SIIs. G-SIIs </w:t>
      </w:r>
      <w:r w:rsidR="00AD78CF">
        <w:rPr>
          <w:rFonts w:ascii="Times New Roman" w:eastAsiaTheme="minorEastAsia" w:hAnsi="Times New Roman"/>
          <w:sz w:val="20"/>
          <w:szCs w:val="20"/>
          <w:lang w:eastAsia="zh-HK"/>
        </w:rPr>
        <w:t xml:space="preserve">are generally bigger in size, </w:t>
      </w:r>
      <w:r w:rsidR="00B656F9">
        <w:rPr>
          <w:rFonts w:ascii="Times New Roman" w:eastAsiaTheme="minorEastAsia" w:hAnsi="Times New Roman"/>
          <w:sz w:val="20"/>
          <w:szCs w:val="20"/>
          <w:lang w:eastAsia="zh-HK"/>
        </w:rPr>
        <w:t>operate on</w:t>
      </w:r>
      <w:r w:rsidR="00AD78CF">
        <w:rPr>
          <w:rFonts w:ascii="Times New Roman" w:eastAsiaTheme="minorEastAsia" w:hAnsi="Times New Roman"/>
          <w:sz w:val="20"/>
          <w:szCs w:val="20"/>
          <w:lang w:eastAsia="zh-HK"/>
        </w:rPr>
        <w:t xml:space="preserve"> higher leverage, engage in more non-insurance activities, have </w:t>
      </w:r>
      <w:r w:rsidR="00B656F9">
        <w:rPr>
          <w:rFonts w:ascii="Times New Roman" w:eastAsiaTheme="minorEastAsia" w:hAnsi="Times New Roman"/>
          <w:sz w:val="20"/>
          <w:szCs w:val="20"/>
          <w:lang w:eastAsia="zh-HK"/>
        </w:rPr>
        <w:t>stronger</w:t>
      </w:r>
      <w:r w:rsidR="00AD78CF">
        <w:rPr>
          <w:rFonts w:ascii="Times New Roman" w:eastAsiaTheme="minorEastAsia" w:hAnsi="Times New Roman"/>
          <w:sz w:val="20"/>
          <w:szCs w:val="20"/>
          <w:lang w:eastAsia="zh-HK"/>
        </w:rPr>
        <w:t xml:space="preserve"> global presence, </w:t>
      </w:r>
      <w:r w:rsidR="00B656F9">
        <w:rPr>
          <w:rFonts w:ascii="Times New Roman" w:eastAsiaTheme="minorEastAsia" w:hAnsi="Times New Roman"/>
          <w:sz w:val="20"/>
          <w:szCs w:val="20"/>
          <w:lang w:eastAsia="zh-HK"/>
        </w:rPr>
        <w:t xml:space="preserve">greater need for liquidity, lower book-to-market ratio, lower loss ratio, lower ROA, and </w:t>
      </w:r>
      <w:r w:rsidR="00737D39">
        <w:rPr>
          <w:rFonts w:ascii="Times New Roman" w:eastAsiaTheme="minorEastAsia" w:hAnsi="Times New Roman"/>
          <w:sz w:val="20"/>
          <w:szCs w:val="20"/>
          <w:lang w:eastAsia="zh-HK"/>
        </w:rPr>
        <w:t>higher operating expenses</w:t>
      </w:r>
      <w:r w:rsidR="00DB61D7">
        <w:rPr>
          <w:rFonts w:ascii="Times New Roman" w:eastAsiaTheme="minorEastAsia" w:hAnsi="Times New Roman"/>
          <w:sz w:val="20"/>
          <w:szCs w:val="20"/>
          <w:lang w:eastAsia="zh-HK"/>
        </w:rPr>
        <w:t xml:space="preserve"> than non-</w:t>
      </w:r>
      <w:r w:rsidR="00155AFA">
        <w:rPr>
          <w:rFonts w:ascii="Times New Roman" w:eastAsiaTheme="minorEastAsia" w:hAnsi="Times New Roman"/>
          <w:sz w:val="20"/>
          <w:szCs w:val="20"/>
          <w:lang w:eastAsia="zh-HK"/>
        </w:rPr>
        <w:t>G-SIIs</w:t>
      </w:r>
      <w:r w:rsidR="00AD78CF">
        <w:rPr>
          <w:rFonts w:ascii="Times New Roman" w:eastAsiaTheme="minorEastAsia" w:hAnsi="Times New Roman"/>
          <w:sz w:val="20"/>
          <w:szCs w:val="20"/>
          <w:lang w:eastAsia="zh-HK"/>
        </w:rPr>
        <w:t xml:space="preserve">. </w:t>
      </w:r>
      <w:r w:rsidR="00BB3ACF">
        <w:rPr>
          <w:rFonts w:ascii="Times New Roman" w:eastAsiaTheme="minorEastAsia" w:hAnsi="Times New Roman"/>
          <w:sz w:val="20"/>
          <w:szCs w:val="20"/>
          <w:lang w:eastAsia="zh-HK"/>
        </w:rPr>
        <w:t xml:space="preserve">These insurer-specific characteristics probably play </w:t>
      </w:r>
      <w:r w:rsidR="00236249">
        <w:rPr>
          <w:rFonts w:ascii="Times New Roman" w:eastAsiaTheme="minorEastAsia" w:hAnsi="Times New Roman"/>
          <w:sz w:val="20"/>
          <w:szCs w:val="20"/>
          <w:lang w:eastAsia="zh-HK"/>
        </w:rPr>
        <w:t>some</w:t>
      </w:r>
      <w:r w:rsidR="00BB3ACF">
        <w:rPr>
          <w:rFonts w:ascii="Times New Roman" w:eastAsiaTheme="minorEastAsia" w:hAnsi="Times New Roman"/>
          <w:sz w:val="20"/>
          <w:szCs w:val="20"/>
          <w:lang w:eastAsia="zh-HK"/>
        </w:rPr>
        <w:t xml:space="preserve"> role</w:t>
      </w:r>
      <w:r w:rsidR="00236249">
        <w:rPr>
          <w:rFonts w:ascii="Times New Roman" w:eastAsiaTheme="minorEastAsia" w:hAnsi="Times New Roman"/>
          <w:sz w:val="20"/>
          <w:szCs w:val="20"/>
          <w:lang w:eastAsia="zh-HK"/>
        </w:rPr>
        <w:t>s</w:t>
      </w:r>
      <w:r w:rsidR="00DB61D7">
        <w:rPr>
          <w:rFonts w:ascii="Times New Roman" w:eastAsiaTheme="minorEastAsia" w:hAnsi="Times New Roman"/>
          <w:sz w:val="20"/>
          <w:szCs w:val="20"/>
          <w:lang w:eastAsia="zh-HK"/>
        </w:rPr>
        <w:t xml:space="preserve"> in affecting the systemic risk</w:t>
      </w:r>
      <w:r w:rsidR="00BB3ACF">
        <w:rPr>
          <w:rFonts w:ascii="Times New Roman" w:eastAsiaTheme="minorEastAsia" w:hAnsi="Times New Roman"/>
          <w:sz w:val="20"/>
          <w:szCs w:val="20"/>
          <w:lang w:eastAsia="zh-HK"/>
        </w:rPr>
        <w:t xml:space="preserve"> of insurers, and the univariate analysis results motivate us to control for these characteristics in the</w:t>
      </w:r>
      <w:r w:rsidR="00247A99">
        <w:rPr>
          <w:rFonts w:ascii="Times New Roman" w:eastAsiaTheme="minorEastAsia" w:hAnsi="Times New Roman"/>
          <w:sz w:val="20"/>
          <w:szCs w:val="20"/>
          <w:lang w:eastAsia="zh-HK"/>
        </w:rPr>
        <w:t xml:space="preserve"> multivariate regressions in section 3.</w:t>
      </w:r>
    </w:p>
    <w:p w14:paraId="24D0100B" w14:textId="77777777" w:rsidR="005B5C76" w:rsidRPr="00AD78CF" w:rsidRDefault="005B5C76" w:rsidP="005B5C76">
      <w:pPr>
        <w:spacing w:after="0" w:line="200" w:lineRule="exact"/>
        <w:jc w:val="center"/>
        <w:rPr>
          <w:rFonts w:ascii="Times New Roman" w:eastAsiaTheme="minorEastAsia" w:hAnsi="Times New Roman"/>
          <w:b/>
          <w:sz w:val="16"/>
          <w:szCs w:val="16"/>
          <w:lang w:eastAsia="zh-HK"/>
        </w:rPr>
      </w:pPr>
    </w:p>
    <w:p w14:paraId="1FCB5D58" w14:textId="00C44815" w:rsidR="005D56F1" w:rsidRPr="00B86E32" w:rsidRDefault="00BE654C" w:rsidP="007E0778">
      <w:pPr>
        <w:pStyle w:val="ListParagraph"/>
        <w:numPr>
          <w:ilvl w:val="0"/>
          <w:numId w:val="1"/>
        </w:numPr>
        <w:spacing w:after="0" w:line="240" w:lineRule="auto"/>
        <w:ind w:leftChars="0" w:left="0" w:firstLine="0"/>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 xml:space="preserve">Empirical </w:t>
      </w:r>
      <w:r w:rsidR="00FF06C0" w:rsidRPr="00B86E32">
        <w:rPr>
          <w:rFonts w:ascii="Times New Roman" w:eastAsiaTheme="minorEastAsia" w:hAnsi="Times New Roman"/>
          <w:b/>
          <w:sz w:val="20"/>
          <w:szCs w:val="20"/>
          <w:lang w:eastAsia="zh-HK"/>
        </w:rPr>
        <w:t>M</w:t>
      </w:r>
      <w:r w:rsidR="004F55CD" w:rsidRPr="00B86E32">
        <w:rPr>
          <w:rFonts w:ascii="Times New Roman" w:eastAsiaTheme="minorEastAsia" w:hAnsi="Times New Roman"/>
          <w:b/>
          <w:sz w:val="20"/>
          <w:szCs w:val="20"/>
          <w:lang w:eastAsia="zh-HK"/>
        </w:rPr>
        <w:t>odel</w:t>
      </w:r>
      <w:r w:rsidR="00006599">
        <w:rPr>
          <w:rFonts w:ascii="Times New Roman" w:eastAsiaTheme="minorEastAsia" w:hAnsi="Times New Roman"/>
          <w:b/>
          <w:sz w:val="20"/>
          <w:szCs w:val="20"/>
          <w:lang w:eastAsia="zh-HK"/>
        </w:rPr>
        <w:t xml:space="preserve"> and Results</w:t>
      </w:r>
    </w:p>
    <w:p w14:paraId="07D58196" w14:textId="4BB03EB1" w:rsidR="002454E2" w:rsidRDefault="002454E2"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We investigate the effect of the new regulation on G-SIIs with the following baseline empirical model:</w:t>
      </w:r>
    </w:p>
    <w:p w14:paraId="4361ED55" w14:textId="21F87CE3" w:rsidR="002454E2" w:rsidRDefault="002454E2" w:rsidP="00BA3FFD">
      <w:pPr>
        <w:spacing w:after="0" w:line="260" w:lineRule="exact"/>
        <w:jc w:val="both"/>
        <w:rPr>
          <w:rFonts w:ascii="Times New Roman" w:eastAsiaTheme="minorEastAsia" w:hAnsi="Times New Roman"/>
          <w:sz w:val="20"/>
          <w:szCs w:val="20"/>
          <w:lang w:eastAsia="zh-HK"/>
        </w:rPr>
      </w:pPr>
    </w:p>
    <w:p w14:paraId="391E1991" w14:textId="21640148" w:rsidR="002454E2" w:rsidRDefault="002454E2" w:rsidP="002454E2">
      <w:pPr>
        <w:spacing w:after="0" w:line="260" w:lineRule="exact"/>
        <w:rPr>
          <w:rFonts w:ascii="Times New Roman" w:hAnsi="Times New Roman"/>
          <w:i/>
          <w:sz w:val="20"/>
          <w:szCs w:val="20"/>
          <w:lang w:eastAsia="zh-HK"/>
        </w:rPr>
      </w:pPr>
      <w:r w:rsidRPr="002454E2">
        <w:rPr>
          <w:rFonts w:ascii="Times New Roman" w:eastAsiaTheme="minorEastAsia" w:hAnsi="Times New Roman"/>
          <w:i/>
          <w:sz w:val="20"/>
          <w:szCs w:val="20"/>
          <w:lang w:eastAsia="zh-HK"/>
        </w:rPr>
        <w:t xml:space="preserve">Systemic </w:t>
      </w:r>
      <w:proofErr w:type="spellStart"/>
      <w:r w:rsidRPr="002454E2">
        <w:rPr>
          <w:rFonts w:ascii="Times New Roman" w:eastAsiaTheme="minorEastAsia" w:hAnsi="Times New Roman"/>
          <w:i/>
          <w:sz w:val="20"/>
          <w:szCs w:val="20"/>
          <w:lang w:eastAsia="zh-HK"/>
        </w:rPr>
        <w:t>risk</w:t>
      </w:r>
      <w:r w:rsidRPr="002454E2">
        <w:rPr>
          <w:rFonts w:ascii="Times New Roman" w:eastAsiaTheme="minorEastAsia" w:hAnsi="Times New Roman"/>
          <w:i/>
          <w:sz w:val="20"/>
          <w:szCs w:val="20"/>
          <w:vertAlign w:val="subscript"/>
          <w:lang w:eastAsia="zh-HK"/>
        </w:rPr>
        <w:t>it</w:t>
      </w:r>
      <w:proofErr w:type="spellEnd"/>
      <w:r w:rsidRPr="002454E2">
        <w:rPr>
          <w:rFonts w:ascii="Times New Roman" w:eastAsiaTheme="minorEastAsia" w:hAnsi="Times New Roman"/>
          <w:i/>
          <w:sz w:val="20"/>
          <w:szCs w:val="20"/>
          <w:lang w:eastAsia="zh-HK"/>
        </w:rPr>
        <w:t xml:space="preserve"> = </w:t>
      </w:r>
      <w:r w:rsidRPr="002454E2">
        <w:rPr>
          <w:rFonts w:ascii="Times New Roman" w:hAnsi="Times New Roman"/>
          <w:i/>
          <w:sz w:val="20"/>
          <w:szCs w:val="20"/>
          <w:lang w:eastAsia="zh-HK"/>
        </w:rPr>
        <w:t>β</w:t>
      </w:r>
      <w:r w:rsidRPr="00E26AFF">
        <w:rPr>
          <w:rFonts w:ascii="Times New Roman" w:hAnsi="Times New Roman"/>
          <w:i/>
          <w:sz w:val="20"/>
          <w:szCs w:val="20"/>
          <w:vertAlign w:val="subscript"/>
          <w:lang w:eastAsia="zh-HK"/>
        </w:rPr>
        <w:t>0</w:t>
      </w:r>
      <w:r w:rsidRPr="002454E2">
        <w:rPr>
          <w:rFonts w:ascii="Times New Roman" w:hAnsi="Times New Roman"/>
          <w:i/>
          <w:sz w:val="20"/>
          <w:szCs w:val="20"/>
          <w:lang w:eastAsia="zh-HK"/>
        </w:rPr>
        <w:t xml:space="preserve"> + β</w:t>
      </w:r>
      <w:r w:rsidRPr="00E26AFF">
        <w:rPr>
          <w:rFonts w:ascii="Times New Roman" w:hAnsi="Times New Roman"/>
          <w:i/>
          <w:sz w:val="20"/>
          <w:szCs w:val="20"/>
          <w:vertAlign w:val="subscript"/>
          <w:lang w:eastAsia="zh-HK"/>
        </w:rPr>
        <w:t>1</w:t>
      </w:r>
      <w:r w:rsidRPr="002454E2">
        <w:rPr>
          <w:rFonts w:ascii="Times New Roman" w:hAnsi="Times New Roman"/>
          <w:i/>
          <w:sz w:val="20"/>
          <w:szCs w:val="20"/>
          <w:lang w:eastAsia="zh-HK"/>
        </w:rPr>
        <w:t xml:space="preserve"> </w:t>
      </w:r>
      <w:proofErr w:type="spellStart"/>
      <w:r w:rsidRPr="002454E2">
        <w:rPr>
          <w:rFonts w:ascii="Times New Roman" w:hAnsi="Times New Roman"/>
          <w:i/>
          <w:sz w:val="20"/>
          <w:szCs w:val="20"/>
          <w:lang w:eastAsia="zh-HK"/>
        </w:rPr>
        <w:t>Policy</w:t>
      </w:r>
      <w:r w:rsidRPr="002454E2">
        <w:rPr>
          <w:rFonts w:ascii="Times New Roman" w:hAnsi="Times New Roman"/>
          <w:i/>
          <w:sz w:val="20"/>
          <w:szCs w:val="20"/>
          <w:vertAlign w:val="subscript"/>
          <w:lang w:eastAsia="zh-HK"/>
        </w:rPr>
        <w:t>t</w:t>
      </w:r>
      <w:proofErr w:type="spellEnd"/>
      <w:r w:rsidR="00C00B2B">
        <w:rPr>
          <w:rFonts w:ascii="Times New Roman" w:hAnsi="Times New Roman"/>
          <w:i/>
          <w:sz w:val="20"/>
          <w:szCs w:val="20"/>
          <w:lang w:eastAsia="zh-HK"/>
        </w:rPr>
        <w:t xml:space="preserve"> x </w:t>
      </w:r>
      <w:proofErr w:type="spellStart"/>
      <w:r w:rsidR="00C00B2B">
        <w:rPr>
          <w:rFonts w:ascii="Times New Roman" w:hAnsi="Times New Roman"/>
          <w:i/>
          <w:sz w:val="20"/>
          <w:szCs w:val="20"/>
          <w:lang w:eastAsia="zh-HK"/>
        </w:rPr>
        <w:t>G</w:t>
      </w:r>
      <w:r w:rsidRPr="002454E2">
        <w:rPr>
          <w:rFonts w:ascii="Times New Roman" w:hAnsi="Times New Roman"/>
          <w:i/>
          <w:sz w:val="20"/>
          <w:szCs w:val="20"/>
          <w:lang w:eastAsia="zh-HK"/>
        </w:rPr>
        <w:t>SII</w:t>
      </w:r>
      <w:r w:rsidRPr="002454E2">
        <w:rPr>
          <w:rFonts w:ascii="Times New Roman" w:hAnsi="Times New Roman"/>
          <w:i/>
          <w:sz w:val="20"/>
          <w:szCs w:val="20"/>
          <w:vertAlign w:val="subscript"/>
          <w:lang w:eastAsia="zh-HK"/>
        </w:rPr>
        <w:t>i</w:t>
      </w:r>
      <w:proofErr w:type="spellEnd"/>
      <w:r w:rsidRPr="002454E2">
        <w:rPr>
          <w:rFonts w:ascii="Times New Roman" w:hAnsi="Times New Roman"/>
          <w:i/>
          <w:sz w:val="20"/>
          <w:szCs w:val="20"/>
          <w:lang w:eastAsia="zh-HK"/>
        </w:rPr>
        <w:t xml:space="preserve"> + β</w:t>
      </w:r>
      <w:r w:rsidRPr="00E26AFF">
        <w:rPr>
          <w:rFonts w:ascii="Times New Roman" w:hAnsi="Times New Roman"/>
          <w:i/>
          <w:sz w:val="20"/>
          <w:szCs w:val="20"/>
          <w:vertAlign w:val="subscript"/>
          <w:lang w:eastAsia="zh-HK"/>
        </w:rPr>
        <w:t>2</w:t>
      </w:r>
      <w:r w:rsidRPr="002454E2">
        <w:rPr>
          <w:rFonts w:ascii="Times New Roman" w:hAnsi="Times New Roman"/>
          <w:i/>
          <w:sz w:val="20"/>
          <w:szCs w:val="20"/>
          <w:lang w:eastAsia="zh-HK"/>
        </w:rPr>
        <w:t xml:space="preserve"> Insurer characteristics</w:t>
      </w:r>
      <w:r w:rsidR="001C436C">
        <w:rPr>
          <w:rFonts w:ascii="Times New Roman" w:hAnsi="Times New Roman"/>
          <w:i/>
          <w:sz w:val="20"/>
          <w:szCs w:val="20"/>
          <w:vertAlign w:val="subscript"/>
          <w:lang w:eastAsia="zh-HK"/>
        </w:rPr>
        <w:t>i</w:t>
      </w:r>
      <w:r w:rsidRPr="002454E2">
        <w:rPr>
          <w:rFonts w:ascii="Times New Roman" w:hAnsi="Times New Roman"/>
          <w:i/>
          <w:sz w:val="20"/>
          <w:szCs w:val="20"/>
          <w:vertAlign w:val="subscript"/>
          <w:lang w:eastAsia="zh-HK"/>
        </w:rPr>
        <w:t>t-1</w:t>
      </w:r>
    </w:p>
    <w:p w14:paraId="6CA19E1C" w14:textId="4E798E4D" w:rsidR="003D4AE7" w:rsidRDefault="002454E2" w:rsidP="00C00B2B">
      <w:pPr>
        <w:spacing w:after="0" w:line="260" w:lineRule="exact"/>
        <w:ind w:left="960" w:firstLineChars="200" w:firstLine="400"/>
        <w:rPr>
          <w:rFonts w:ascii="Times New Roman" w:hAnsi="Times New Roman"/>
          <w:i/>
          <w:sz w:val="20"/>
          <w:szCs w:val="20"/>
          <w:lang w:eastAsia="zh-HK"/>
        </w:rPr>
      </w:pPr>
      <w:r w:rsidRPr="002454E2">
        <w:rPr>
          <w:rFonts w:ascii="Times New Roman" w:hAnsi="Times New Roman"/>
          <w:i/>
          <w:sz w:val="20"/>
          <w:szCs w:val="20"/>
          <w:lang w:eastAsia="zh-HK"/>
        </w:rPr>
        <w:t>+ β</w:t>
      </w:r>
      <w:r w:rsidRPr="00E26AFF">
        <w:rPr>
          <w:rFonts w:ascii="Times New Roman" w:hAnsi="Times New Roman"/>
          <w:i/>
          <w:sz w:val="20"/>
          <w:szCs w:val="20"/>
          <w:vertAlign w:val="subscript"/>
          <w:lang w:eastAsia="zh-HK"/>
        </w:rPr>
        <w:t>3</w:t>
      </w:r>
      <w:r w:rsidRPr="002454E2">
        <w:rPr>
          <w:rFonts w:ascii="Times New Roman" w:hAnsi="Times New Roman"/>
          <w:i/>
          <w:sz w:val="20"/>
          <w:szCs w:val="20"/>
          <w:lang w:eastAsia="zh-HK"/>
        </w:rPr>
        <w:t xml:space="preserve"> Country</w:t>
      </w:r>
      <w:r w:rsidR="00C00B2B">
        <w:rPr>
          <w:rFonts w:ascii="Times New Roman" w:hAnsi="Times New Roman"/>
          <w:i/>
          <w:sz w:val="20"/>
          <w:szCs w:val="20"/>
          <w:lang w:eastAsia="zh-HK"/>
        </w:rPr>
        <w:t>-specific macroeconomic</w:t>
      </w:r>
      <w:r w:rsidRPr="002454E2">
        <w:rPr>
          <w:rFonts w:ascii="Times New Roman" w:hAnsi="Times New Roman"/>
          <w:i/>
          <w:sz w:val="20"/>
          <w:szCs w:val="20"/>
          <w:lang w:eastAsia="zh-HK"/>
        </w:rPr>
        <w:t xml:space="preserve"> characteristics</w:t>
      </w:r>
      <w:r w:rsidR="001C436C">
        <w:rPr>
          <w:rFonts w:ascii="Times New Roman" w:hAnsi="Times New Roman"/>
          <w:i/>
          <w:sz w:val="20"/>
          <w:szCs w:val="20"/>
          <w:vertAlign w:val="subscript"/>
          <w:lang w:eastAsia="zh-HK"/>
        </w:rPr>
        <w:t>i</w:t>
      </w:r>
      <w:r w:rsidRPr="002454E2">
        <w:rPr>
          <w:rFonts w:ascii="Times New Roman" w:hAnsi="Times New Roman"/>
          <w:i/>
          <w:sz w:val="20"/>
          <w:szCs w:val="20"/>
          <w:vertAlign w:val="subscript"/>
          <w:lang w:eastAsia="zh-HK"/>
        </w:rPr>
        <w:t>t-1</w:t>
      </w:r>
    </w:p>
    <w:p w14:paraId="54DBDE8A" w14:textId="5B8B5816" w:rsidR="002454E2" w:rsidRPr="003D4AE7" w:rsidRDefault="002454E2" w:rsidP="003D4AE7">
      <w:pPr>
        <w:spacing w:after="0" w:line="260" w:lineRule="exact"/>
        <w:ind w:left="960" w:firstLineChars="200" w:firstLine="400"/>
        <w:rPr>
          <w:rFonts w:ascii="Times New Roman" w:hAnsi="Times New Roman"/>
          <w:sz w:val="20"/>
          <w:szCs w:val="20"/>
          <w:lang w:eastAsia="zh-HK"/>
        </w:rPr>
      </w:pPr>
      <w:r w:rsidRPr="002454E2">
        <w:rPr>
          <w:rFonts w:ascii="Times New Roman" w:hAnsi="Times New Roman"/>
          <w:i/>
          <w:sz w:val="20"/>
          <w:szCs w:val="20"/>
          <w:lang w:eastAsia="zh-HK"/>
        </w:rPr>
        <w:t xml:space="preserve">+ </w:t>
      </w:r>
      <w:proofErr w:type="gramStart"/>
      <w:r w:rsidRPr="002454E2">
        <w:rPr>
          <w:rFonts w:ascii="Times New Roman" w:hAnsi="Times New Roman"/>
          <w:i/>
          <w:sz w:val="20"/>
          <w:szCs w:val="20"/>
          <w:lang w:eastAsia="zh-HK"/>
        </w:rPr>
        <w:t>f</w:t>
      </w:r>
      <w:r w:rsidR="00EA5C54">
        <w:rPr>
          <w:rFonts w:ascii="Times New Roman" w:hAnsi="Times New Roman"/>
          <w:i/>
          <w:sz w:val="20"/>
          <w:szCs w:val="20"/>
          <w:vertAlign w:val="subscript"/>
          <w:lang w:eastAsia="zh-HK"/>
        </w:rPr>
        <w:t>i</w:t>
      </w:r>
      <w:proofErr w:type="gramEnd"/>
      <w:r w:rsidRPr="002454E2">
        <w:rPr>
          <w:rFonts w:ascii="Times New Roman" w:hAnsi="Times New Roman"/>
          <w:i/>
          <w:sz w:val="20"/>
          <w:szCs w:val="20"/>
          <w:lang w:eastAsia="zh-HK"/>
        </w:rPr>
        <w:t xml:space="preserve"> + </w:t>
      </w:r>
      <w:proofErr w:type="spellStart"/>
      <w:r w:rsidRPr="002454E2">
        <w:rPr>
          <w:rFonts w:ascii="Times New Roman" w:hAnsi="Times New Roman"/>
          <w:i/>
          <w:sz w:val="20"/>
          <w:szCs w:val="20"/>
          <w:lang w:eastAsia="zh-HK"/>
        </w:rPr>
        <w:t>s</w:t>
      </w:r>
      <w:r w:rsidRPr="002454E2">
        <w:rPr>
          <w:rFonts w:ascii="Times New Roman" w:hAnsi="Times New Roman"/>
          <w:i/>
          <w:sz w:val="20"/>
          <w:szCs w:val="20"/>
          <w:vertAlign w:val="subscript"/>
          <w:lang w:eastAsia="zh-HK"/>
        </w:rPr>
        <w:t>t</w:t>
      </w:r>
      <w:proofErr w:type="spellEnd"/>
      <w:r w:rsidR="003D4AE7">
        <w:rPr>
          <w:rFonts w:ascii="Times New Roman" w:hAnsi="Times New Roman"/>
          <w:sz w:val="20"/>
          <w:szCs w:val="20"/>
          <w:lang w:eastAsia="zh-HK"/>
        </w:rPr>
        <w:t xml:space="preserve"> </w:t>
      </w:r>
      <w:r w:rsidR="00A86608" w:rsidRPr="002454E2">
        <w:rPr>
          <w:rFonts w:ascii="Times New Roman" w:hAnsi="Times New Roman"/>
          <w:i/>
          <w:sz w:val="20"/>
          <w:szCs w:val="20"/>
          <w:lang w:eastAsia="zh-HK"/>
        </w:rPr>
        <w:t xml:space="preserve">+ </w:t>
      </w:r>
      <w:proofErr w:type="spellStart"/>
      <w:r w:rsidR="00A86608">
        <w:rPr>
          <w:rFonts w:ascii="Times New Roman" w:hAnsi="Times New Roman"/>
          <w:i/>
          <w:sz w:val="20"/>
          <w:szCs w:val="20"/>
          <w:lang w:eastAsia="zh-HK"/>
        </w:rPr>
        <w:t>e</w:t>
      </w:r>
      <w:r w:rsidR="00A86608" w:rsidRPr="00A86608">
        <w:rPr>
          <w:rFonts w:ascii="Times New Roman" w:hAnsi="Times New Roman"/>
          <w:i/>
          <w:sz w:val="20"/>
          <w:szCs w:val="20"/>
          <w:vertAlign w:val="subscript"/>
          <w:lang w:eastAsia="zh-HK"/>
        </w:rPr>
        <w:t>i</w:t>
      </w:r>
      <w:r w:rsidR="00A86608" w:rsidRPr="002454E2">
        <w:rPr>
          <w:rFonts w:ascii="Times New Roman" w:hAnsi="Times New Roman"/>
          <w:i/>
          <w:sz w:val="20"/>
          <w:szCs w:val="20"/>
          <w:vertAlign w:val="subscript"/>
          <w:lang w:eastAsia="zh-HK"/>
        </w:rPr>
        <w:t>t</w:t>
      </w:r>
      <w:proofErr w:type="spellEnd"/>
      <w:r w:rsidR="003D4AE7">
        <w:rPr>
          <w:rFonts w:ascii="Times New Roman" w:eastAsiaTheme="minorEastAsia" w:hAnsi="Times New Roman" w:hint="eastAsia"/>
          <w:sz w:val="20"/>
          <w:szCs w:val="20"/>
          <w:lang w:eastAsia="zh-HK"/>
        </w:rPr>
        <w:t xml:space="preserve">                                          </w:t>
      </w:r>
      <w:r w:rsidR="002E5C96">
        <w:rPr>
          <w:rFonts w:ascii="Times New Roman" w:eastAsiaTheme="minorEastAsia" w:hAnsi="Times New Roman"/>
          <w:sz w:val="20"/>
          <w:szCs w:val="20"/>
          <w:lang w:eastAsia="zh-HK"/>
        </w:rPr>
        <w:t xml:space="preserve">   </w:t>
      </w:r>
      <w:r>
        <w:rPr>
          <w:rFonts w:ascii="Times New Roman" w:hAnsi="Times New Roman"/>
          <w:sz w:val="20"/>
          <w:szCs w:val="20"/>
          <w:lang w:eastAsia="zh-HK"/>
        </w:rPr>
        <w:t>(7)</w:t>
      </w:r>
    </w:p>
    <w:p w14:paraId="425510AA" w14:textId="5529C4E5" w:rsidR="002454E2" w:rsidRDefault="002454E2" w:rsidP="00BA3FFD">
      <w:pPr>
        <w:spacing w:after="0" w:line="260" w:lineRule="exact"/>
        <w:jc w:val="both"/>
        <w:rPr>
          <w:rFonts w:ascii="Times New Roman" w:eastAsiaTheme="minorEastAsia" w:hAnsi="Times New Roman"/>
          <w:sz w:val="20"/>
          <w:szCs w:val="20"/>
          <w:lang w:eastAsia="zh-HK"/>
        </w:rPr>
      </w:pPr>
    </w:p>
    <w:p w14:paraId="6778C51C" w14:textId="0895CC1F" w:rsidR="00EA5C54" w:rsidRPr="00EA5C54" w:rsidRDefault="00EA5C54" w:rsidP="00313775">
      <w:pPr>
        <w:spacing w:after="0" w:line="260" w:lineRule="exact"/>
        <w:jc w:val="both"/>
        <w:rPr>
          <w:rFonts w:ascii="Times New Roman" w:hAnsi="Times New Roman"/>
          <w:sz w:val="20"/>
          <w:szCs w:val="20"/>
          <w:lang w:eastAsia="zh-HK"/>
        </w:rPr>
      </w:pPr>
      <w:r>
        <w:rPr>
          <w:rFonts w:ascii="Times New Roman" w:eastAsiaTheme="minorEastAsia" w:hAnsi="Times New Roman"/>
          <w:sz w:val="20"/>
          <w:szCs w:val="20"/>
          <w:lang w:eastAsia="zh-HK"/>
        </w:rPr>
        <w:t>w</w:t>
      </w:r>
      <w:r>
        <w:rPr>
          <w:rFonts w:ascii="Times New Roman" w:eastAsiaTheme="minorEastAsia" w:hAnsi="Times New Roman" w:hint="eastAsia"/>
          <w:sz w:val="20"/>
          <w:szCs w:val="20"/>
          <w:lang w:eastAsia="zh-HK"/>
        </w:rPr>
        <w:t>here</w:t>
      </w:r>
      <w:r w:rsidRPr="00CC5574">
        <w:rPr>
          <w:rFonts w:ascii="Times New Roman" w:eastAsiaTheme="minorEastAsia" w:hAnsi="Times New Roman" w:hint="eastAsia"/>
          <w:i/>
          <w:sz w:val="20"/>
          <w:szCs w:val="20"/>
          <w:lang w:eastAsia="zh-HK"/>
        </w:rPr>
        <w:t xml:space="preserve"> </w:t>
      </w:r>
      <w:proofErr w:type="spellStart"/>
      <w:r w:rsidRPr="00CC5574">
        <w:rPr>
          <w:rFonts w:ascii="Times New Roman" w:eastAsiaTheme="minorEastAsia" w:hAnsi="Times New Roman"/>
          <w:i/>
          <w:sz w:val="20"/>
          <w:szCs w:val="20"/>
          <w:lang w:eastAsia="zh-HK"/>
        </w:rPr>
        <w:t>i</w:t>
      </w:r>
      <w:proofErr w:type="spellEnd"/>
      <w:r w:rsidRPr="00CC5574">
        <w:rPr>
          <w:rFonts w:ascii="Times New Roman" w:eastAsiaTheme="minorEastAsia" w:hAnsi="Times New Roman"/>
          <w:i/>
          <w:sz w:val="20"/>
          <w:szCs w:val="20"/>
          <w:lang w:eastAsia="zh-HK"/>
        </w:rPr>
        <w:t xml:space="preserve"> </w:t>
      </w:r>
      <w:r>
        <w:rPr>
          <w:rFonts w:ascii="Times New Roman" w:eastAsiaTheme="minorEastAsia" w:hAnsi="Times New Roman"/>
          <w:sz w:val="20"/>
          <w:szCs w:val="20"/>
          <w:lang w:eastAsia="zh-HK"/>
        </w:rPr>
        <w:t xml:space="preserve">represents an insurer, </w:t>
      </w:r>
      <w:r w:rsidRPr="00CC5574">
        <w:rPr>
          <w:rFonts w:ascii="Times New Roman" w:eastAsiaTheme="minorEastAsia" w:hAnsi="Times New Roman"/>
          <w:i/>
          <w:sz w:val="20"/>
          <w:szCs w:val="20"/>
          <w:lang w:eastAsia="zh-HK"/>
        </w:rPr>
        <w:t xml:space="preserve">t </w:t>
      </w:r>
      <w:r>
        <w:rPr>
          <w:rFonts w:ascii="Times New Roman" w:eastAsiaTheme="minorEastAsia" w:hAnsi="Times New Roman"/>
          <w:sz w:val="20"/>
          <w:szCs w:val="20"/>
          <w:lang w:eastAsia="zh-HK"/>
        </w:rPr>
        <w:t xml:space="preserve">represents a quarter, </w:t>
      </w:r>
      <w:r w:rsidRPr="00CC5574">
        <w:rPr>
          <w:rFonts w:ascii="Times New Roman" w:eastAsiaTheme="minorEastAsia" w:hAnsi="Times New Roman"/>
          <w:i/>
          <w:sz w:val="20"/>
          <w:szCs w:val="20"/>
          <w:lang w:eastAsia="zh-HK"/>
        </w:rPr>
        <w:t>systemic risk</w:t>
      </w:r>
      <w:r>
        <w:rPr>
          <w:rFonts w:ascii="Times New Roman" w:eastAsiaTheme="minorEastAsia" w:hAnsi="Times New Roman"/>
          <w:sz w:val="20"/>
          <w:szCs w:val="20"/>
          <w:lang w:eastAsia="zh-HK"/>
        </w:rPr>
        <w:t xml:space="preserve"> </w:t>
      </w:r>
      <w:r w:rsidR="00CC5574">
        <w:rPr>
          <w:rFonts w:ascii="Times New Roman" w:eastAsiaTheme="minorEastAsia" w:hAnsi="Times New Roman"/>
          <w:sz w:val="20"/>
          <w:szCs w:val="20"/>
          <w:lang w:eastAsia="zh-HK"/>
        </w:rPr>
        <w:t>is</w:t>
      </w:r>
      <w:r>
        <w:rPr>
          <w:rFonts w:ascii="Times New Roman" w:eastAsiaTheme="minorEastAsia" w:hAnsi="Times New Roman"/>
          <w:sz w:val="20"/>
          <w:szCs w:val="20"/>
          <w:lang w:eastAsia="zh-HK"/>
        </w:rPr>
        <w:t xml:space="preserve"> measured either by MES, SRISK or </w:t>
      </w:r>
      <w:r w:rsidRPr="00857AB7">
        <w:rPr>
          <w:rFonts w:ascii="Times New Roman" w:eastAsiaTheme="minorEastAsia" w:hAnsi="Times New Roman" w:hint="eastAsia"/>
          <w:sz w:val="20"/>
          <w:szCs w:val="20"/>
          <w:lang w:eastAsia="zh-HK"/>
        </w:rPr>
        <w:t>Δ</w:t>
      </w:r>
      <w:proofErr w:type="spellStart"/>
      <w:r w:rsidRPr="00857AB7">
        <w:rPr>
          <w:rFonts w:ascii="Times New Roman" w:eastAsiaTheme="minorEastAsia" w:hAnsi="Times New Roman"/>
          <w:sz w:val="20"/>
          <w:szCs w:val="20"/>
          <w:lang w:eastAsia="zh-HK"/>
        </w:rPr>
        <w:t>CoVAR</w:t>
      </w:r>
      <w:proofErr w:type="spellEnd"/>
      <w:r>
        <w:rPr>
          <w:rFonts w:ascii="Times New Roman" w:eastAsiaTheme="minorEastAsia" w:hAnsi="Times New Roman"/>
          <w:sz w:val="20"/>
          <w:szCs w:val="20"/>
          <w:lang w:eastAsia="zh-HK"/>
        </w:rPr>
        <w:t xml:space="preserve">, </w:t>
      </w:r>
      <w:r w:rsidRPr="00CC5574">
        <w:rPr>
          <w:rFonts w:ascii="Times New Roman" w:eastAsiaTheme="minorEastAsia" w:hAnsi="Times New Roman"/>
          <w:i/>
          <w:sz w:val="20"/>
          <w:szCs w:val="20"/>
          <w:lang w:eastAsia="zh-HK"/>
        </w:rPr>
        <w:t>Policy</w:t>
      </w:r>
      <w:r>
        <w:rPr>
          <w:rFonts w:ascii="Times New Roman" w:eastAsiaTheme="minorEastAsia" w:hAnsi="Times New Roman"/>
          <w:sz w:val="20"/>
          <w:szCs w:val="20"/>
          <w:lang w:eastAsia="zh-HK"/>
        </w:rPr>
        <w:t xml:space="preserve"> is a dummy that equals to 1 on or after 2012 Q1, </w:t>
      </w:r>
      <w:r w:rsidRPr="00CC5574">
        <w:rPr>
          <w:rFonts w:ascii="Times New Roman" w:eastAsiaTheme="minorEastAsia" w:hAnsi="Times New Roman"/>
          <w:i/>
          <w:sz w:val="20"/>
          <w:szCs w:val="20"/>
          <w:lang w:eastAsia="zh-HK"/>
        </w:rPr>
        <w:t>GSII</w:t>
      </w:r>
      <w:r>
        <w:rPr>
          <w:rFonts w:ascii="Times New Roman" w:eastAsiaTheme="minorEastAsia" w:hAnsi="Times New Roman"/>
          <w:sz w:val="20"/>
          <w:szCs w:val="20"/>
          <w:lang w:eastAsia="zh-HK"/>
        </w:rPr>
        <w:t xml:space="preserve"> is a dummy that equals to 1 for insurers designated as G-SIIs, </w:t>
      </w:r>
      <w:r w:rsidRPr="00CC5574">
        <w:rPr>
          <w:rFonts w:ascii="Times New Roman" w:eastAsiaTheme="minorEastAsia" w:hAnsi="Times New Roman"/>
          <w:i/>
          <w:sz w:val="20"/>
          <w:szCs w:val="20"/>
          <w:lang w:eastAsia="zh-HK"/>
        </w:rPr>
        <w:t>Insurer characteristics</w:t>
      </w:r>
      <w:r>
        <w:rPr>
          <w:rFonts w:ascii="Times New Roman" w:eastAsiaTheme="minorEastAsia" w:hAnsi="Times New Roman"/>
          <w:sz w:val="20"/>
          <w:szCs w:val="20"/>
          <w:lang w:eastAsia="zh-HK"/>
        </w:rPr>
        <w:t xml:space="preserve"> and </w:t>
      </w:r>
      <w:r w:rsidR="00CC5574">
        <w:rPr>
          <w:rFonts w:ascii="Times New Roman" w:eastAsiaTheme="minorEastAsia" w:hAnsi="Times New Roman"/>
          <w:i/>
          <w:sz w:val="20"/>
          <w:szCs w:val="20"/>
          <w:lang w:eastAsia="zh-HK"/>
        </w:rPr>
        <w:t>C</w:t>
      </w:r>
      <w:r w:rsidRPr="00CC5574">
        <w:rPr>
          <w:rFonts w:ascii="Times New Roman" w:eastAsiaTheme="minorEastAsia" w:hAnsi="Times New Roman"/>
          <w:i/>
          <w:sz w:val="20"/>
          <w:szCs w:val="20"/>
          <w:lang w:eastAsia="zh-HK"/>
        </w:rPr>
        <w:t>ountry</w:t>
      </w:r>
      <w:r w:rsidR="00CC5574" w:rsidRPr="00CC5574">
        <w:rPr>
          <w:rFonts w:ascii="Times New Roman" w:eastAsiaTheme="minorEastAsia" w:hAnsi="Times New Roman"/>
          <w:i/>
          <w:sz w:val="20"/>
          <w:szCs w:val="20"/>
          <w:lang w:eastAsia="zh-HK"/>
        </w:rPr>
        <w:t>-specific macroeconomic</w:t>
      </w:r>
      <w:r w:rsidRPr="00CC5574">
        <w:rPr>
          <w:rFonts w:ascii="Times New Roman" w:eastAsiaTheme="minorEastAsia" w:hAnsi="Times New Roman"/>
          <w:i/>
          <w:sz w:val="20"/>
          <w:szCs w:val="20"/>
          <w:lang w:eastAsia="zh-HK"/>
        </w:rPr>
        <w:t xml:space="preserve"> characteristics</w:t>
      </w:r>
      <w:r>
        <w:rPr>
          <w:rFonts w:ascii="Times New Roman" w:eastAsiaTheme="minorEastAsia" w:hAnsi="Times New Roman"/>
          <w:sz w:val="20"/>
          <w:szCs w:val="20"/>
          <w:lang w:eastAsia="zh-HK"/>
        </w:rPr>
        <w:t xml:space="preserve"> are variables described in section 2.3, </w:t>
      </w:r>
      <w:r w:rsidRPr="00CC5574">
        <w:rPr>
          <w:rFonts w:ascii="Times New Roman" w:eastAsiaTheme="minorEastAsia" w:hAnsi="Times New Roman"/>
          <w:i/>
          <w:sz w:val="20"/>
          <w:szCs w:val="20"/>
          <w:lang w:eastAsia="zh-HK"/>
        </w:rPr>
        <w:t xml:space="preserve">f </w:t>
      </w:r>
      <w:r>
        <w:rPr>
          <w:rFonts w:ascii="Times New Roman" w:eastAsiaTheme="minorEastAsia" w:hAnsi="Times New Roman"/>
          <w:sz w:val="20"/>
          <w:szCs w:val="20"/>
          <w:lang w:eastAsia="zh-HK"/>
        </w:rPr>
        <w:t xml:space="preserve">is the firm-specific effect, </w:t>
      </w:r>
      <w:r w:rsidRPr="00CC5574">
        <w:rPr>
          <w:rFonts w:ascii="Times New Roman" w:eastAsiaTheme="minorEastAsia" w:hAnsi="Times New Roman"/>
          <w:i/>
          <w:sz w:val="20"/>
          <w:szCs w:val="20"/>
          <w:lang w:eastAsia="zh-HK"/>
        </w:rPr>
        <w:t xml:space="preserve">s </w:t>
      </w:r>
      <w:r>
        <w:rPr>
          <w:rFonts w:ascii="Times New Roman" w:eastAsiaTheme="minorEastAsia" w:hAnsi="Times New Roman"/>
          <w:sz w:val="20"/>
          <w:szCs w:val="20"/>
          <w:lang w:eastAsia="zh-HK"/>
        </w:rPr>
        <w:t>is the time-specific effect</w:t>
      </w:r>
      <w:r w:rsidR="00A54972">
        <w:rPr>
          <w:rFonts w:ascii="Times New Roman" w:eastAsiaTheme="minorEastAsia" w:hAnsi="Times New Roman"/>
          <w:sz w:val="20"/>
          <w:szCs w:val="20"/>
          <w:lang w:eastAsia="zh-HK"/>
        </w:rPr>
        <w:t>, and</w:t>
      </w:r>
      <w:r w:rsidR="00A54972" w:rsidRPr="002454E2">
        <w:rPr>
          <w:rFonts w:ascii="Times New Roman" w:hAnsi="Times New Roman"/>
          <w:i/>
          <w:sz w:val="20"/>
          <w:szCs w:val="20"/>
          <w:lang w:eastAsia="zh-HK"/>
        </w:rPr>
        <w:t xml:space="preserve"> </w:t>
      </w:r>
      <w:r w:rsidR="00A54972">
        <w:rPr>
          <w:rFonts w:ascii="Times New Roman" w:hAnsi="Times New Roman"/>
          <w:i/>
          <w:sz w:val="20"/>
          <w:szCs w:val="20"/>
          <w:lang w:eastAsia="zh-HK"/>
        </w:rPr>
        <w:t>e</w:t>
      </w:r>
      <w:r w:rsidR="00A54972">
        <w:rPr>
          <w:rFonts w:ascii="Times New Roman" w:eastAsiaTheme="minorEastAsia" w:hAnsi="Times New Roman"/>
          <w:sz w:val="20"/>
          <w:szCs w:val="20"/>
          <w:lang w:eastAsia="zh-HK"/>
        </w:rPr>
        <w:t xml:space="preserve"> is the error term</w:t>
      </w:r>
      <w:r>
        <w:rPr>
          <w:rFonts w:ascii="Times New Roman" w:eastAsiaTheme="minorEastAsia" w:hAnsi="Times New Roman"/>
          <w:sz w:val="20"/>
          <w:szCs w:val="20"/>
          <w:lang w:eastAsia="zh-HK"/>
        </w:rPr>
        <w:t xml:space="preserve">. We allow for a time-lag of one quarter for characteristics because </w:t>
      </w:r>
      <w:r w:rsidRPr="002454E2">
        <w:rPr>
          <w:rFonts w:ascii="Times New Roman" w:eastAsiaTheme="minorEastAsia" w:hAnsi="Times New Roman"/>
          <w:i/>
          <w:sz w:val="20"/>
          <w:szCs w:val="20"/>
          <w:lang w:eastAsia="zh-HK"/>
        </w:rPr>
        <w:t xml:space="preserve">Systemic </w:t>
      </w:r>
      <w:proofErr w:type="spellStart"/>
      <w:r w:rsidRPr="002454E2">
        <w:rPr>
          <w:rFonts w:ascii="Times New Roman" w:eastAsiaTheme="minorEastAsia" w:hAnsi="Times New Roman"/>
          <w:i/>
          <w:sz w:val="20"/>
          <w:szCs w:val="20"/>
          <w:lang w:eastAsia="zh-HK"/>
        </w:rPr>
        <w:t>risk</w:t>
      </w:r>
      <w:r w:rsidRPr="002454E2">
        <w:rPr>
          <w:rFonts w:ascii="Times New Roman" w:eastAsiaTheme="minorEastAsia" w:hAnsi="Times New Roman"/>
          <w:i/>
          <w:sz w:val="20"/>
          <w:szCs w:val="20"/>
          <w:vertAlign w:val="subscript"/>
          <w:lang w:eastAsia="zh-HK"/>
        </w:rPr>
        <w:t>it</w:t>
      </w:r>
      <w:proofErr w:type="spellEnd"/>
      <w:r>
        <w:rPr>
          <w:rFonts w:ascii="Times New Roman" w:eastAsiaTheme="minorEastAsia" w:hAnsi="Times New Roman"/>
          <w:sz w:val="20"/>
          <w:szCs w:val="20"/>
          <w:lang w:eastAsia="zh-HK"/>
        </w:rPr>
        <w:t xml:space="preserve"> measures the systemic risk from the beginning of period t to the end of period t while the </w:t>
      </w:r>
      <w:r w:rsidRPr="002454E2">
        <w:rPr>
          <w:rFonts w:ascii="Times New Roman" w:hAnsi="Times New Roman"/>
          <w:i/>
          <w:sz w:val="20"/>
          <w:szCs w:val="20"/>
          <w:lang w:eastAsia="zh-HK"/>
        </w:rPr>
        <w:t>Insurer characteristics</w:t>
      </w:r>
      <w:r w:rsidRPr="002454E2">
        <w:rPr>
          <w:rFonts w:ascii="Times New Roman" w:hAnsi="Times New Roman"/>
          <w:i/>
          <w:sz w:val="20"/>
          <w:szCs w:val="20"/>
          <w:vertAlign w:val="subscript"/>
          <w:lang w:eastAsia="zh-HK"/>
        </w:rPr>
        <w:t>t-1</w:t>
      </w:r>
      <w:r>
        <w:rPr>
          <w:rFonts w:ascii="Times New Roman" w:hAnsi="Times New Roman"/>
          <w:sz w:val="20"/>
          <w:szCs w:val="20"/>
          <w:lang w:eastAsia="zh-HK"/>
        </w:rPr>
        <w:t xml:space="preserve"> and </w:t>
      </w:r>
      <w:r w:rsidRPr="002454E2">
        <w:rPr>
          <w:rFonts w:ascii="Times New Roman" w:hAnsi="Times New Roman"/>
          <w:i/>
          <w:sz w:val="20"/>
          <w:szCs w:val="20"/>
          <w:lang w:eastAsia="zh-HK"/>
        </w:rPr>
        <w:t>Country</w:t>
      </w:r>
      <w:r w:rsidR="00CC5574">
        <w:rPr>
          <w:rFonts w:ascii="Times New Roman" w:hAnsi="Times New Roman"/>
          <w:i/>
          <w:sz w:val="20"/>
          <w:szCs w:val="20"/>
          <w:lang w:eastAsia="zh-HK"/>
        </w:rPr>
        <w:t>-specific macroeconomic</w:t>
      </w:r>
      <w:r w:rsidRPr="002454E2">
        <w:rPr>
          <w:rFonts w:ascii="Times New Roman" w:hAnsi="Times New Roman"/>
          <w:i/>
          <w:sz w:val="20"/>
          <w:szCs w:val="20"/>
          <w:lang w:eastAsia="zh-HK"/>
        </w:rPr>
        <w:t xml:space="preserve"> characteristics</w:t>
      </w:r>
      <w:r w:rsidRPr="002454E2">
        <w:rPr>
          <w:rFonts w:ascii="Times New Roman" w:hAnsi="Times New Roman"/>
          <w:i/>
          <w:sz w:val="20"/>
          <w:szCs w:val="20"/>
          <w:vertAlign w:val="subscript"/>
          <w:lang w:eastAsia="zh-HK"/>
        </w:rPr>
        <w:t>t-1</w:t>
      </w:r>
      <w:r>
        <w:rPr>
          <w:rFonts w:ascii="Times New Roman" w:hAnsi="Times New Roman"/>
          <w:sz w:val="20"/>
          <w:szCs w:val="20"/>
          <w:lang w:eastAsia="zh-HK"/>
        </w:rPr>
        <w:t xml:space="preserve"> are based on figures at the end of period t-1.</w:t>
      </w:r>
      <w:r w:rsidR="00313775">
        <w:rPr>
          <w:rFonts w:ascii="Times New Roman" w:hAnsi="Times New Roman"/>
          <w:sz w:val="20"/>
          <w:szCs w:val="20"/>
          <w:lang w:eastAsia="zh-HK"/>
        </w:rPr>
        <w:t xml:space="preserve"> Firm fixed effect and time fixed effect are included to control for unobserved time-invariant insurer characteristics</w:t>
      </w:r>
      <w:r w:rsidR="002E5C96">
        <w:rPr>
          <w:rFonts w:ascii="Times New Roman" w:hAnsi="Times New Roman"/>
          <w:sz w:val="20"/>
          <w:szCs w:val="20"/>
          <w:lang w:eastAsia="zh-HK"/>
        </w:rPr>
        <w:t xml:space="preserve"> and</w:t>
      </w:r>
      <w:r w:rsidR="00313775">
        <w:rPr>
          <w:rFonts w:ascii="Times New Roman" w:hAnsi="Times New Roman"/>
          <w:sz w:val="20"/>
          <w:szCs w:val="20"/>
          <w:lang w:eastAsia="zh-HK"/>
        </w:rPr>
        <w:t xml:space="preserve"> insurer-invariant time effect respectively.</w:t>
      </w:r>
      <w:r w:rsidR="00A76AD1">
        <w:rPr>
          <w:rFonts w:ascii="Times New Roman" w:hAnsi="Times New Roman"/>
          <w:sz w:val="20"/>
          <w:szCs w:val="20"/>
          <w:lang w:eastAsia="zh-HK"/>
        </w:rPr>
        <w:t xml:space="preserve"> </w:t>
      </w:r>
      <w:r w:rsidR="008F7385">
        <w:rPr>
          <w:rFonts w:ascii="Times New Roman" w:hAnsi="Times New Roman"/>
          <w:sz w:val="20"/>
          <w:szCs w:val="20"/>
          <w:lang w:eastAsia="zh-HK"/>
        </w:rPr>
        <w:t>We also cluster standard errors at the country level to control for heteroscedasticity.</w:t>
      </w:r>
      <w:r w:rsidR="0044791C">
        <w:rPr>
          <w:rFonts w:ascii="Times New Roman" w:hAnsi="Times New Roman"/>
          <w:sz w:val="20"/>
          <w:szCs w:val="20"/>
          <w:lang w:eastAsia="zh-HK"/>
        </w:rPr>
        <w:t xml:space="preserve"> </w:t>
      </w:r>
      <w:r w:rsidR="00E900F6">
        <w:rPr>
          <w:rFonts w:ascii="Times New Roman" w:hAnsi="Times New Roman"/>
          <w:sz w:val="20"/>
          <w:szCs w:val="20"/>
          <w:lang w:eastAsia="zh-HK"/>
        </w:rPr>
        <w:t>If the new regulation is effectiv</w:t>
      </w:r>
      <w:r w:rsidR="00A63FE2">
        <w:rPr>
          <w:rFonts w:ascii="Times New Roman" w:hAnsi="Times New Roman"/>
          <w:sz w:val="20"/>
          <w:szCs w:val="20"/>
          <w:lang w:eastAsia="zh-HK"/>
        </w:rPr>
        <w:t>e in reducing the systemic risk</w:t>
      </w:r>
      <w:r w:rsidR="00E900F6">
        <w:rPr>
          <w:rFonts w:ascii="Times New Roman" w:hAnsi="Times New Roman"/>
          <w:sz w:val="20"/>
          <w:szCs w:val="20"/>
          <w:lang w:eastAsia="zh-HK"/>
        </w:rPr>
        <w:t xml:space="preserve"> of G-SIIs, we would expect </w:t>
      </w:r>
      <w:r w:rsidR="00E900F6" w:rsidRPr="002454E2">
        <w:rPr>
          <w:rFonts w:ascii="Times New Roman" w:hAnsi="Times New Roman"/>
          <w:i/>
          <w:sz w:val="20"/>
          <w:szCs w:val="20"/>
          <w:lang w:eastAsia="zh-HK"/>
        </w:rPr>
        <w:t>β</w:t>
      </w:r>
      <w:r w:rsidR="00E900F6" w:rsidRPr="00E26AFF">
        <w:rPr>
          <w:rFonts w:ascii="Times New Roman" w:hAnsi="Times New Roman"/>
          <w:i/>
          <w:sz w:val="20"/>
          <w:szCs w:val="20"/>
          <w:vertAlign w:val="subscript"/>
          <w:lang w:eastAsia="zh-HK"/>
        </w:rPr>
        <w:t>1</w:t>
      </w:r>
      <w:r w:rsidR="00E900F6" w:rsidRPr="002454E2">
        <w:rPr>
          <w:rFonts w:ascii="Times New Roman" w:hAnsi="Times New Roman"/>
          <w:i/>
          <w:sz w:val="20"/>
          <w:szCs w:val="20"/>
          <w:lang w:eastAsia="zh-HK"/>
        </w:rPr>
        <w:t xml:space="preserve"> </w:t>
      </w:r>
      <w:r w:rsidR="00E900F6">
        <w:rPr>
          <w:rFonts w:ascii="Times New Roman" w:hAnsi="Times New Roman"/>
          <w:sz w:val="20"/>
          <w:szCs w:val="20"/>
          <w:lang w:eastAsia="zh-HK"/>
        </w:rPr>
        <w:t xml:space="preserve">to be negative when systemic risk </w:t>
      </w:r>
      <w:r w:rsidR="00A63FE2">
        <w:rPr>
          <w:rFonts w:ascii="Times New Roman" w:hAnsi="Times New Roman"/>
          <w:sz w:val="20"/>
          <w:szCs w:val="20"/>
          <w:lang w:eastAsia="zh-HK"/>
        </w:rPr>
        <w:t>is</w:t>
      </w:r>
      <w:r w:rsidR="00E900F6">
        <w:rPr>
          <w:rFonts w:ascii="Times New Roman" w:hAnsi="Times New Roman"/>
          <w:sz w:val="20"/>
          <w:szCs w:val="20"/>
          <w:lang w:eastAsia="zh-HK"/>
        </w:rPr>
        <w:t xml:space="preserve"> measured by MES and SRISK, and positive when systemic risk </w:t>
      </w:r>
      <w:r w:rsidR="00A63FE2">
        <w:rPr>
          <w:rFonts w:ascii="Times New Roman" w:hAnsi="Times New Roman"/>
          <w:sz w:val="20"/>
          <w:szCs w:val="20"/>
          <w:lang w:eastAsia="zh-HK"/>
        </w:rPr>
        <w:t>is</w:t>
      </w:r>
      <w:r w:rsidR="00E900F6">
        <w:rPr>
          <w:rFonts w:ascii="Times New Roman" w:hAnsi="Times New Roman"/>
          <w:sz w:val="20"/>
          <w:szCs w:val="20"/>
          <w:lang w:eastAsia="zh-HK"/>
        </w:rPr>
        <w:t xml:space="preserve"> measured by </w:t>
      </w:r>
      <w:r w:rsidR="00B6750A" w:rsidRPr="00857AB7">
        <w:rPr>
          <w:rFonts w:ascii="Times New Roman" w:eastAsiaTheme="minorEastAsia" w:hAnsi="Times New Roman" w:hint="eastAsia"/>
          <w:sz w:val="20"/>
          <w:szCs w:val="20"/>
          <w:lang w:eastAsia="zh-HK"/>
        </w:rPr>
        <w:t>Δ</w:t>
      </w:r>
      <w:proofErr w:type="spellStart"/>
      <w:r w:rsidR="00E900F6" w:rsidRPr="00857AB7">
        <w:rPr>
          <w:rFonts w:ascii="Times New Roman" w:eastAsiaTheme="minorEastAsia" w:hAnsi="Times New Roman"/>
          <w:sz w:val="20"/>
          <w:szCs w:val="20"/>
          <w:lang w:eastAsia="zh-HK"/>
        </w:rPr>
        <w:t>CoVAR</w:t>
      </w:r>
      <w:proofErr w:type="spellEnd"/>
      <w:r w:rsidR="00E900F6">
        <w:rPr>
          <w:rFonts w:ascii="Times New Roman" w:eastAsiaTheme="minorEastAsia" w:hAnsi="Times New Roman"/>
          <w:sz w:val="20"/>
          <w:szCs w:val="20"/>
          <w:lang w:eastAsia="zh-HK"/>
        </w:rPr>
        <w:t>.</w:t>
      </w:r>
      <w:r w:rsidR="00E900F6">
        <w:rPr>
          <w:rFonts w:ascii="Times New Roman" w:hAnsi="Times New Roman"/>
          <w:sz w:val="20"/>
          <w:szCs w:val="20"/>
          <w:lang w:eastAsia="zh-HK"/>
        </w:rPr>
        <w:t xml:space="preserve"> </w:t>
      </w:r>
      <w:r w:rsidR="0044791C">
        <w:rPr>
          <w:rFonts w:ascii="Times New Roman" w:hAnsi="Times New Roman"/>
          <w:sz w:val="20"/>
          <w:szCs w:val="20"/>
          <w:lang w:eastAsia="zh-HK"/>
        </w:rPr>
        <w:t>The results of the baseline regression are reported in Table V.</w:t>
      </w:r>
    </w:p>
    <w:p w14:paraId="0BB6E1A8" w14:textId="77777777" w:rsidR="00736DE5" w:rsidRDefault="00736DE5" w:rsidP="00736DE5">
      <w:pPr>
        <w:spacing w:after="0" w:line="260" w:lineRule="exact"/>
        <w:jc w:val="both"/>
        <w:rPr>
          <w:rFonts w:ascii="Times New Roman" w:eastAsiaTheme="minorEastAsia" w:hAnsi="Times New Roman"/>
          <w:sz w:val="16"/>
          <w:szCs w:val="16"/>
          <w:lang w:eastAsia="zh-HK"/>
        </w:rPr>
      </w:pPr>
    </w:p>
    <w:p w14:paraId="2DD90A43" w14:textId="0714D420" w:rsidR="00736DE5" w:rsidRPr="00736DE5" w:rsidRDefault="00736DE5" w:rsidP="00736DE5">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w:t>
      </w:r>
      <w:r w:rsidR="00C650ED">
        <w:rPr>
          <w:rFonts w:ascii="Times New Roman" w:eastAsiaTheme="minorEastAsia" w:hAnsi="Times New Roman"/>
          <w:b/>
          <w:sz w:val="20"/>
          <w:szCs w:val="20"/>
          <w:lang w:eastAsia="zh-HK"/>
        </w:rPr>
        <w:t>Table</w:t>
      </w:r>
      <w:r>
        <w:rPr>
          <w:rFonts w:ascii="Times New Roman" w:eastAsiaTheme="minorEastAsia" w:hAnsi="Times New Roman"/>
          <w:b/>
          <w:sz w:val="20"/>
          <w:szCs w:val="20"/>
          <w:lang w:eastAsia="zh-HK"/>
        </w:rPr>
        <w:t xml:space="preserve"> V</w:t>
      </w:r>
      <w:r w:rsidRPr="00B86E32">
        <w:rPr>
          <w:rFonts w:ascii="Times New Roman" w:eastAsiaTheme="minorEastAsia" w:hAnsi="Times New Roman"/>
          <w:b/>
          <w:sz w:val="20"/>
          <w:szCs w:val="20"/>
          <w:lang w:eastAsia="zh-HK"/>
        </w:rPr>
        <w:t xml:space="preserve"> inserted here]</w:t>
      </w:r>
    </w:p>
    <w:p w14:paraId="4803ABCD" w14:textId="77777777" w:rsidR="00FD39B8" w:rsidRDefault="00FD39B8" w:rsidP="00FD39B8">
      <w:pPr>
        <w:spacing w:after="0" w:line="260" w:lineRule="exact"/>
        <w:jc w:val="center"/>
        <w:rPr>
          <w:rFonts w:ascii="Times New Roman" w:eastAsiaTheme="minorEastAsia" w:hAnsi="Times New Roman"/>
          <w:sz w:val="20"/>
          <w:szCs w:val="20"/>
          <w:lang w:eastAsia="zh-HK"/>
        </w:rPr>
      </w:pPr>
    </w:p>
    <w:p w14:paraId="2299C4AD" w14:textId="2531941B" w:rsidR="003A1527" w:rsidRDefault="00526FF5" w:rsidP="00526FF5">
      <w:pPr>
        <w:spacing w:after="0" w:line="260" w:lineRule="exact"/>
        <w:jc w:val="both"/>
        <w:rPr>
          <w:rFonts w:ascii="Times New Roman" w:hAnsi="Times New Roman"/>
          <w:sz w:val="20"/>
          <w:szCs w:val="20"/>
          <w:lang w:eastAsia="zh-HK"/>
        </w:rPr>
      </w:pPr>
      <w:r w:rsidRPr="00526FF5">
        <w:rPr>
          <w:rFonts w:ascii="Times New Roman" w:hAnsi="Times New Roman"/>
          <w:sz w:val="20"/>
          <w:szCs w:val="20"/>
          <w:lang w:eastAsia="zh-HK"/>
        </w:rPr>
        <w:lastRenderedPageBreak/>
        <w:t xml:space="preserve">Column </w:t>
      </w:r>
      <w:r w:rsidR="00AB37EA">
        <w:rPr>
          <w:rFonts w:ascii="Times New Roman" w:hAnsi="Times New Roman"/>
          <w:sz w:val="20"/>
          <w:szCs w:val="20"/>
          <w:lang w:eastAsia="zh-HK"/>
        </w:rPr>
        <w:t>1, 2 and</w:t>
      </w:r>
      <w:r w:rsidRPr="00526FF5">
        <w:rPr>
          <w:rFonts w:ascii="Times New Roman" w:hAnsi="Times New Roman"/>
          <w:sz w:val="20"/>
          <w:szCs w:val="20"/>
          <w:lang w:eastAsia="zh-HK"/>
        </w:rPr>
        <w:t xml:space="preserve"> </w:t>
      </w:r>
      <w:r w:rsidR="00AB37EA">
        <w:rPr>
          <w:rFonts w:ascii="Times New Roman" w:hAnsi="Times New Roman"/>
          <w:sz w:val="20"/>
          <w:szCs w:val="20"/>
          <w:lang w:eastAsia="zh-HK"/>
        </w:rPr>
        <w:t>3</w:t>
      </w:r>
      <w:r w:rsidRPr="00526FF5">
        <w:rPr>
          <w:rFonts w:ascii="Times New Roman" w:hAnsi="Times New Roman"/>
          <w:sz w:val="20"/>
          <w:szCs w:val="20"/>
          <w:lang w:eastAsia="zh-HK"/>
        </w:rPr>
        <w:t xml:space="preserve"> </w:t>
      </w:r>
      <w:r w:rsidR="00CC5574">
        <w:rPr>
          <w:rFonts w:ascii="Times New Roman" w:hAnsi="Times New Roman"/>
          <w:sz w:val="20"/>
          <w:szCs w:val="20"/>
          <w:lang w:eastAsia="zh-HK"/>
        </w:rPr>
        <w:t>report</w:t>
      </w:r>
      <w:r w:rsidRPr="00526FF5">
        <w:rPr>
          <w:rFonts w:ascii="Times New Roman" w:hAnsi="Times New Roman"/>
          <w:sz w:val="20"/>
          <w:szCs w:val="20"/>
          <w:lang w:eastAsia="zh-HK"/>
        </w:rPr>
        <w:t xml:space="preserve"> the </w:t>
      </w:r>
      <w:r w:rsidR="00CC5574">
        <w:rPr>
          <w:rFonts w:ascii="Times New Roman" w:hAnsi="Times New Roman"/>
          <w:sz w:val="20"/>
          <w:szCs w:val="20"/>
          <w:lang w:eastAsia="zh-HK"/>
        </w:rPr>
        <w:t xml:space="preserve">coefficient </w:t>
      </w:r>
      <w:r w:rsidRPr="00526FF5">
        <w:rPr>
          <w:rFonts w:ascii="Times New Roman" w:hAnsi="Times New Roman"/>
          <w:sz w:val="20"/>
          <w:szCs w:val="20"/>
          <w:lang w:eastAsia="zh-HK"/>
        </w:rPr>
        <w:t xml:space="preserve">estimates </w:t>
      </w:r>
      <w:r w:rsidR="00AB37EA">
        <w:rPr>
          <w:rFonts w:ascii="Times New Roman" w:hAnsi="Times New Roman"/>
          <w:sz w:val="20"/>
          <w:szCs w:val="20"/>
          <w:lang w:eastAsia="zh-HK"/>
        </w:rPr>
        <w:t>when systemic risk</w:t>
      </w:r>
      <w:r w:rsidR="00A34EEC">
        <w:rPr>
          <w:rFonts w:ascii="Times New Roman" w:hAnsi="Times New Roman"/>
          <w:sz w:val="20"/>
          <w:szCs w:val="20"/>
          <w:lang w:eastAsia="zh-HK"/>
        </w:rPr>
        <w:t>s</w:t>
      </w:r>
      <w:r w:rsidR="00AB37EA">
        <w:rPr>
          <w:rFonts w:ascii="Times New Roman" w:hAnsi="Times New Roman"/>
          <w:sz w:val="20"/>
          <w:szCs w:val="20"/>
          <w:lang w:eastAsia="zh-HK"/>
        </w:rPr>
        <w:t xml:space="preserve"> </w:t>
      </w:r>
      <w:r w:rsidR="00A34EEC">
        <w:rPr>
          <w:rFonts w:ascii="Times New Roman" w:hAnsi="Times New Roman"/>
          <w:sz w:val="20"/>
          <w:szCs w:val="20"/>
          <w:lang w:eastAsia="zh-HK"/>
        </w:rPr>
        <w:t>are</w:t>
      </w:r>
      <w:r w:rsidR="00AB37EA">
        <w:rPr>
          <w:rFonts w:ascii="Times New Roman" w:hAnsi="Times New Roman"/>
          <w:sz w:val="20"/>
          <w:szCs w:val="20"/>
          <w:lang w:eastAsia="zh-HK"/>
        </w:rPr>
        <w:t xml:space="preserve"> measured by MES, SRISK and </w:t>
      </w:r>
      <w:proofErr w:type="spellStart"/>
      <w:r w:rsidR="00193D17">
        <w:rPr>
          <w:rFonts w:ascii="Times New Roman" w:hAnsi="Times New Roman"/>
          <w:sz w:val="20"/>
          <w:szCs w:val="20"/>
          <w:lang w:eastAsia="zh-HK"/>
        </w:rPr>
        <w:t>Δ</w:t>
      </w:r>
      <w:r w:rsidR="00AB37EA" w:rsidRPr="00AB37EA">
        <w:rPr>
          <w:rFonts w:ascii="Times New Roman" w:hAnsi="Times New Roman"/>
          <w:sz w:val="20"/>
          <w:szCs w:val="20"/>
          <w:lang w:eastAsia="zh-HK"/>
        </w:rPr>
        <w:t>CoVAR</w:t>
      </w:r>
      <w:proofErr w:type="spellEnd"/>
      <w:r w:rsidR="00AB37EA">
        <w:rPr>
          <w:rFonts w:ascii="Times New Roman" w:hAnsi="Times New Roman"/>
          <w:sz w:val="20"/>
          <w:szCs w:val="20"/>
          <w:lang w:eastAsia="zh-HK"/>
        </w:rPr>
        <w:t xml:space="preserve"> respectively. </w:t>
      </w:r>
      <w:r w:rsidR="00E64B2B">
        <w:rPr>
          <w:rFonts w:ascii="Times New Roman" w:hAnsi="Times New Roman"/>
          <w:sz w:val="20"/>
          <w:szCs w:val="20"/>
          <w:lang w:eastAsia="zh-HK"/>
        </w:rPr>
        <w:t xml:space="preserve">The estimated coefficients for the interaction term </w:t>
      </w:r>
      <w:r w:rsidR="00E64B2B" w:rsidRPr="00E64B2B">
        <w:rPr>
          <w:rFonts w:ascii="Times New Roman" w:hAnsi="Times New Roman"/>
          <w:i/>
          <w:sz w:val="20"/>
          <w:szCs w:val="20"/>
          <w:lang w:eastAsia="zh-HK"/>
        </w:rPr>
        <w:t>Policy x GSII</w:t>
      </w:r>
      <w:r w:rsidR="00E64B2B">
        <w:rPr>
          <w:rFonts w:ascii="Times New Roman" w:hAnsi="Times New Roman"/>
          <w:sz w:val="20"/>
          <w:szCs w:val="20"/>
          <w:lang w:eastAsia="zh-HK"/>
        </w:rPr>
        <w:t xml:space="preserve"> in </w:t>
      </w:r>
      <w:r w:rsidR="00911170">
        <w:rPr>
          <w:rFonts w:ascii="Times New Roman" w:hAnsi="Times New Roman"/>
          <w:sz w:val="20"/>
          <w:szCs w:val="20"/>
          <w:lang w:eastAsia="zh-HK"/>
        </w:rPr>
        <w:t>all the regressions indicate that the new regulation reduces the systemic risk</w:t>
      </w:r>
      <w:r w:rsidR="00FD065B">
        <w:rPr>
          <w:rFonts w:ascii="Times New Roman" w:hAnsi="Times New Roman"/>
          <w:sz w:val="20"/>
          <w:szCs w:val="20"/>
          <w:lang w:eastAsia="zh-HK"/>
        </w:rPr>
        <w:t>s</w:t>
      </w:r>
      <w:r w:rsidR="00911170">
        <w:rPr>
          <w:rFonts w:ascii="Times New Roman" w:hAnsi="Times New Roman"/>
          <w:sz w:val="20"/>
          <w:szCs w:val="20"/>
          <w:lang w:eastAsia="zh-HK"/>
        </w:rPr>
        <w:t xml:space="preserve"> of G-SIIs and are statistically significant. </w:t>
      </w:r>
      <w:r w:rsidR="002E2C5D">
        <w:rPr>
          <w:rFonts w:ascii="Times New Roman" w:hAnsi="Times New Roman"/>
          <w:sz w:val="20"/>
          <w:szCs w:val="20"/>
          <w:lang w:eastAsia="zh-HK"/>
        </w:rPr>
        <w:t xml:space="preserve">Due to the new regulation, </w:t>
      </w:r>
      <w:r w:rsidR="00911170">
        <w:rPr>
          <w:rFonts w:ascii="Times New Roman" w:hAnsi="Times New Roman"/>
          <w:sz w:val="20"/>
          <w:szCs w:val="20"/>
          <w:lang w:eastAsia="zh-HK"/>
        </w:rPr>
        <w:t>MES and SRISK of G-SIIs decrease by 0.</w:t>
      </w:r>
      <w:r w:rsidR="002E2C5D">
        <w:rPr>
          <w:rFonts w:ascii="Times New Roman" w:hAnsi="Times New Roman"/>
          <w:sz w:val="20"/>
          <w:szCs w:val="20"/>
          <w:lang w:eastAsia="zh-HK"/>
        </w:rPr>
        <w:t>6</w:t>
      </w:r>
      <w:r w:rsidR="00911170">
        <w:rPr>
          <w:rFonts w:ascii="Times New Roman" w:hAnsi="Times New Roman"/>
          <w:sz w:val="20"/>
          <w:szCs w:val="20"/>
          <w:lang w:eastAsia="zh-HK"/>
        </w:rPr>
        <w:t>8% and US$</w:t>
      </w:r>
      <w:r w:rsidR="002E2C5D">
        <w:rPr>
          <w:rFonts w:ascii="Times New Roman" w:hAnsi="Times New Roman"/>
          <w:sz w:val="20"/>
          <w:szCs w:val="20"/>
          <w:lang w:eastAsia="zh-HK"/>
        </w:rPr>
        <w:t>7.99</w:t>
      </w:r>
      <w:r w:rsidR="00911170">
        <w:rPr>
          <w:rFonts w:ascii="Times New Roman" w:hAnsi="Times New Roman"/>
          <w:sz w:val="20"/>
          <w:szCs w:val="20"/>
          <w:lang w:eastAsia="zh-HK"/>
        </w:rPr>
        <w:t xml:space="preserve"> billion respectively</w:t>
      </w:r>
      <w:r w:rsidR="002E2C5D">
        <w:rPr>
          <w:rFonts w:ascii="Times New Roman" w:hAnsi="Times New Roman"/>
          <w:sz w:val="20"/>
          <w:szCs w:val="20"/>
          <w:lang w:eastAsia="zh-HK"/>
        </w:rPr>
        <w:t>, which represent</w:t>
      </w:r>
      <w:r w:rsidR="00911170">
        <w:rPr>
          <w:rFonts w:ascii="Times New Roman" w:hAnsi="Times New Roman"/>
          <w:sz w:val="20"/>
          <w:szCs w:val="20"/>
          <w:lang w:eastAsia="zh-HK"/>
        </w:rPr>
        <w:t xml:space="preserve"> </w:t>
      </w:r>
      <w:r w:rsidR="002E2C5D">
        <w:rPr>
          <w:rFonts w:ascii="Times New Roman" w:hAnsi="Times New Roman"/>
          <w:sz w:val="20"/>
          <w:szCs w:val="20"/>
          <w:lang w:eastAsia="zh-HK"/>
        </w:rPr>
        <w:t>15</w:t>
      </w:r>
      <w:r w:rsidR="00911170">
        <w:rPr>
          <w:rFonts w:ascii="Times New Roman" w:hAnsi="Times New Roman"/>
          <w:sz w:val="20"/>
          <w:szCs w:val="20"/>
          <w:lang w:eastAsia="zh-HK"/>
        </w:rPr>
        <w:t>% of average MES and 2</w:t>
      </w:r>
      <w:r w:rsidR="002E2C5D">
        <w:rPr>
          <w:rFonts w:ascii="Times New Roman" w:hAnsi="Times New Roman"/>
          <w:sz w:val="20"/>
          <w:szCs w:val="20"/>
          <w:lang w:eastAsia="zh-HK"/>
        </w:rPr>
        <w:t>7</w:t>
      </w:r>
      <w:r w:rsidR="00911170">
        <w:rPr>
          <w:rFonts w:ascii="Times New Roman" w:hAnsi="Times New Roman"/>
          <w:sz w:val="20"/>
          <w:szCs w:val="20"/>
          <w:lang w:eastAsia="zh-HK"/>
        </w:rPr>
        <w:t>% of average SRISK for G-SIIs before the new regulation.</w:t>
      </w:r>
      <w:r w:rsidR="005410E6">
        <w:rPr>
          <w:rFonts w:ascii="Times New Roman" w:hAnsi="Times New Roman"/>
          <w:sz w:val="20"/>
          <w:szCs w:val="20"/>
          <w:lang w:eastAsia="zh-HK"/>
        </w:rPr>
        <w:t xml:space="preserve"> </w:t>
      </w:r>
      <w:proofErr w:type="spellStart"/>
      <w:r w:rsidR="00193D17">
        <w:rPr>
          <w:rFonts w:ascii="Times New Roman" w:hAnsi="Times New Roman"/>
          <w:sz w:val="20"/>
          <w:szCs w:val="20"/>
          <w:lang w:eastAsia="zh-HK"/>
        </w:rPr>
        <w:t>Δ</w:t>
      </w:r>
      <w:r w:rsidR="005410E6" w:rsidRPr="00AB37EA">
        <w:rPr>
          <w:rFonts w:ascii="Times New Roman" w:hAnsi="Times New Roman"/>
          <w:sz w:val="20"/>
          <w:szCs w:val="20"/>
          <w:lang w:eastAsia="zh-HK"/>
        </w:rPr>
        <w:t>CoVAR</w:t>
      </w:r>
      <w:proofErr w:type="spellEnd"/>
      <w:r w:rsidR="005410E6">
        <w:rPr>
          <w:rFonts w:ascii="Times New Roman" w:hAnsi="Times New Roman"/>
          <w:sz w:val="20"/>
          <w:szCs w:val="20"/>
          <w:lang w:eastAsia="zh-HK"/>
        </w:rPr>
        <w:t xml:space="preserve"> of G-SIIs </w:t>
      </w:r>
      <w:r w:rsidR="00EC5458">
        <w:rPr>
          <w:rFonts w:ascii="Times New Roman" w:hAnsi="Times New Roman"/>
          <w:sz w:val="20"/>
          <w:szCs w:val="20"/>
          <w:lang w:eastAsia="zh-HK"/>
        </w:rPr>
        <w:t xml:space="preserve">is also reduced </w:t>
      </w:r>
      <w:r w:rsidR="005410E6">
        <w:rPr>
          <w:rFonts w:ascii="Times New Roman" w:hAnsi="Times New Roman"/>
          <w:sz w:val="20"/>
          <w:szCs w:val="20"/>
          <w:lang w:eastAsia="zh-HK"/>
        </w:rPr>
        <w:t>by 0.</w:t>
      </w:r>
      <w:r w:rsidR="002E2C5D">
        <w:rPr>
          <w:rFonts w:ascii="Times New Roman" w:hAnsi="Times New Roman"/>
          <w:sz w:val="20"/>
          <w:szCs w:val="20"/>
          <w:lang w:eastAsia="zh-HK"/>
        </w:rPr>
        <w:t>21</w:t>
      </w:r>
      <w:r w:rsidR="005410E6">
        <w:rPr>
          <w:rFonts w:ascii="Times New Roman" w:hAnsi="Times New Roman"/>
          <w:sz w:val="20"/>
          <w:szCs w:val="20"/>
          <w:lang w:eastAsia="zh-HK"/>
        </w:rPr>
        <w:t xml:space="preserve">%, which represents </w:t>
      </w:r>
      <w:r w:rsidR="002E2C5D">
        <w:rPr>
          <w:rFonts w:ascii="Times New Roman" w:hAnsi="Times New Roman"/>
          <w:sz w:val="20"/>
          <w:szCs w:val="20"/>
          <w:lang w:eastAsia="zh-HK"/>
        </w:rPr>
        <w:t>13</w:t>
      </w:r>
      <w:r w:rsidR="00AE5FB9">
        <w:rPr>
          <w:rFonts w:ascii="Times New Roman" w:hAnsi="Times New Roman"/>
          <w:sz w:val="20"/>
          <w:szCs w:val="20"/>
          <w:lang w:eastAsia="zh-HK"/>
        </w:rPr>
        <w:t xml:space="preserve">% of average </w:t>
      </w:r>
      <w:proofErr w:type="spellStart"/>
      <w:r w:rsidR="00193D17">
        <w:rPr>
          <w:rFonts w:ascii="Times New Roman" w:hAnsi="Times New Roman"/>
          <w:sz w:val="20"/>
          <w:szCs w:val="20"/>
          <w:lang w:eastAsia="zh-HK"/>
        </w:rPr>
        <w:t>Δ</w:t>
      </w:r>
      <w:r w:rsidR="00AE5FB9" w:rsidRPr="00AB37EA">
        <w:rPr>
          <w:rFonts w:ascii="Times New Roman" w:hAnsi="Times New Roman"/>
          <w:sz w:val="20"/>
          <w:szCs w:val="20"/>
          <w:lang w:eastAsia="zh-HK"/>
        </w:rPr>
        <w:t>CoVAR</w:t>
      </w:r>
      <w:proofErr w:type="spellEnd"/>
      <w:r w:rsidR="00AE5FB9">
        <w:rPr>
          <w:rFonts w:ascii="Times New Roman" w:hAnsi="Times New Roman"/>
          <w:sz w:val="20"/>
          <w:szCs w:val="20"/>
          <w:lang w:eastAsia="zh-HK"/>
        </w:rPr>
        <w:t xml:space="preserve"> before the new regulation. The magnitude of systemic risk</w:t>
      </w:r>
      <w:r w:rsidR="00A34EEC">
        <w:rPr>
          <w:rFonts w:ascii="Times New Roman" w:hAnsi="Times New Roman"/>
          <w:sz w:val="20"/>
          <w:szCs w:val="20"/>
          <w:lang w:eastAsia="zh-HK"/>
        </w:rPr>
        <w:t>s</w:t>
      </w:r>
      <w:r w:rsidR="00AE5FB9">
        <w:rPr>
          <w:rFonts w:ascii="Times New Roman" w:hAnsi="Times New Roman"/>
          <w:sz w:val="20"/>
          <w:szCs w:val="20"/>
          <w:lang w:eastAsia="zh-HK"/>
        </w:rPr>
        <w:t xml:space="preserve"> reduction due to new regulation in regression analysis is much smaller than that </w:t>
      </w:r>
      <w:r w:rsidR="00A34EEC">
        <w:rPr>
          <w:rFonts w:ascii="Times New Roman" w:hAnsi="Times New Roman"/>
          <w:sz w:val="20"/>
          <w:szCs w:val="20"/>
          <w:lang w:eastAsia="zh-HK"/>
        </w:rPr>
        <w:t>suggested by</w:t>
      </w:r>
      <w:r w:rsidR="00AE5FB9">
        <w:rPr>
          <w:rFonts w:ascii="Times New Roman" w:hAnsi="Times New Roman"/>
          <w:sz w:val="20"/>
          <w:szCs w:val="20"/>
          <w:lang w:eastAsia="zh-HK"/>
        </w:rPr>
        <w:t xml:space="preserve"> univariate analysis because some of the reduction in systemic risk</w:t>
      </w:r>
      <w:r w:rsidR="00652A73">
        <w:rPr>
          <w:rFonts w:ascii="Times New Roman" w:hAnsi="Times New Roman"/>
          <w:sz w:val="20"/>
          <w:szCs w:val="20"/>
          <w:lang w:eastAsia="zh-HK"/>
        </w:rPr>
        <w:t>s</w:t>
      </w:r>
      <w:r w:rsidR="00AE5FB9">
        <w:rPr>
          <w:rFonts w:ascii="Times New Roman" w:hAnsi="Times New Roman"/>
          <w:sz w:val="20"/>
          <w:szCs w:val="20"/>
          <w:lang w:eastAsia="zh-HK"/>
        </w:rPr>
        <w:t xml:space="preserve"> </w:t>
      </w:r>
      <w:r w:rsidR="00652A73">
        <w:rPr>
          <w:rFonts w:ascii="Times New Roman" w:hAnsi="Times New Roman"/>
          <w:sz w:val="20"/>
          <w:szCs w:val="20"/>
          <w:lang w:eastAsia="zh-HK"/>
        </w:rPr>
        <w:t>are</w:t>
      </w:r>
      <w:r w:rsidR="00AE5FB9">
        <w:rPr>
          <w:rFonts w:ascii="Times New Roman" w:hAnsi="Times New Roman"/>
          <w:sz w:val="20"/>
          <w:szCs w:val="20"/>
          <w:lang w:eastAsia="zh-HK"/>
        </w:rPr>
        <w:t xml:space="preserve"> explained by </w:t>
      </w:r>
      <w:r w:rsidR="00B1436D">
        <w:rPr>
          <w:rFonts w:ascii="Times New Roman" w:hAnsi="Times New Roman"/>
          <w:sz w:val="20"/>
          <w:szCs w:val="20"/>
          <w:lang w:eastAsia="zh-HK"/>
        </w:rPr>
        <w:t>changes in insurer characteristics and country</w:t>
      </w:r>
      <w:r w:rsidR="00D57331">
        <w:rPr>
          <w:rFonts w:ascii="Times New Roman" w:hAnsi="Times New Roman"/>
          <w:sz w:val="20"/>
          <w:szCs w:val="20"/>
          <w:lang w:eastAsia="zh-HK"/>
        </w:rPr>
        <w:t>-specific macroeconomic</w:t>
      </w:r>
      <w:r w:rsidR="00B1436D">
        <w:rPr>
          <w:rFonts w:ascii="Times New Roman" w:hAnsi="Times New Roman"/>
          <w:sz w:val="20"/>
          <w:szCs w:val="20"/>
          <w:lang w:eastAsia="zh-HK"/>
        </w:rPr>
        <w:t xml:space="preserve"> characteristics. </w:t>
      </w:r>
      <w:r w:rsidR="00B041F7">
        <w:rPr>
          <w:rFonts w:ascii="Times New Roman" w:hAnsi="Times New Roman"/>
          <w:sz w:val="20"/>
          <w:szCs w:val="20"/>
          <w:lang w:eastAsia="zh-HK"/>
        </w:rPr>
        <w:t xml:space="preserve">It is also interesting to note that </w:t>
      </w:r>
      <w:r w:rsidR="009963E1">
        <w:rPr>
          <w:rFonts w:ascii="Times New Roman" w:hAnsi="Times New Roman"/>
          <w:sz w:val="20"/>
          <w:szCs w:val="20"/>
          <w:lang w:eastAsia="zh-HK"/>
        </w:rPr>
        <w:t>chang</w:t>
      </w:r>
      <w:r w:rsidR="003B6313">
        <w:rPr>
          <w:rFonts w:ascii="Times New Roman" w:hAnsi="Times New Roman"/>
          <w:sz w:val="20"/>
          <w:szCs w:val="20"/>
          <w:lang w:eastAsia="zh-HK"/>
        </w:rPr>
        <w:t>es in insurer characteristics are</w:t>
      </w:r>
      <w:r w:rsidR="009963E1">
        <w:rPr>
          <w:rFonts w:ascii="Times New Roman" w:hAnsi="Times New Roman"/>
          <w:sz w:val="20"/>
          <w:szCs w:val="20"/>
          <w:lang w:eastAsia="zh-HK"/>
        </w:rPr>
        <w:t xml:space="preserve"> endogenous and t</w:t>
      </w:r>
      <w:r w:rsidR="007971F9">
        <w:rPr>
          <w:rFonts w:ascii="Times New Roman" w:hAnsi="Times New Roman"/>
          <w:sz w:val="20"/>
          <w:szCs w:val="20"/>
          <w:lang w:eastAsia="zh-HK"/>
        </w:rPr>
        <w:t xml:space="preserve">he new regulation </w:t>
      </w:r>
      <w:r w:rsidR="009963E1">
        <w:rPr>
          <w:rFonts w:ascii="Times New Roman" w:hAnsi="Times New Roman"/>
          <w:sz w:val="20"/>
          <w:szCs w:val="20"/>
          <w:lang w:eastAsia="zh-HK"/>
        </w:rPr>
        <w:t xml:space="preserve">may </w:t>
      </w:r>
      <w:r w:rsidR="007971F9">
        <w:rPr>
          <w:rFonts w:ascii="Times New Roman" w:hAnsi="Times New Roman"/>
          <w:sz w:val="20"/>
          <w:szCs w:val="20"/>
          <w:lang w:eastAsia="zh-HK"/>
        </w:rPr>
        <w:t xml:space="preserve">generate incentive for G-SIIs to change their characteristics. </w:t>
      </w:r>
      <w:r w:rsidR="003A1527">
        <w:rPr>
          <w:rFonts w:ascii="Times New Roman" w:hAnsi="Times New Roman"/>
          <w:sz w:val="20"/>
          <w:szCs w:val="20"/>
          <w:lang w:eastAsia="zh-HK"/>
        </w:rPr>
        <w:t xml:space="preserve">For example, Table </w:t>
      </w:r>
      <w:r w:rsidR="00823797">
        <w:rPr>
          <w:rFonts w:ascii="Times New Roman" w:hAnsi="Times New Roman"/>
          <w:sz w:val="20"/>
          <w:szCs w:val="20"/>
          <w:lang w:eastAsia="zh-HK"/>
        </w:rPr>
        <w:t>IV</w:t>
      </w:r>
      <w:r w:rsidR="003A1527">
        <w:rPr>
          <w:rFonts w:ascii="Times New Roman" w:hAnsi="Times New Roman"/>
          <w:sz w:val="20"/>
          <w:szCs w:val="20"/>
          <w:lang w:eastAsia="zh-HK"/>
        </w:rPr>
        <w:t xml:space="preserve"> suggests that the average leverage of G-SIIs decreases by </w:t>
      </w:r>
      <w:r w:rsidR="008D1ADB">
        <w:rPr>
          <w:rFonts w:ascii="Times New Roman" w:hAnsi="Times New Roman"/>
          <w:sz w:val="20"/>
          <w:szCs w:val="20"/>
          <w:lang w:eastAsia="zh-HK"/>
        </w:rPr>
        <w:t>11.31</w:t>
      </w:r>
      <w:r w:rsidR="003A1527">
        <w:rPr>
          <w:rFonts w:ascii="Times New Roman" w:hAnsi="Times New Roman"/>
          <w:sz w:val="20"/>
          <w:szCs w:val="20"/>
          <w:lang w:eastAsia="zh-HK"/>
        </w:rPr>
        <w:t xml:space="preserve"> after the new regulation </w:t>
      </w:r>
      <w:r w:rsidR="003B6313">
        <w:rPr>
          <w:rFonts w:ascii="Times New Roman" w:hAnsi="Times New Roman"/>
          <w:sz w:val="20"/>
          <w:szCs w:val="20"/>
          <w:lang w:eastAsia="zh-HK"/>
        </w:rPr>
        <w:t>while the average leverage of non G-SIIs do</w:t>
      </w:r>
      <w:r w:rsidR="00FD065B">
        <w:rPr>
          <w:rFonts w:ascii="Times New Roman" w:hAnsi="Times New Roman"/>
          <w:sz w:val="20"/>
          <w:szCs w:val="20"/>
          <w:lang w:eastAsia="zh-HK"/>
        </w:rPr>
        <w:t>es</w:t>
      </w:r>
      <w:r w:rsidR="003B6313">
        <w:rPr>
          <w:rFonts w:ascii="Times New Roman" w:hAnsi="Times New Roman"/>
          <w:sz w:val="20"/>
          <w:szCs w:val="20"/>
          <w:lang w:eastAsia="zh-HK"/>
        </w:rPr>
        <w:t xml:space="preserve"> not change much. T</w:t>
      </w:r>
      <w:r w:rsidR="003A1527">
        <w:rPr>
          <w:rFonts w:ascii="Times New Roman" w:hAnsi="Times New Roman"/>
          <w:sz w:val="20"/>
          <w:szCs w:val="20"/>
          <w:lang w:eastAsia="zh-HK"/>
        </w:rPr>
        <w:t xml:space="preserve">able V </w:t>
      </w:r>
      <w:r w:rsidR="003B6313">
        <w:rPr>
          <w:rFonts w:ascii="Times New Roman" w:hAnsi="Times New Roman"/>
          <w:sz w:val="20"/>
          <w:szCs w:val="20"/>
          <w:lang w:eastAsia="zh-HK"/>
        </w:rPr>
        <w:t xml:space="preserve">also </w:t>
      </w:r>
      <w:r w:rsidR="003A1527">
        <w:rPr>
          <w:rFonts w:ascii="Times New Roman" w:hAnsi="Times New Roman"/>
          <w:sz w:val="20"/>
          <w:szCs w:val="20"/>
          <w:lang w:eastAsia="zh-HK"/>
        </w:rPr>
        <w:t xml:space="preserve">suggests that a decrease in leverage reduces the MES and SRISK of insurers. Hence, </w:t>
      </w:r>
      <w:r w:rsidR="003B6313">
        <w:rPr>
          <w:rFonts w:ascii="Times New Roman" w:hAnsi="Times New Roman"/>
          <w:sz w:val="20"/>
          <w:szCs w:val="20"/>
          <w:lang w:eastAsia="zh-HK"/>
        </w:rPr>
        <w:t xml:space="preserve">some of the effect of the new regulation is captured by </w:t>
      </w:r>
      <w:r w:rsidR="00967757">
        <w:rPr>
          <w:rFonts w:ascii="Times New Roman" w:hAnsi="Times New Roman"/>
          <w:sz w:val="20"/>
          <w:szCs w:val="20"/>
          <w:lang w:eastAsia="zh-HK"/>
        </w:rPr>
        <w:t xml:space="preserve">changes in </w:t>
      </w:r>
      <w:r w:rsidR="003B6313">
        <w:rPr>
          <w:rFonts w:ascii="Times New Roman" w:hAnsi="Times New Roman"/>
          <w:sz w:val="20"/>
          <w:szCs w:val="20"/>
          <w:lang w:eastAsia="zh-HK"/>
        </w:rPr>
        <w:t xml:space="preserve">insurer characteristics, and </w:t>
      </w:r>
      <w:r w:rsidR="003A1527">
        <w:rPr>
          <w:rFonts w:ascii="Times New Roman" w:hAnsi="Times New Roman"/>
          <w:sz w:val="20"/>
          <w:szCs w:val="20"/>
          <w:lang w:eastAsia="zh-HK"/>
        </w:rPr>
        <w:t xml:space="preserve">the coefficient for the interaction term </w:t>
      </w:r>
      <w:r w:rsidR="003A1527" w:rsidRPr="00E64B2B">
        <w:rPr>
          <w:rFonts w:ascii="Times New Roman" w:hAnsi="Times New Roman"/>
          <w:i/>
          <w:sz w:val="20"/>
          <w:szCs w:val="20"/>
          <w:lang w:eastAsia="zh-HK"/>
        </w:rPr>
        <w:t>Policy x GSII</w:t>
      </w:r>
      <w:r w:rsidR="003A1527">
        <w:rPr>
          <w:rFonts w:ascii="Times New Roman" w:hAnsi="Times New Roman"/>
          <w:sz w:val="20"/>
          <w:szCs w:val="20"/>
          <w:lang w:eastAsia="zh-HK"/>
        </w:rPr>
        <w:t xml:space="preserve"> underestimates the effect of the new regulation on G-SII</w:t>
      </w:r>
      <w:r w:rsidR="0044045A">
        <w:rPr>
          <w:rFonts w:ascii="Times New Roman" w:hAnsi="Times New Roman"/>
          <w:sz w:val="20"/>
          <w:szCs w:val="20"/>
          <w:lang w:eastAsia="zh-HK"/>
        </w:rPr>
        <w:t>s</w:t>
      </w:r>
      <w:r w:rsidR="00823797">
        <w:rPr>
          <w:rFonts w:ascii="Times New Roman" w:hAnsi="Times New Roman"/>
          <w:sz w:val="20"/>
          <w:szCs w:val="20"/>
          <w:lang w:eastAsia="zh-HK"/>
        </w:rPr>
        <w:t>’</w:t>
      </w:r>
      <w:r w:rsidR="0044045A">
        <w:rPr>
          <w:rFonts w:ascii="Times New Roman" w:hAnsi="Times New Roman"/>
          <w:sz w:val="20"/>
          <w:szCs w:val="20"/>
          <w:lang w:eastAsia="zh-HK"/>
        </w:rPr>
        <w:t xml:space="preserve"> systemic risks. The actual reduction of G-SIIs’ systemic risk due to the new policy measures should be greater than 0.</w:t>
      </w:r>
      <w:r w:rsidR="009C549C">
        <w:rPr>
          <w:rFonts w:ascii="Times New Roman" w:hAnsi="Times New Roman"/>
          <w:sz w:val="20"/>
          <w:szCs w:val="20"/>
          <w:lang w:eastAsia="zh-HK"/>
        </w:rPr>
        <w:t>6</w:t>
      </w:r>
      <w:r w:rsidR="0044045A">
        <w:rPr>
          <w:rFonts w:ascii="Times New Roman" w:hAnsi="Times New Roman"/>
          <w:sz w:val="20"/>
          <w:szCs w:val="20"/>
          <w:lang w:eastAsia="zh-HK"/>
        </w:rPr>
        <w:t>8% of MES, US$</w:t>
      </w:r>
      <w:r w:rsidR="009C549C">
        <w:rPr>
          <w:rFonts w:ascii="Times New Roman" w:hAnsi="Times New Roman"/>
          <w:sz w:val="20"/>
          <w:szCs w:val="20"/>
          <w:lang w:eastAsia="zh-HK"/>
        </w:rPr>
        <w:t>7.99</w:t>
      </w:r>
      <w:r w:rsidR="0044045A">
        <w:rPr>
          <w:rFonts w:ascii="Times New Roman" w:hAnsi="Times New Roman"/>
          <w:sz w:val="20"/>
          <w:szCs w:val="20"/>
          <w:lang w:eastAsia="zh-HK"/>
        </w:rPr>
        <w:t xml:space="preserve"> billion of SRISK and 0.</w:t>
      </w:r>
      <w:r w:rsidR="009C549C">
        <w:rPr>
          <w:rFonts w:ascii="Times New Roman" w:hAnsi="Times New Roman"/>
          <w:sz w:val="20"/>
          <w:szCs w:val="20"/>
          <w:lang w:eastAsia="zh-HK"/>
        </w:rPr>
        <w:t>21</w:t>
      </w:r>
      <w:r w:rsidR="0044045A">
        <w:rPr>
          <w:rFonts w:ascii="Times New Roman" w:hAnsi="Times New Roman"/>
          <w:sz w:val="20"/>
          <w:szCs w:val="20"/>
          <w:lang w:eastAsia="zh-HK"/>
        </w:rPr>
        <w:t xml:space="preserve">% of </w:t>
      </w:r>
      <w:proofErr w:type="spellStart"/>
      <w:r w:rsidR="00193D17">
        <w:rPr>
          <w:rFonts w:ascii="Times New Roman" w:hAnsi="Times New Roman"/>
          <w:sz w:val="20"/>
          <w:szCs w:val="20"/>
          <w:lang w:eastAsia="zh-HK"/>
        </w:rPr>
        <w:t>Δ</w:t>
      </w:r>
      <w:r w:rsidR="0044045A" w:rsidRPr="00AB37EA">
        <w:rPr>
          <w:rFonts w:ascii="Times New Roman" w:hAnsi="Times New Roman"/>
          <w:sz w:val="20"/>
          <w:szCs w:val="20"/>
          <w:lang w:eastAsia="zh-HK"/>
        </w:rPr>
        <w:t>CoVAR</w:t>
      </w:r>
      <w:proofErr w:type="spellEnd"/>
      <w:r w:rsidR="0044045A">
        <w:rPr>
          <w:rFonts w:ascii="Times New Roman" w:hAnsi="Times New Roman"/>
          <w:sz w:val="20"/>
          <w:szCs w:val="20"/>
          <w:lang w:eastAsia="zh-HK"/>
        </w:rPr>
        <w:t>.</w:t>
      </w:r>
      <w:r w:rsidR="009C549C">
        <w:rPr>
          <w:rFonts w:ascii="Times New Roman" w:hAnsi="Times New Roman"/>
          <w:sz w:val="20"/>
          <w:szCs w:val="20"/>
          <w:lang w:eastAsia="zh-HK"/>
        </w:rPr>
        <w:t xml:space="preserve"> We will further discuss the change in insurer characteristics in Section 4.7.</w:t>
      </w:r>
    </w:p>
    <w:p w14:paraId="7B76EE8E" w14:textId="77777777" w:rsidR="00470909" w:rsidRDefault="00470909" w:rsidP="00526FF5">
      <w:pPr>
        <w:spacing w:after="0" w:line="260" w:lineRule="exact"/>
        <w:jc w:val="both"/>
        <w:rPr>
          <w:rFonts w:ascii="Times New Roman" w:hAnsi="Times New Roman"/>
          <w:sz w:val="20"/>
          <w:szCs w:val="20"/>
          <w:lang w:eastAsia="zh-HK"/>
        </w:rPr>
      </w:pPr>
    </w:p>
    <w:p w14:paraId="085D48DC" w14:textId="7A62DF33" w:rsidR="00AB37EA" w:rsidRPr="0081416C" w:rsidRDefault="00470909" w:rsidP="00526FF5">
      <w:pPr>
        <w:spacing w:after="0" w:line="260" w:lineRule="exact"/>
        <w:jc w:val="both"/>
        <w:rPr>
          <w:rFonts w:ascii="Times New Roman" w:eastAsiaTheme="minorEastAsia" w:hAnsi="Times New Roman"/>
          <w:sz w:val="20"/>
          <w:szCs w:val="20"/>
          <w:lang w:eastAsia="zh-HK"/>
        </w:rPr>
      </w:pPr>
      <w:r>
        <w:rPr>
          <w:rFonts w:ascii="Times New Roman" w:hAnsi="Times New Roman"/>
          <w:sz w:val="20"/>
          <w:szCs w:val="20"/>
          <w:lang w:eastAsia="zh-HK"/>
        </w:rPr>
        <w:t>The regression results are consistent with the argument that the cost</w:t>
      </w:r>
      <w:r w:rsidR="009216FC">
        <w:rPr>
          <w:rFonts w:ascii="Times New Roman" w:hAnsi="Times New Roman"/>
          <w:sz w:val="20"/>
          <w:szCs w:val="20"/>
          <w:lang w:eastAsia="zh-HK"/>
        </w:rPr>
        <w:t>s</w:t>
      </w:r>
      <w:r>
        <w:rPr>
          <w:rFonts w:ascii="Times New Roman" w:hAnsi="Times New Roman"/>
          <w:sz w:val="20"/>
          <w:szCs w:val="20"/>
          <w:lang w:eastAsia="zh-HK"/>
        </w:rPr>
        <w:t xml:space="preserve"> of complying with the new regulation </w:t>
      </w:r>
      <w:r w:rsidR="009216FC">
        <w:rPr>
          <w:rFonts w:ascii="Times New Roman" w:hAnsi="Times New Roman"/>
          <w:sz w:val="20"/>
          <w:szCs w:val="20"/>
          <w:lang w:eastAsia="zh-HK"/>
        </w:rPr>
        <w:t>are</w:t>
      </w:r>
      <w:r>
        <w:rPr>
          <w:rFonts w:ascii="Times New Roman" w:hAnsi="Times New Roman"/>
          <w:sz w:val="20"/>
          <w:szCs w:val="20"/>
          <w:lang w:eastAsia="zh-HK"/>
        </w:rPr>
        <w:t xml:space="preserve"> higher than the bene</w:t>
      </w:r>
      <w:r w:rsidR="00493413">
        <w:rPr>
          <w:rFonts w:ascii="Times New Roman" w:hAnsi="Times New Roman"/>
          <w:sz w:val="20"/>
          <w:szCs w:val="20"/>
          <w:lang w:eastAsia="zh-HK"/>
        </w:rPr>
        <w:t>fit</w:t>
      </w:r>
      <w:r w:rsidR="009216FC">
        <w:rPr>
          <w:rFonts w:ascii="Times New Roman" w:hAnsi="Times New Roman"/>
          <w:sz w:val="20"/>
          <w:szCs w:val="20"/>
          <w:lang w:eastAsia="zh-HK"/>
        </w:rPr>
        <w:t>s</w:t>
      </w:r>
      <w:r w:rsidR="00493413">
        <w:rPr>
          <w:rFonts w:ascii="Times New Roman" w:hAnsi="Times New Roman"/>
          <w:sz w:val="20"/>
          <w:szCs w:val="20"/>
          <w:lang w:eastAsia="zh-HK"/>
        </w:rPr>
        <w:t xml:space="preserve"> of being perceived by the market as safer after the G-SII designation. </w:t>
      </w:r>
      <w:r w:rsidR="00587DD1">
        <w:rPr>
          <w:rFonts w:ascii="Times New Roman" w:hAnsi="Times New Roman"/>
          <w:sz w:val="20"/>
          <w:szCs w:val="20"/>
          <w:lang w:eastAsia="zh-HK"/>
        </w:rPr>
        <w:t>Otherwise, G-SII</w:t>
      </w:r>
      <w:r w:rsidR="001B6552">
        <w:rPr>
          <w:rFonts w:ascii="Times New Roman" w:hAnsi="Times New Roman"/>
          <w:sz w:val="20"/>
          <w:szCs w:val="20"/>
          <w:lang w:eastAsia="zh-HK"/>
        </w:rPr>
        <w:t>s</w:t>
      </w:r>
      <w:r w:rsidR="00587DD1">
        <w:rPr>
          <w:rFonts w:ascii="Times New Roman" w:hAnsi="Times New Roman"/>
          <w:sz w:val="20"/>
          <w:szCs w:val="20"/>
          <w:lang w:eastAsia="zh-HK"/>
        </w:rPr>
        <w:t xml:space="preserve"> would have intentionally </w:t>
      </w:r>
      <w:r w:rsidR="00967757">
        <w:rPr>
          <w:rFonts w:ascii="Times New Roman" w:hAnsi="Times New Roman"/>
          <w:sz w:val="20"/>
          <w:szCs w:val="20"/>
          <w:lang w:eastAsia="zh-HK"/>
        </w:rPr>
        <w:t>taken more risks</w:t>
      </w:r>
      <w:r w:rsidR="00587DD1">
        <w:rPr>
          <w:rFonts w:ascii="Times New Roman" w:hAnsi="Times New Roman"/>
          <w:sz w:val="20"/>
          <w:szCs w:val="20"/>
          <w:lang w:eastAsia="zh-HK"/>
        </w:rPr>
        <w:t xml:space="preserve"> to enjoy the lower external funding cost</w:t>
      </w:r>
      <w:r w:rsidR="009216FC">
        <w:rPr>
          <w:rFonts w:ascii="Times New Roman" w:hAnsi="Times New Roman"/>
          <w:sz w:val="20"/>
          <w:szCs w:val="20"/>
          <w:lang w:eastAsia="zh-HK"/>
        </w:rPr>
        <w:t>s associated</w:t>
      </w:r>
      <w:r w:rsidR="00587DD1">
        <w:rPr>
          <w:rFonts w:ascii="Times New Roman" w:hAnsi="Times New Roman"/>
          <w:sz w:val="20"/>
          <w:szCs w:val="20"/>
          <w:lang w:eastAsia="zh-HK"/>
        </w:rPr>
        <w:t xml:space="preserve"> with the G-SII designation. </w:t>
      </w:r>
      <w:r w:rsidR="001B6552">
        <w:rPr>
          <w:rFonts w:ascii="Times New Roman" w:hAnsi="Times New Roman"/>
          <w:sz w:val="20"/>
          <w:szCs w:val="20"/>
          <w:lang w:eastAsia="zh-HK"/>
        </w:rPr>
        <w:t>The results suggest that the new policy measures have achieved the regulator’s intended objective</w:t>
      </w:r>
      <w:r w:rsidR="00DE737E">
        <w:rPr>
          <w:rFonts w:ascii="Times New Roman" w:hAnsi="Times New Roman"/>
          <w:sz w:val="20"/>
          <w:szCs w:val="20"/>
          <w:lang w:eastAsia="zh-HK"/>
        </w:rPr>
        <w:t xml:space="preserve"> of reducing</w:t>
      </w:r>
      <w:r w:rsidR="001B6552">
        <w:rPr>
          <w:rFonts w:ascii="Times New Roman" w:hAnsi="Times New Roman"/>
          <w:sz w:val="20"/>
          <w:szCs w:val="20"/>
          <w:lang w:eastAsia="zh-HK"/>
        </w:rPr>
        <w:t xml:space="preserve"> systemic risks of G-SIIs.</w:t>
      </w:r>
    </w:p>
    <w:p w14:paraId="11DC4C06" w14:textId="62BF1375" w:rsidR="00BE654C" w:rsidRPr="0081416C" w:rsidRDefault="00BE654C" w:rsidP="007E0778">
      <w:pPr>
        <w:spacing w:after="0" w:line="480" w:lineRule="auto"/>
        <w:rPr>
          <w:rFonts w:ascii="Times New Roman" w:eastAsiaTheme="minorEastAsia" w:hAnsi="Times New Roman"/>
          <w:sz w:val="20"/>
          <w:szCs w:val="20"/>
          <w:lang w:eastAsia="zh-HK"/>
        </w:rPr>
      </w:pPr>
    </w:p>
    <w:p w14:paraId="4B5D48E5" w14:textId="08A6572A" w:rsidR="007C283C" w:rsidRPr="00B86E32" w:rsidRDefault="0081416C" w:rsidP="007E0778">
      <w:pPr>
        <w:pStyle w:val="ListParagraph"/>
        <w:numPr>
          <w:ilvl w:val="0"/>
          <w:numId w:val="1"/>
        </w:numPr>
        <w:spacing w:after="0" w:line="240" w:lineRule="auto"/>
        <w:ind w:leftChars="0" w:left="0" w:firstLine="0"/>
        <w:rPr>
          <w:rFonts w:ascii="Times New Roman" w:eastAsiaTheme="minorEastAsia" w:hAnsi="Times New Roman"/>
          <w:b/>
          <w:sz w:val="20"/>
          <w:szCs w:val="20"/>
          <w:lang w:eastAsia="zh-HK"/>
        </w:rPr>
      </w:pPr>
      <w:r>
        <w:rPr>
          <w:rFonts w:ascii="Times New Roman" w:eastAsiaTheme="minorEastAsia" w:hAnsi="Times New Roman"/>
          <w:b/>
          <w:sz w:val="20"/>
          <w:szCs w:val="20"/>
          <w:lang w:eastAsia="zh-HK"/>
        </w:rPr>
        <w:t>Additional analysis</w:t>
      </w:r>
    </w:p>
    <w:p w14:paraId="54C2467F" w14:textId="706CEED8" w:rsidR="00166635" w:rsidRPr="00B86E32" w:rsidRDefault="003012DE" w:rsidP="00BA3FFD">
      <w:pPr>
        <w:spacing w:after="0" w:line="260" w:lineRule="exact"/>
        <w:jc w:val="both"/>
        <w:rPr>
          <w:rFonts w:ascii="Times New Roman" w:eastAsiaTheme="minorEastAsia" w:hAnsi="Times New Roman"/>
          <w:sz w:val="20"/>
          <w:szCs w:val="20"/>
          <w:lang w:eastAsia="zh-HK"/>
        </w:rPr>
      </w:pPr>
      <w:r w:rsidRPr="00B86E32">
        <w:rPr>
          <w:rFonts w:ascii="Times New Roman" w:eastAsiaTheme="minorEastAsia" w:hAnsi="Times New Roman"/>
          <w:sz w:val="20"/>
          <w:szCs w:val="20"/>
          <w:lang w:eastAsia="zh-HK"/>
        </w:rPr>
        <w:t xml:space="preserve">In this section, we </w:t>
      </w:r>
      <w:r w:rsidR="0081416C">
        <w:rPr>
          <w:rFonts w:ascii="Times New Roman" w:eastAsiaTheme="minorEastAsia" w:hAnsi="Times New Roman"/>
          <w:sz w:val="20"/>
          <w:szCs w:val="20"/>
          <w:lang w:eastAsia="zh-HK"/>
        </w:rPr>
        <w:t>investigate</w:t>
      </w:r>
      <w:r w:rsidRPr="00B86E32">
        <w:rPr>
          <w:rFonts w:ascii="Times New Roman" w:eastAsiaTheme="minorEastAsia" w:hAnsi="Times New Roman"/>
          <w:sz w:val="20"/>
          <w:szCs w:val="20"/>
          <w:lang w:eastAsia="zh-HK"/>
        </w:rPr>
        <w:t xml:space="preserve"> whether the </w:t>
      </w:r>
      <w:r w:rsidR="0081416C">
        <w:rPr>
          <w:rFonts w:ascii="Times New Roman" w:eastAsiaTheme="minorEastAsia" w:hAnsi="Times New Roman"/>
          <w:sz w:val="20"/>
          <w:szCs w:val="20"/>
          <w:lang w:eastAsia="zh-HK"/>
        </w:rPr>
        <w:t>empirical results</w:t>
      </w:r>
      <w:r w:rsidRPr="00B86E32">
        <w:rPr>
          <w:rFonts w:ascii="Times New Roman" w:eastAsiaTheme="minorEastAsia" w:hAnsi="Times New Roman"/>
          <w:sz w:val="20"/>
          <w:szCs w:val="20"/>
          <w:lang w:eastAsia="zh-HK"/>
        </w:rPr>
        <w:t xml:space="preserve"> in </w:t>
      </w:r>
      <w:r w:rsidR="00E50ED1">
        <w:rPr>
          <w:rFonts w:ascii="Times New Roman" w:eastAsiaTheme="minorEastAsia" w:hAnsi="Times New Roman"/>
          <w:sz w:val="20"/>
          <w:szCs w:val="20"/>
          <w:lang w:eastAsia="zh-HK"/>
        </w:rPr>
        <w:t>s</w:t>
      </w:r>
      <w:r w:rsidRPr="00B86E32">
        <w:rPr>
          <w:rFonts w:ascii="Times New Roman" w:eastAsiaTheme="minorEastAsia" w:hAnsi="Times New Roman"/>
          <w:sz w:val="20"/>
          <w:szCs w:val="20"/>
          <w:lang w:eastAsia="zh-HK"/>
        </w:rPr>
        <w:t xml:space="preserve">ection </w:t>
      </w:r>
      <w:r w:rsidR="0081416C">
        <w:rPr>
          <w:rFonts w:ascii="Times New Roman" w:eastAsiaTheme="minorEastAsia" w:hAnsi="Times New Roman"/>
          <w:sz w:val="20"/>
          <w:szCs w:val="20"/>
          <w:lang w:eastAsia="zh-HK"/>
        </w:rPr>
        <w:t>3</w:t>
      </w:r>
      <w:r w:rsidRPr="00B86E32">
        <w:rPr>
          <w:rFonts w:ascii="Times New Roman" w:eastAsiaTheme="minorEastAsia" w:hAnsi="Times New Roman"/>
          <w:sz w:val="20"/>
          <w:szCs w:val="20"/>
          <w:lang w:eastAsia="zh-HK"/>
        </w:rPr>
        <w:t xml:space="preserve"> are caused by spurious correlation</w:t>
      </w:r>
      <w:r w:rsidR="008E38DF" w:rsidRPr="00B86E32">
        <w:rPr>
          <w:rFonts w:ascii="Times New Roman" w:eastAsiaTheme="minorEastAsia" w:hAnsi="Times New Roman"/>
          <w:sz w:val="20"/>
          <w:szCs w:val="20"/>
          <w:lang w:eastAsia="zh-HK"/>
        </w:rPr>
        <w:t xml:space="preserve"> and </w:t>
      </w:r>
      <w:r w:rsidR="0081416C">
        <w:rPr>
          <w:rFonts w:ascii="Times New Roman" w:eastAsiaTheme="minorEastAsia" w:hAnsi="Times New Roman"/>
          <w:sz w:val="20"/>
          <w:szCs w:val="20"/>
          <w:lang w:eastAsia="zh-HK"/>
        </w:rPr>
        <w:t>perform additional analysis on the baseline regression</w:t>
      </w:r>
      <w:r w:rsidRPr="00B86E32">
        <w:rPr>
          <w:rFonts w:ascii="Times New Roman" w:eastAsiaTheme="minorEastAsia" w:hAnsi="Times New Roman"/>
          <w:sz w:val="20"/>
          <w:szCs w:val="20"/>
          <w:lang w:eastAsia="zh-HK"/>
        </w:rPr>
        <w:t xml:space="preserve">. </w:t>
      </w:r>
      <w:r w:rsidR="00E50ED1">
        <w:rPr>
          <w:rFonts w:ascii="Times New Roman" w:eastAsiaTheme="minorEastAsia" w:hAnsi="Times New Roman"/>
          <w:sz w:val="20"/>
          <w:szCs w:val="20"/>
          <w:lang w:eastAsia="zh-HK"/>
        </w:rPr>
        <w:t>In particular, we examine whether the observations in section 3 are sensitive</w:t>
      </w:r>
      <w:r w:rsidR="00B02074">
        <w:rPr>
          <w:rFonts w:ascii="Times New Roman" w:eastAsiaTheme="minorEastAsia" w:hAnsi="Times New Roman"/>
          <w:sz w:val="20"/>
          <w:szCs w:val="20"/>
          <w:lang w:eastAsia="zh-HK"/>
        </w:rPr>
        <w:t xml:space="preserve"> to the choice of market proxy or mainly driven by the data </w:t>
      </w:r>
      <w:r w:rsidR="008A553A">
        <w:rPr>
          <w:rFonts w:ascii="Times New Roman" w:eastAsiaTheme="minorEastAsia" w:hAnsi="Times New Roman"/>
          <w:sz w:val="20"/>
          <w:szCs w:val="20"/>
          <w:lang w:eastAsia="zh-HK"/>
        </w:rPr>
        <w:t>of the</w:t>
      </w:r>
      <w:r w:rsidR="00B02074">
        <w:rPr>
          <w:rFonts w:ascii="Times New Roman" w:eastAsiaTheme="minorEastAsia" w:hAnsi="Times New Roman"/>
          <w:sz w:val="20"/>
          <w:szCs w:val="20"/>
          <w:lang w:eastAsia="zh-HK"/>
        </w:rPr>
        <w:t xml:space="preserve"> financial crisis</w:t>
      </w:r>
      <w:r w:rsidR="00B32B08">
        <w:rPr>
          <w:rFonts w:ascii="Times New Roman" w:eastAsiaTheme="minorEastAsia" w:hAnsi="Times New Roman"/>
          <w:sz w:val="20"/>
          <w:szCs w:val="20"/>
          <w:lang w:eastAsia="zh-HK"/>
        </w:rPr>
        <w:t>.</w:t>
      </w:r>
      <w:r w:rsidR="003F3148">
        <w:rPr>
          <w:rFonts w:ascii="Times New Roman" w:eastAsiaTheme="minorEastAsia" w:hAnsi="Times New Roman"/>
          <w:sz w:val="20"/>
          <w:szCs w:val="20"/>
          <w:lang w:eastAsia="zh-HK"/>
        </w:rPr>
        <w:t xml:space="preserve"> </w:t>
      </w:r>
      <w:r w:rsidR="00B040A0">
        <w:rPr>
          <w:rFonts w:ascii="Times New Roman" w:eastAsiaTheme="minorEastAsia" w:hAnsi="Times New Roman"/>
          <w:sz w:val="20"/>
          <w:szCs w:val="20"/>
          <w:lang w:eastAsia="zh-HK"/>
        </w:rPr>
        <w:t xml:space="preserve">We also check the robustness of the time period of the </w:t>
      </w:r>
      <w:r w:rsidR="00B040A0" w:rsidRPr="00B040A0">
        <w:rPr>
          <w:rFonts w:ascii="Times New Roman" w:eastAsiaTheme="minorEastAsia" w:hAnsi="Times New Roman"/>
          <w:i/>
          <w:sz w:val="20"/>
          <w:szCs w:val="20"/>
          <w:lang w:eastAsia="zh-HK"/>
        </w:rPr>
        <w:t>Policy</w:t>
      </w:r>
      <w:r w:rsidR="00B040A0">
        <w:rPr>
          <w:rFonts w:ascii="Times New Roman" w:eastAsiaTheme="minorEastAsia" w:hAnsi="Times New Roman"/>
          <w:sz w:val="20"/>
          <w:szCs w:val="20"/>
          <w:lang w:eastAsia="zh-HK"/>
        </w:rPr>
        <w:t xml:space="preserve"> dummy. </w:t>
      </w:r>
      <w:r w:rsidR="003F3148">
        <w:rPr>
          <w:rFonts w:ascii="Times New Roman" w:eastAsiaTheme="minorEastAsia" w:hAnsi="Times New Roman"/>
          <w:sz w:val="20"/>
          <w:szCs w:val="20"/>
          <w:lang w:eastAsia="zh-HK"/>
        </w:rPr>
        <w:t xml:space="preserve">We </w:t>
      </w:r>
      <w:r w:rsidR="00B040A0">
        <w:rPr>
          <w:rFonts w:ascii="Times New Roman" w:eastAsiaTheme="minorEastAsia" w:hAnsi="Times New Roman"/>
          <w:sz w:val="20"/>
          <w:szCs w:val="20"/>
          <w:lang w:eastAsia="zh-HK"/>
        </w:rPr>
        <w:t>further</w:t>
      </w:r>
      <w:r w:rsidR="003F3148">
        <w:rPr>
          <w:rFonts w:ascii="Times New Roman" w:eastAsiaTheme="minorEastAsia" w:hAnsi="Times New Roman"/>
          <w:sz w:val="20"/>
          <w:szCs w:val="20"/>
          <w:lang w:eastAsia="zh-HK"/>
        </w:rPr>
        <w:t xml:space="preserve"> investigate whether the </w:t>
      </w:r>
      <w:r w:rsidR="00BF56CC">
        <w:rPr>
          <w:rFonts w:ascii="Times New Roman" w:eastAsiaTheme="minorEastAsia" w:hAnsi="Times New Roman"/>
          <w:sz w:val="20"/>
          <w:szCs w:val="20"/>
          <w:lang w:eastAsia="zh-HK"/>
        </w:rPr>
        <w:t>systemic risks of</w:t>
      </w:r>
      <w:r w:rsidR="003F3148">
        <w:rPr>
          <w:rFonts w:ascii="Times New Roman" w:eastAsiaTheme="minorEastAsia" w:hAnsi="Times New Roman"/>
          <w:sz w:val="20"/>
          <w:szCs w:val="20"/>
          <w:lang w:eastAsia="zh-HK"/>
        </w:rPr>
        <w:t xml:space="preserve"> G-SIIs </w:t>
      </w:r>
      <w:r w:rsidR="00BF56CC">
        <w:rPr>
          <w:rFonts w:ascii="Times New Roman" w:eastAsiaTheme="minorEastAsia" w:hAnsi="Times New Roman"/>
          <w:sz w:val="20"/>
          <w:szCs w:val="20"/>
          <w:lang w:eastAsia="zh-HK"/>
        </w:rPr>
        <w:t xml:space="preserve">are reduced by the new regulation </w:t>
      </w:r>
      <w:r w:rsidR="003F3148">
        <w:rPr>
          <w:rFonts w:ascii="Times New Roman" w:eastAsiaTheme="minorEastAsia" w:hAnsi="Times New Roman"/>
          <w:sz w:val="20"/>
          <w:szCs w:val="20"/>
          <w:lang w:eastAsia="zh-HK"/>
        </w:rPr>
        <w:t>on a worldwide basis and whether large insurers are affected by the new regulation regardless of their G-SII status.</w:t>
      </w:r>
      <w:r w:rsidR="00BF56CC">
        <w:rPr>
          <w:rFonts w:ascii="Times New Roman" w:eastAsiaTheme="minorEastAsia" w:hAnsi="Times New Roman"/>
          <w:sz w:val="20"/>
          <w:szCs w:val="20"/>
          <w:lang w:eastAsia="zh-HK"/>
        </w:rPr>
        <w:t xml:space="preserve"> Finally, we </w:t>
      </w:r>
      <w:r w:rsidR="00B040A0">
        <w:rPr>
          <w:rFonts w:ascii="Times New Roman" w:eastAsiaTheme="minorEastAsia" w:hAnsi="Times New Roman"/>
          <w:sz w:val="20"/>
          <w:szCs w:val="20"/>
          <w:lang w:eastAsia="zh-HK"/>
        </w:rPr>
        <w:t>examine</w:t>
      </w:r>
      <w:r w:rsidR="00BF56CC">
        <w:rPr>
          <w:rFonts w:ascii="Times New Roman" w:eastAsiaTheme="minorEastAsia" w:hAnsi="Times New Roman"/>
          <w:sz w:val="20"/>
          <w:szCs w:val="20"/>
          <w:lang w:eastAsia="zh-HK"/>
        </w:rPr>
        <w:t xml:space="preserve"> whether the missing data problem bias</w:t>
      </w:r>
      <w:r w:rsidR="00C51DE8">
        <w:rPr>
          <w:rFonts w:ascii="Times New Roman" w:eastAsiaTheme="minorEastAsia" w:hAnsi="Times New Roman"/>
          <w:sz w:val="20"/>
          <w:szCs w:val="20"/>
          <w:lang w:eastAsia="zh-HK"/>
        </w:rPr>
        <w:t>es</w:t>
      </w:r>
      <w:r w:rsidR="00BF56CC">
        <w:rPr>
          <w:rFonts w:ascii="Times New Roman" w:eastAsiaTheme="minorEastAsia" w:hAnsi="Times New Roman"/>
          <w:sz w:val="20"/>
          <w:szCs w:val="20"/>
          <w:lang w:eastAsia="zh-HK"/>
        </w:rPr>
        <w:t xml:space="preserve"> our empirical findings</w:t>
      </w:r>
      <w:r w:rsidR="00512224">
        <w:rPr>
          <w:rFonts w:ascii="Times New Roman" w:eastAsiaTheme="minorEastAsia" w:hAnsi="Times New Roman"/>
          <w:sz w:val="20"/>
          <w:szCs w:val="20"/>
          <w:lang w:eastAsia="zh-HK"/>
        </w:rPr>
        <w:t xml:space="preserve"> and whether G-SIIs change their characteristics after the new regulation to decrease their systemic importance</w:t>
      </w:r>
      <w:r w:rsidR="00BF56CC">
        <w:rPr>
          <w:rFonts w:ascii="Times New Roman" w:eastAsiaTheme="minorEastAsia" w:hAnsi="Times New Roman"/>
          <w:sz w:val="20"/>
          <w:szCs w:val="20"/>
          <w:lang w:eastAsia="zh-HK"/>
        </w:rPr>
        <w:t>.</w:t>
      </w:r>
    </w:p>
    <w:p w14:paraId="3C17693A" w14:textId="77777777" w:rsidR="002129EE" w:rsidRPr="00B86E32" w:rsidRDefault="002129EE" w:rsidP="00BA3FFD">
      <w:pPr>
        <w:spacing w:after="0" w:line="260" w:lineRule="exact"/>
        <w:jc w:val="both"/>
        <w:rPr>
          <w:rFonts w:ascii="Times New Roman" w:eastAsiaTheme="minorEastAsia" w:hAnsi="Times New Roman"/>
          <w:sz w:val="20"/>
          <w:szCs w:val="20"/>
          <w:lang w:eastAsia="zh-HK"/>
        </w:rPr>
      </w:pPr>
    </w:p>
    <w:p w14:paraId="692CAFE8" w14:textId="6C03E94F" w:rsidR="00D91A00" w:rsidRPr="00B86E32" w:rsidRDefault="00067D3E" w:rsidP="007E0778">
      <w:pPr>
        <w:pStyle w:val="ListParagraph"/>
        <w:numPr>
          <w:ilvl w:val="1"/>
          <w:numId w:val="1"/>
        </w:numPr>
        <w:spacing w:after="0" w:line="240" w:lineRule="auto"/>
        <w:ind w:leftChars="0" w:left="0" w:firstLine="0"/>
        <w:jc w:val="both"/>
        <w:rPr>
          <w:rFonts w:ascii="Times New Roman" w:eastAsiaTheme="minorEastAsia" w:hAnsi="Times New Roman"/>
          <w:b/>
          <w:i/>
          <w:sz w:val="20"/>
          <w:szCs w:val="20"/>
          <w:lang w:eastAsia="zh-HK"/>
        </w:rPr>
      </w:pPr>
      <w:r>
        <w:rPr>
          <w:rFonts w:ascii="Times New Roman" w:eastAsiaTheme="minorEastAsia" w:hAnsi="Times New Roman" w:hint="eastAsia"/>
          <w:b/>
          <w:i/>
          <w:sz w:val="20"/>
          <w:szCs w:val="20"/>
          <w:lang w:eastAsia="zh-HK"/>
        </w:rPr>
        <w:lastRenderedPageBreak/>
        <w:t>Are empirical results sensitive to the choice of proxy</w:t>
      </w:r>
      <w:r w:rsidR="00D93BBA">
        <w:rPr>
          <w:rFonts w:ascii="Times New Roman" w:eastAsiaTheme="minorEastAsia" w:hAnsi="Times New Roman"/>
          <w:b/>
          <w:i/>
          <w:sz w:val="20"/>
          <w:szCs w:val="20"/>
          <w:lang w:eastAsia="zh-HK"/>
        </w:rPr>
        <w:t xml:space="preserve"> for market index</w:t>
      </w:r>
      <w:r w:rsidR="00532B6E" w:rsidRPr="00B86E32">
        <w:rPr>
          <w:rFonts w:ascii="Times New Roman" w:eastAsiaTheme="minorEastAsia" w:hAnsi="Times New Roman"/>
          <w:b/>
          <w:i/>
          <w:sz w:val="20"/>
          <w:szCs w:val="20"/>
          <w:lang w:eastAsia="zh-HK"/>
        </w:rPr>
        <w:t>?</w:t>
      </w:r>
    </w:p>
    <w:p w14:paraId="72654F50" w14:textId="5DFC3BED" w:rsidR="00115D85" w:rsidRPr="00B86E32" w:rsidRDefault="00933D19"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According to the International Monetary Fund (IMF), Bank for International Settlements (BIS), and FSB (IMF </w:t>
      </w:r>
      <w:r w:rsidRPr="00933D19">
        <w:rPr>
          <w:rFonts w:ascii="Times New Roman" w:eastAsiaTheme="minorEastAsia" w:hAnsi="Times New Roman"/>
          <w:i/>
          <w:sz w:val="20"/>
          <w:szCs w:val="20"/>
          <w:lang w:eastAsia="zh-HK"/>
        </w:rPr>
        <w:t>et al.</w:t>
      </w:r>
      <w:r>
        <w:rPr>
          <w:rFonts w:ascii="Times New Roman" w:eastAsiaTheme="minorEastAsia" w:hAnsi="Times New Roman"/>
          <w:sz w:val="20"/>
          <w:szCs w:val="20"/>
          <w:lang w:eastAsia="zh-HK"/>
        </w:rPr>
        <w:t>, 2009), systemic risk is defined as “the disruption of the flow of financial services that is (</w:t>
      </w:r>
      <w:proofErr w:type="spellStart"/>
      <w:r>
        <w:rPr>
          <w:rFonts w:ascii="Times New Roman" w:eastAsiaTheme="minorEastAsia" w:hAnsi="Times New Roman"/>
          <w:sz w:val="20"/>
          <w:szCs w:val="20"/>
          <w:lang w:eastAsia="zh-HK"/>
        </w:rPr>
        <w:t>i</w:t>
      </w:r>
      <w:proofErr w:type="spellEnd"/>
      <w:r>
        <w:rPr>
          <w:rFonts w:ascii="Times New Roman" w:eastAsiaTheme="minorEastAsia" w:hAnsi="Times New Roman"/>
          <w:sz w:val="20"/>
          <w:szCs w:val="20"/>
          <w:lang w:eastAsia="zh-HK"/>
        </w:rPr>
        <w:t>) caused by an impairment of all or parts of the financial system; and (ii) has the potential to have serious negative consequences for the real economy”.</w:t>
      </w:r>
      <w:r w:rsidR="00C30365">
        <w:rPr>
          <w:rFonts w:ascii="Times New Roman" w:eastAsiaTheme="minorEastAsia" w:hAnsi="Times New Roman"/>
          <w:sz w:val="20"/>
          <w:szCs w:val="20"/>
          <w:lang w:eastAsia="zh-HK"/>
        </w:rPr>
        <w:t xml:space="preserve"> As the first half of the definition stresses on the </w:t>
      </w:r>
      <w:r w:rsidR="008A553A">
        <w:rPr>
          <w:rFonts w:ascii="Times New Roman" w:eastAsiaTheme="minorEastAsia" w:hAnsi="Times New Roman"/>
          <w:sz w:val="20"/>
          <w:szCs w:val="20"/>
          <w:lang w:eastAsia="zh-HK"/>
        </w:rPr>
        <w:t>disruption of the flow of financial services</w:t>
      </w:r>
      <w:r w:rsidR="00C30365">
        <w:rPr>
          <w:rFonts w:ascii="Times New Roman" w:eastAsiaTheme="minorEastAsia" w:hAnsi="Times New Roman"/>
          <w:sz w:val="20"/>
          <w:szCs w:val="20"/>
          <w:lang w:eastAsia="zh-HK"/>
        </w:rPr>
        <w:t xml:space="preserve">, we proxy the market index with the World </w:t>
      </w:r>
      <w:proofErr w:type="spellStart"/>
      <w:r w:rsidR="00C30365">
        <w:rPr>
          <w:rFonts w:ascii="Times New Roman" w:eastAsiaTheme="minorEastAsia" w:hAnsi="Times New Roman"/>
          <w:sz w:val="20"/>
          <w:szCs w:val="20"/>
          <w:lang w:eastAsia="zh-HK"/>
        </w:rPr>
        <w:t>Datastream</w:t>
      </w:r>
      <w:proofErr w:type="spellEnd"/>
      <w:r w:rsidR="00C30365">
        <w:rPr>
          <w:rFonts w:ascii="Times New Roman" w:eastAsiaTheme="minorEastAsia" w:hAnsi="Times New Roman"/>
          <w:sz w:val="20"/>
          <w:szCs w:val="20"/>
          <w:lang w:eastAsia="zh-HK"/>
        </w:rPr>
        <w:t xml:space="preserve"> Financial Index</w:t>
      </w:r>
      <w:r w:rsidR="00CD23F3">
        <w:rPr>
          <w:rFonts w:ascii="Times New Roman" w:eastAsiaTheme="minorEastAsia" w:hAnsi="Times New Roman"/>
          <w:sz w:val="20"/>
          <w:szCs w:val="20"/>
          <w:lang w:eastAsia="zh-HK"/>
        </w:rPr>
        <w:t xml:space="preserve"> </w:t>
      </w:r>
      <w:r w:rsidR="00FA32EC">
        <w:rPr>
          <w:rFonts w:ascii="Times New Roman" w:eastAsiaTheme="minorEastAsia" w:hAnsi="Times New Roman"/>
          <w:sz w:val="20"/>
          <w:szCs w:val="20"/>
          <w:lang w:eastAsia="zh-HK"/>
        </w:rPr>
        <w:t xml:space="preserve">in our baseline regression. </w:t>
      </w:r>
      <w:r w:rsidR="00A659E7">
        <w:rPr>
          <w:rFonts w:ascii="Times New Roman" w:eastAsiaTheme="minorEastAsia" w:hAnsi="Times New Roman"/>
          <w:sz w:val="20"/>
          <w:szCs w:val="20"/>
          <w:lang w:eastAsia="zh-HK"/>
        </w:rPr>
        <w:t xml:space="preserve">In this subsection, we proxy the market index with the World </w:t>
      </w:r>
      <w:proofErr w:type="spellStart"/>
      <w:r w:rsidR="00A659E7">
        <w:rPr>
          <w:rFonts w:ascii="Times New Roman" w:eastAsiaTheme="minorEastAsia" w:hAnsi="Times New Roman"/>
          <w:sz w:val="20"/>
          <w:szCs w:val="20"/>
          <w:lang w:eastAsia="zh-HK"/>
        </w:rPr>
        <w:t>Datastream</w:t>
      </w:r>
      <w:proofErr w:type="spellEnd"/>
      <w:r w:rsidR="00A659E7">
        <w:rPr>
          <w:rFonts w:ascii="Times New Roman" w:eastAsiaTheme="minorEastAsia" w:hAnsi="Times New Roman"/>
          <w:sz w:val="20"/>
          <w:szCs w:val="20"/>
          <w:lang w:eastAsia="zh-HK"/>
        </w:rPr>
        <w:t xml:space="preserve"> Market Index, which covers over 6,000 constituent entities over the world, to address the second half of the definition</w:t>
      </w:r>
      <w:r w:rsidR="000E5080">
        <w:rPr>
          <w:rFonts w:ascii="Times New Roman" w:eastAsiaTheme="minorEastAsia" w:hAnsi="Times New Roman"/>
          <w:sz w:val="20"/>
          <w:szCs w:val="20"/>
          <w:lang w:eastAsia="zh-HK"/>
        </w:rPr>
        <w:t xml:space="preserve"> concerning the negative consequences for the real economy</w:t>
      </w:r>
      <w:r w:rsidR="00A659E7">
        <w:rPr>
          <w:rFonts w:ascii="Times New Roman" w:eastAsiaTheme="minorEastAsia" w:hAnsi="Times New Roman"/>
          <w:sz w:val="20"/>
          <w:szCs w:val="20"/>
          <w:lang w:eastAsia="zh-HK"/>
        </w:rPr>
        <w:t xml:space="preserve">. As a robustness check, we also use the World </w:t>
      </w:r>
      <w:proofErr w:type="spellStart"/>
      <w:r w:rsidR="00A659E7">
        <w:rPr>
          <w:rFonts w:ascii="Times New Roman" w:eastAsiaTheme="minorEastAsia" w:hAnsi="Times New Roman"/>
          <w:sz w:val="20"/>
          <w:szCs w:val="20"/>
          <w:lang w:eastAsia="zh-HK"/>
        </w:rPr>
        <w:t>Datastream</w:t>
      </w:r>
      <w:proofErr w:type="spellEnd"/>
      <w:r w:rsidR="00A659E7">
        <w:rPr>
          <w:rFonts w:ascii="Times New Roman" w:eastAsiaTheme="minorEastAsia" w:hAnsi="Times New Roman"/>
          <w:sz w:val="20"/>
          <w:szCs w:val="20"/>
          <w:lang w:eastAsia="zh-HK"/>
        </w:rPr>
        <w:t xml:space="preserve"> Bank Index and the World </w:t>
      </w:r>
      <w:proofErr w:type="spellStart"/>
      <w:r w:rsidR="00A659E7">
        <w:rPr>
          <w:rFonts w:ascii="Times New Roman" w:eastAsiaTheme="minorEastAsia" w:hAnsi="Times New Roman"/>
          <w:sz w:val="20"/>
          <w:szCs w:val="20"/>
          <w:lang w:eastAsia="zh-HK"/>
        </w:rPr>
        <w:t>Datastream</w:t>
      </w:r>
      <w:proofErr w:type="spellEnd"/>
      <w:r w:rsidR="00A659E7">
        <w:rPr>
          <w:rFonts w:ascii="Times New Roman" w:eastAsiaTheme="minorEastAsia" w:hAnsi="Times New Roman"/>
          <w:sz w:val="20"/>
          <w:szCs w:val="20"/>
          <w:lang w:eastAsia="zh-HK"/>
        </w:rPr>
        <w:t xml:space="preserve"> Insurance Index as alternative proxi</w:t>
      </w:r>
      <w:r w:rsidR="00D93BBA">
        <w:rPr>
          <w:rFonts w:ascii="Times New Roman" w:eastAsiaTheme="minorEastAsia" w:hAnsi="Times New Roman"/>
          <w:sz w:val="20"/>
          <w:szCs w:val="20"/>
          <w:lang w:eastAsia="zh-HK"/>
        </w:rPr>
        <w:t xml:space="preserve">es for market index to examine whether the empirical results in the baseline regression are sensitive to the choice of </w:t>
      </w:r>
      <w:r w:rsidR="00EC5458">
        <w:rPr>
          <w:rFonts w:ascii="Times New Roman" w:eastAsiaTheme="minorEastAsia" w:hAnsi="Times New Roman"/>
          <w:sz w:val="20"/>
          <w:szCs w:val="20"/>
          <w:lang w:eastAsia="zh-HK"/>
        </w:rPr>
        <w:t xml:space="preserve">market </w:t>
      </w:r>
      <w:r w:rsidR="00D93BBA">
        <w:rPr>
          <w:rFonts w:ascii="Times New Roman" w:eastAsiaTheme="minorEastAsia" w:hAnsi="Times New Roman"/>
          <w:sz w:val="20"/>
          <w:szCs w:val="20"/>
          <w:lang w:eastAsia="zh-HK"/>
        </w:rPr>
        <w:t>proxy.</w:t>
      </w:r>
      <w:r w:rsidR="008515A0">
        <w:rPr>
          <w:rFonts w:ascii="Times New Roman" w:eastAsiaTheme="minorEastAsia" w:hAnsi="Times New Roman"/>
          <w:sz w:val="20"/>
          <w:szCs w:val="20"/>
          <w:lang w:eastAsia="zh-HK"/>
        </w:rPr>
        <w:t xml:space="preserve"> </w:t>
      </w:r>
      <w:r w:rsidR="00193D17">
        <w:rPr>
          <w:rFonts w:ascii="Times New Roman" w:eastAsiaTheme="minorEastAsia" w:hAnsi="Times New Roman"/>
          <w:sz w:val="20"/>
          <w:szCs w:val="20"/>
          <w:lang w:eastAsia="zh-HK"/>
        </w:rPr>
        <w:t xml:space="preserve">The MES, SRISK and </w:t>
      </w:r>
      <w:proofErr w:type="spellStart"/>
      <w:r w:rsidR="00193D17">
        <w:rPr>
          <w:rFonts w:ascii="Times New Roman" w:hAnsi="Times New Roman"/>
          <w:sz w:val="20"/>
          <w:szCs w:val="20"/>
          <w:lang w:eastAsia="zh-HK"/>
        </w:rPr>
        <w:t>Δ</w:t>
      </w:r>
      <w:r w:rsidR="00193D17" w:rsidRPr="00AB37EA">
        <w:rPr>
          <w:rFonts w:ascii="Times New Roman" w:hAnsi="Times New Roman"/>
          <w:sz w:val="20"/>
          <w:szCs w:val="20"/>
          <w:lang w:eastAsia="zh-HK"/>
        </w:rPr>
        <w:t>CoVAR</w:t>
      </w:r>
      <w:proofErr w:type="spellEnd"/>
      <w:r w:rsidR="00193D17">
        <w:rPr>
          <w:rFonts w:ascii="Times New Roman" w:eastAsiaTheme="minorEastAsia" w:hAnsi="Times New Roman"/>
          <w:sz w:val="20"/>
          <w:szCs w:val="20"/>
          <w:lang w:eastAsia="zh-HK"/>
        </w:rPr>
        <w:t xml:space="preserve"> are recalculated for each insurer with the above market indices and we repeat the regression analysis with the updated systemic risk measures. </w:t>
      </w:r>
      <w:r w:rsidR="008515A0">
        <w:rPr>
          <w:rFonts w:ascii="Times New Roman" w:eastAsiaTheme="minorEastAsia" w:hAnsi="Times New Roman"/>
          <w:sz w:val="20"/>
          <w:szCs w:val="20"/>
          <w:lang w:eastAsia="zh-HK"/>
        </w:rPr>
        <w:t xml:space="preserve">The results are reported in Table VI. </w:t>
      </w:r>
    </w:p>
    <w:p w14:paraId="6FF5AD4B" w14:textId="77777777" w:rsidR="008515A0" w:rsidRDefault="008515A0" w:rsidP="008515A0">
      <w:pPr>
        <w:spacing w:after="0" w:line="260" w:lineRule="exact"/>
        <w:jc w:val="both"/>
        <w:rPr>
          <w:rFonts w:ascii="Times New Roman" w:eastAsiaTheme="minorEastAsia" w:hAnsi="Times New Roman"/>
          <w:sz w:val="16"/>
          <w:szCs w:val="16"/>
          <w:lang w:eastAsia="zh-HK"/>
        </w:rPr>
      </w:pPr>
    </w:p>
    <w:p w14:paraId="3F060F41" w14:textId="0B9F27D6" w:rsidR="008515A0" w:rsidRPr="00736DE5" w:rsidRDefault="008515A0" w:rsidP="008515A0">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w:t>
      </w:r>
      <w:r>
        <w:rPr>
          <w:rFonts w:ascii="Times New Roman" w:eastAsiaTheme="minorEastAsia" w:hAnsi="Times New Roman"/>
          <w:b/>
          <w:sz w:val="20"/>
          <w:szCs w:val="20"/>
          <w:lang w:eastAsia="zh-HK"/>
        </w:rPr>
        <w:t>Table VI</w:t>
      </w:r>
      <w:r w:rsidRPr="00B86E32">
        <w:rPr>
          <w:rFonts w:ascii="Times New Roman" w:eastAsiaTheme="minorEastAsia" w:hAnsi="Times New Roman"/>
          <w:b/>
          <w:sz w:val="20"/>
          <w:szCs w:val="20"/>
          <w:lang w:eastAsia="zh-HK"/>
        </w:rPr>
        <w:t xml:space="preserve"> inserted here]</w:t>
      </w:r>
    </w:p>
    <w:p w14:paraId="7C2D22EC" w14:textId="4FC592EB" w:rsidR="009732F2" w:rsidRPr="00B86E32" w:rsidRDefault="009732F2" w:rsidP="00BA3FFD">
      <w:pPr>
        <w:spacing w:after="0" w:line="260" w:lineRule="exact"/>
        <w:jc w:val="both"/>
        <w:rPr>
          <w:rFonts w:ascii="Times New Roman" w:eastAsiaTheme="minorEastAsia" w:hAnsi="Times New Roman"/>
          <w:sz w:val="20"/>
          <w:szCs w:val="20"/>
          <w:lang w:eastAsia="zh-HK"/>
        </w:rPr>
      </w:pPr>
    </w:p>
    <w:p w14:paraId="6AA1C486" w14:textId="5816DD06" w:rsidR="009732F2" w:rsidRPr="00B86E32" w:rsidRDefault="00FB5B18"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Column 1 to 3 report the results when the market index is proxied by the World </w:t>
      </w:r>
      <w:proofErr w:type="spellStart"/>
      <w:r>
        <w:rPr>
          <w:rFonts w:ascii="Times New Roman" w:eastAsiaTheme="minorEastAsia" w:hAnsi="Times New Roman"/>
          <w:sz w:val="20"/>
          <w:szCs w:val="20"/>
          <w:lang w:eastAsia="zh-HK"/>
        </w:rPr>
        <w:t>Datastream</w:t>
      </w:r>
      <w:proofErr w:type="spellEnd"/>
      <w:r>
        <w:rPr>
          <w:rFonts w:ascii="Times New Roman" w:eastAsiaTheme="minorEastAsia" w:hAnsi="Times New Roman"/>
          <w:sz w:val="20"/>
          <w:szCs w:val="20"/>
          <w:lang w:eastAsia="zh-HK"/>
        </w:rPr>
        <w:t xml:space="preserve"> Market Index; column 4 to 6 report the results when the market index is proxied by the World </w:t>
      </w:r>
      <w:proofErr w:type="spellStart"/>
      <w:r>
        <w:rPr>
          <w:rFonts w:ascii="Times New Roman" w:eastAsiaTheme="minorEastAsia" w:hAnsi="Times New Roman"/>
          <w:sz w:val="20"/>
          <w:szCs w:val="20"/>
          <w:lang w:eastAsia="zh-HK"/>
        </w:rPr>
        <w:t>Datastream</w:t>
      </w:r>
      <w:proofErr w:type="spellEnd"/>
      <w:r>
        <w:rPr>
          <w:rFonts w:ascii="Times New Roman" w:eastAsiaTheme="minorEastAsia" w:hAnsi="Times New Roman"/>
          <w:sz w:val="20"/>
          <w:szCs w:val="20"/>
          <w:lang w:eastAsia="zh-HK"/>
        </w:rPr>
        <w:t xml:space="preserve"> Bank </w:t>
      </w:r>
      <w:r>
        <w:rPr>
          <w:rFonts w:ascii="Times New Roman" w:eastAsiaTheme="minorEastAsia" w:hAnsi="Times New Roman" w:hint="eastAsia"/>
          <w:sz w:val="20"/>
          <w:szCs w:val="20"/>
          <w:lang w:eastAsia="zh-TW"/>
        </w:rPr>
        <w:t>I</w:t>
      </w:r>
      <w:r>
        <w:rPr>
          <w:rFonts w:ascii="Times New Roman" w:eastAsiaTheme="minorEastAsia" w:hAnsi="Times New Roman" w:hint="eastAsia"/>
          <w:sz w:val="20"/>
          <w:szCs w:val="20"/>
          <w:lang w:eastAsia="zh-HK"/>
        </w:rPr>
        <w:t>n</w:t>
      </w:r>
      <w:r>
        <w:rPr>
          <w:rFonts w:ascii="Times New Roman" w:eastAsiaTheme="minorEastAsia" w:hAnsi="Times New Roman"/>
          <w:sz w:val="20"/>
          <w:szCs w:val="20"/>
          <w:lang w:eastAsia="zh-HK"/>
        </w:rPr>
        <w:t xml:space="preserve">dex; column 7 to 9 report the results when the market index is proxied by the World </w:t>
      </w:r>
      <w:proofErr w:type="spellStart"/>
      <w:r>
        <w:rPr>
          <w:rFonts w:ascii="Times New Roman" w:eastAsiaTheme="minorEastAsia" w:hAnsi="Times New Roman"/>
          <w:sz w:val="20"/>
          <w:szCs w:val="20"/>
          <w:lang w:eastAsia="zh-HK"/>
        </w:rPr>
        <w:t>Datastream</w:t>
      </w:r>
      <w:proofErr w:type="spellEnd"/>
      <w:r>
        <w:rPr>
          <w:rFonts w:ascii="Times New Roman" w:eastAsiaTheme="minorEastAsia" w:hAnsi="Times New Roman"/>
          <w:sz w:val="20"/>
          <w:szCs w:val="20"/>
          <w:lang w:eastAsia="zh-HK"/>
        </w:rPr>
        <w:t xml:space="preserve"> Insurance Index. </w:t>
      </w:r>
      <w:r w:rsidR="002A2C99">
        <w:rPr>
          <w:rFonts w:ascii="Times New Roman" w:eastAsiaTheme="minorEastAsia" w:hAnsi="Times New Roman"/>
          <w:sz w:val="20"/>
          <w:szCs w:val="20"/>
          <w:lang w:eastAsia="zh-HK"/>
        </w:rPr>
        <w:t>The estimated coefficient</w:t>
      </w:r>
      <w:r>
        <w:rPr>
          <w:rFonts w:ascii="Times New Roman" w:eastAsiaTheme="minorEastAsia" w:hAnsi="Times New Roman"/>
          <w:sz w:val="20"/>
          <w:szCs w:val="20"/>
          <w:lang w:eastAsia="zh-HK"/>
        </w:rPr>
        <w:t>s</w:t>
      </w:r>
      <w:r w:rsidR="002A2C99">
        <w:rPr>
          <w:rFonts w:ascii="Times New Roman" w:eastAsiaTheme="minorEastAsia" w:hAnsi="Times New Roman"/>
          <w:sz w:val="20"/>
          <w:szCs w:val="20"/>
          <w:lang w:eastAsia="zh-HK"/>
        </w:rPr>
        <w:t xml:space="preserve"> of the interaction term</w:t>
      </w:r>
      <w:r w:rsidR="00117520" w:rsidRPr="00117520">
        <w:rPr>
          <w:rFonts w:ascii="Times New Roman" w:hAnsi="Times New Roman"/>
          <w:i/>
          <w:sz w:val="20"/>
          <w:szCs w:val="20"/>
          <w:lang w:eastAsia="zh-HK"/>
        </w:rPr>
        <w:t xml:space="preserve"> </w:t>
      </w:r>
      <w:r w:rsidR="00117520" w:rsidRPr="00E64B2B">
        <w:rPr>
          <w:rFonts w:ascii="Times New Roman" w:hAnsi="Times New Roman"/>
          <w:i/>
          <w:sz w:val="20"/>
          <w:szCs w:val="20"/>
          <w:lang w:eastAsia="zh-HK"/>
        </w:rPr>
        <w:t>Policy x GSII</w:t>
      </w:r>
      <w:r w:rsidR="002A2C99">
        <w:rPr>
          <w:rFonts w:ascii="Times New Roman" w:eastAsiaTheme="minorEastAsia" w:hAnsi="Times New Roman"/>
          <w:sz w:val="20"/>
          <w:szCs w:val="20"/>
          <w:lang w:eastAsia="zh-HK"/>
        </w:rPr>
        <w:t xml:space="preserve"> </w:t>
      </w:r>
      <w:r w:rsidR="00117520">
        <w:rPr>
          <w:rFonts w:ascii="Times New Roman" w:eastAsiaTheme="minorEastAsia" w:hAnsi="Times New Roman"/>
          <w:sz w:val="20"/>
          <w:szCs w:val="20"/>
          <w:lang w:eastAsia="zh-HK"/>
        </w:rPr>
        <w:t xml:space="preserve">in </w:t>
      </w:r>
      <w:r w:rsidR="00850C8A">
        <w:rPr>
          <w:rFonts w:ascii="Times New Roman" w:eastAsiaTheme="minorEastAsia" w:hAnsi="Times New Roman"/>
          <w:sz w:val="20"/>
          <w:szCs w:val="20"/>
          <w:lang w:eastAsia="zh-HK"/>
        </w:rPr>
        <w:t>c</w:t>
      </w:r>
      <w:r>
        <w:rPr>
          <w:rFonts w:ascii="Times New Roman" w:eastAsiaTheme="minorEastAsia" w:hAnsi="Times New Roman"/>
          <w:sz w:val="20"/>
          <w:szCs w:val="20"/>
          <w:lang w:eastAsia="zh-HK"/>
        </w:rPr>
        <w:t xml:space="preserve">olumn 1 to 9 </w:t>
      </w:r>
      <w:r w:rsidR="00117520">
        <w:rPr>
          <w:rFonts w:ascii="Times New Roman" w:eastAsiaTheme="minorEastAsia" w:hAnsi="Times New Roman"/>
          <w:sz w:val="20"/>
          <w:szCs w:val="20"/>
          <w:lang w:eastAsia="zh-HK"/>
        </w:rPr>
        <w:t xml:space="preserve">indicate that the new regulation reduces systemic risks of G-SIIs </w:t>
      </w:r>
      <w:r>
        <w:rPr>
          <w:rFonts w:ascii="Times New Roman" w:eastAsiaTheme="minorEastAsia" w:hAnsi="Times New Roman"/>
          <w:sz w:val="20"/>
          <w:szCs w:val="20"/>
          <w:lang w:eastAsia="zh-HK"/>
        </w:rPr>
        <w:t>regardless of the choice of proxy for the market index</w:t>
      </w:r>
      <w:r w:rsidR="008459BC" w:rsidRPr="00B86E32">
        <w:rPr>
          <w:rFonts w:ascii="Times New Roman" w:eastAsiaTheme="minorEastAsia" w:hAnsi="Times New Roman"/>
          <w:sz w:val="20"/>
          <w:szCs w:val="20"/>
          <w:lang w:eastAsia="zh-HK"/>
        </w:rPr>
        <w:t>.</w:t>
      </w:r>
      <w:r w:rsidR="00117520">
        <w:rPr>
          <w:rFonts w:ascii="Times New Roman" w:eastAsiaTheme="minorEastAsia" w:hAnsi="Times New Roman"/>
          <w:sz w:val="20"/>
          <w:szCs w:val="20"/>
          <w:lang w:eastAsia="zh-HK"/>
        </w:rPr>
        <w:t xml:space="preserve"> The estimated coefficients of the interaction term are statistically significant </w:t>
      </w:r>
      <w:r w:rsidR="003819A8">
        <w:rPr>
          <w:rFonts w:ascii="Times New Roman" w:eastAsiaTheme="minorEastAsia" w:hAnsi="Times New Roman"/>
          <w:sz w:val="20"/>
          <w:szCs w:val="20"/>
          <w:lang w:eastAsia="zh-HK"/>
        </w:rPr>
        <w:t>for all the</w:t>
      </w:r>
      <w:r w:rsidR="00117520">
        <w:rPr>
          <w:rFonts w:ascii="Times New Roman" w:eastAsiaTheme="minorEastAsia" w:hAnsi="Times New Roman"/>
          <w:sz w:val="20"/>
          <w:szCs w:val="20"/>
          <w:lang w:eastAsia="zh-HK"/>
        </w:rPr>
        <w:t xml:space="preserve"> regressions, and the magnitude of the estimated coeff</w:t>
      </w:r>
      <w:r w:rsidR="00030750">
        <w:rPr>
          <w:rFonts w:ascii="Times New Roman" w:eastAsiaTheme="minorEastAsia" w:hAnsi="Times New Roman"/>
          <w:sz w:val="20"/>
          <w:szCs w:val="20"/>
          <w:lang w:eastAsia="zh-HK"/>
        </w:rPr>
        <w:t xml:space="preserve">icients </w:t>
      </w:r>
      <w:r w:rsidR="00850C8A">
        <w:rPr>
          <w:rFonts w:ascii="Times New Roman" w:eastAsiaTheme="minorEastAsia" w:hAnsi="Times New Roman"/>
          <w:sz w:val="20"/>
          <w:szCs w:val="20"/>
          <w:lang w:eastAsia="zh-HK"/>
        </w:rPr>
        <w:t>is</w:t>
      </w:r>
      <w:r w:rsidR="00030750">
        <w:rPr>
          <w:rFonts w:ascii="Times New Roman" w:eastAsiaTheme="minorEastAsia" w:hAnsi="Times New Roman"/>
          <w:sz w:val="20"/>
          <w:szCs w:val="20"/>
          <w:lang w:eastAsia="zh-HK"/>
        </w:rPr>
        <w:t xml:space="preserve"> similar to t</w:t>
      </w:r>
      <w:r w:rsidR="00390908">
        <w:rPr>
          <w:rFonts w:ascii="Times New Roman" w:eastAsiaTheme="minorEastAsia" w:hAnsi="Times New Roman"/>
          <w:sz w:val="20"/>
          <w:szCs w:val="20"/>
          <w:lang w:eastAsia="zh-HK"/>
        </w:rPr>
        <w:t>hat</w:t>
      </w:r>
      <w:r w:rsidR="00030750">
        <w:rPr>
          <w:rFonts w:ascii="Times New Roman" w:eastAsiaTheme="minorEastAsia" w:hAnsi="Times New Roman"/>
          <w:sz w:val="20"/>
          <w:szCs w:val="20"/>
          <w:lang w:eastAsia="zh-HK"/>
        </w:rPr>
        <w:t xml:space="preserve"> </w:t>
      </w:r>
      <w:r w:rsidR="00117520">
        <w:rPr>
          <w:rFonts w:ascii="Times New Roman" w:eastAsiaTheme="minorEastAsia" w:hAnsi="Times New Roman"/>
          <w:sz w:val="20"/>
          <w:szCs w:val="20"/>
          <w:lang w:eastAsia="zh-HK"/>
        </w:rPr>
        <w:t xml:space="preserve">reported in Table V. </w:t>
      </w:r>
      <w:r w:rsidR="00030750">
        <w:rPr>
          <w:rFonts w:ascii="Times New Roman" w:eastAsiaTheme="minorEastAsia" w:hAnsi="Times New Roman"/>
          <w:sz w:val="20"/>
          <w:szCs w:val="20"/>
          <w:lang w:eastAsia="zh-HK"/>
        </w:rPr>
        <w:t xml:space="preserve">The regression results in Table VI suggest that our baseline regression results are robust to different choices of proxy for </w:t>
      </w:r>
      <w:r w:rsidR="00A02B7E">
        <w:rPr>
          <w:rFonts w:ascii="Times New Roman" w:eastAsiaTheme="minorEastAsia" w:hAnsi="Times New Roman"/>
          <w:sz w:val="20"/>
          <w:szCs w:val="20"/>
          <w:lang w:eastAsia="zh-HK"/>
        </w:rPr>
        <w:t xml:space="preserve">the </w:t>
      </w:r>
      <w:r w:rsidR="00030750">
        <w:rPr>
          <w:rFonts w:ascii="Times New Roman" w:eastAsiaTheme="minorEastAsia" w:hAnsi="Times New Roman"/>
          <w:sz w:val="20"/>
          <w:szCs w:val="20"/>
          <w:lang w:eastAsia="zh-HK"/>
        </w:rPr>
        <w:t xml:space="preserve">market index, and the new regulation reduces systemic risks of </w:t>
      </w:r>
      <w:r w:rsidR="00A02B7E">
        <w:rPr>
          <w:rFonts w:ascii="Times New Roman" w:eastAsiaTheme="minorEastAsia" w:hAnsi="Times New Roman"/>
          <w:sz w:val="20"/>
          <w:szCs w:val="20"/>
          <w:lang w:eastAsia="zh-HK"/>
        </w:rPr>
        <w:t>G-SIIs</w:t>
      </w:r>
      <w:r w:rsidR="00030750">
        <w:rPr>
          <w:rFonts w:ascii="Times New Roman" w:eastAsiaTheme="minorEastAsia" w:hAnsi="Times New Roman"/>
          <w:sz w:val="20"/>
          <w:szCs w:val="20"/>
          <w:lang w:eastAsia="zh-HK"/>
        </w:rPr>
        <w:t xml:space="preserve"> no matter we focus the definition of systemic risks on the negative consequences </w:t>
      </w:r>
      <w:r w:rsidR="0059147F">
        <w:rPr>
          <w:rFonts w:ascii="Times New Roman" w:eastAsiaTheme="minorEastAsia" w:hAnsi="Times New Roman"/>
          <w:sz w:val="20"/>
          <w:szCs w:val="20"/>
          <w:lang w:eastAsia="zh-HK"/>
        </w:rPr>
        <w:t>associated with</w:t>
      </w:r>
      <w:r w:rsidR="00030750">
        <w:rPr>
          <w:rFonts w:ascii="Times New Roman" w:eastAsiaTheme="minorEastAsia" w:hAnsi="Times New Roman"/>
          <w:sz w:val="20"/>
          <w:szCs w:val="20"/>
          <w:lang w:eastAsia="zh-HK"/>
        </w:rPr>
        <w:t xml:space="preserve"> the financial system or the whole economy.</w:t>
      </w:r>
    </w:p>
    <w:p w14:paraId="396B60B1" w14:textId="77777777" w:rsidR="000704F5" w:rsidRPr="00B86E32" w:rsidRDefault="000704F5" w:rsidP="000704F5">
      <w:pPr>
        <w:spacing w:after="0" w:line="260" w:lineRule="exact"/>
        <w:jc w:val="both"/>
        <w:rPr>
          <w:rFonts w:ascii="Times New Roman" w:eastAsiaTheme="minorEastAsia" w:hAnsi="Times New Roman"/>
          <w:sz w:val="20"/>
          <w:szCs w:val="20"/>
          <w:lang w:eastAsia="zh-HK"/>
        </w:rPr>
      </w:pPr>
    </w:p>
    <w:p w14:paraId="6769417D" w14:textId="2FE01D18" w:rsidR="000704F5" w:rsidRPr="00B86E32" w:rsidRDefault="000704F5" w:rsidP="000704F5">
      <w:pPr>
        <w:pStyle w:val="ListParagraph"/>
        <w:numPr>
          <w:ilvl w:val="1"/>
          <w:numId w:val="1"/>
        </w:numPr>
        <w:spacing w:after="0" w:line="240" w:lineRule="auto"/>
        <w:ind w:leftChars="0" w:left="0" w:firstLine="0"/>
        <w:jc w:val="both"/>
        <w:rPr>
          <w:rFonts w:ascii="Times New Roman" w:eastAsiaTheme="minorEastAsia" w:hAnsi="Times New Roman"/>
          <w:b/>
          <w:i/>
          <w:sz w:val="20"/>
          <w:szCs w:val="20"/>
          <w:lang w:eastAsia="zh-HK"/>
        </w:rPr>
      </w:pPr>
      <w:r>
        <w:rPr>
          <w:rFonts w:ascii="Times New Roman" w:eastAsiaTheme="minorEastAsia" w:hAnsi="Times New Roman" w:hint="eastAsia"/>
          <w:b/>
          <w:i/>
          <w:sz w:val="20"/>
          <w:szCs w:val="20"/>
          <w:lang w:eastAsia="zh-HK"/>
        </w:rPr>
        <w:t xml:space="preserve">Are </w:t>
      </w:r>
      <w:r w:rsidR="00CF6533">
        <w:rPr>
          <w:rFonts w:ascii="Times New Roman" w:eastAsiaTheme="minorEastAsia" w:hAnsi="Times New Roman"/>
          <w:b/>
          <w:i/>
          <w:sz w:val="20"/>
          <w:szCs w:val="20"/>
          <w:lang w:eastAsia="zh-HK"/>
        </w:rPr>
        <w:t xml:space="preserve">the </w:t>
      </w:r>
      <w:r>
        <w:rPr>
          <w:rFonts w:ascii="Times New Roman" w:eastAsiaTheme="minorEastAsia" w:hAnsi="Times New Roman" w:hint="eastAsia"/>
          <w:b/>
          <w:i/>
          <w:sz w:val="20"/>
          <w:szCs w:val="20"/>
          <w:lang w:eastAsia="zh-HK"/>
        </w:rPr>
        <w:t xml:space="preserve">empirical results </w:t>
      </w:r>
      <w:r>
        <w:rPr>
          <w:rFonts w:ascii="Times New Roman" w:eastAsiaTheme="minorEastAsia" w:hAnsi="Times New Roman"/>
          <w:b/>
          <w:i/>
          <w:sz w:val="20"/>
          <w:szCs w:val="20"/>
          <w:lang w:eastAsia="zh-HK"/>
        </w:rPr>
        <w:t xml:space="preserve">mainly driven by the data </w:t>
      </w:r>
      <w:r w:rsidR="005F6CEA">
        <w:rPr>
          <w:rFonts w:ascii="Times New Roman" w:eastAsiaTheme="minorEastAsia" w:hAnsi="Times New Roman"/>
          <w:b/>
          <w:i/>
          <w:sz w:val="20"/>
          <w:szCs w:val="20"/>
          <w:lang w:eastAsia="zh-HK"/>
        </w:rPr>
        <w:t>from</w:t>
      </w:r>
      <w:r>
        <w:rPr>
          <w:rFonts w:ascii="Times New Roman" w:eastAsiaTheme="minorEastAsia" w:hAnsi="Times New Roman"/>
          <w:b/>
          <w:i/>
          <w:sz w:val="20"/>
          <w:szCs w:val="20"/>
          <w:lang w:eastAsia="zh-HK"/>
        </w:rPr>
        <w:t xml:space="preserve"> financial crisis</w:t>
      </w:r>
      <w:r w:rsidRPr="00B86E32">
        <w:rPr>
          <w:rFonts w:ascii="Times New Roman" w:eastAsiaTheme="minorEastAsia" w:hAnsi="Times New Roman"/>
          <w:b/>
          <w:i/>
          <w:sz w:val="20"/>
          <w:szCs w:val="20"/>
          <w:lang w:eastAsia="zh-HK"/>
        </w:rPr>
        <w:t>?</w:t>
      </w:r>
    </w:p>
    <w:p w14:paraId="7E0ECA75" w14:textId="51B55E7F" w:rsidR="007A7907" w:rsidRDefault="00076316" w:rsidP="000704F5">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As noted in </w:t>
      </w:r>
      <w:r>
        <w:rPr>
          <w:rFonts w:ascii="Times New Roman" w:eastAsiaTheme="minorEastAsia" w:hAnsi="Times New Roman" w:hint="eastAsia"/>
          <w:sz w:val="20"/>
          <w:szCs w:val="20"/>
          <w:lang w:eastAsia="zh-TW"/>
        </w:rPr>
        <w:t>F</w:t>
      </w:r>
      <w:r>
        <w:rPr>
          <w:rFonts w:ascii="Times New Roman" w:eastAsiaTheme="minorEastAsia" w:hAnsi="Times New Roman" w:hint="eastAsia"/>
          <w:sz w:val="20"/>
          <w:szCs w:val="20"/>
          <w:lang w:eastAsia="zh-HK"/>
        </w:rPr>
        <w:t>ig</w:t>
      </w:r>
      <w:r>
        <w:rPr>
          <w:rFonts w:ascii="Times New Roman" w:eastAsiaTheme="minorEastAsia" w:hAnsi="Times New Roman"/>
          <w:sz w:val="20"/>
          <w:szCs w:val="20"/>
          <w:lang w:eastAsia="zh-HK"/>
        </w:rPr>
        <w:t xml:space="preserve">ure 1, </w:t>
      </w:r>
      <w:r w:rsidR="00202512">
        <w:rPr>
          <w:rFonts w:ascii="Times New Roman" w:eastAsiaTheme="minorEastAsia" w:hAnsi="Times New Roman"/>
          <w:sz w:val="20"/>
          <w:szCs w:val="20"/>
          <w:lang w:eastAsia="zh-HK"/>
        </w:rPr>
        <w:t>MES and SRISK</w:t>
      </w:r>
      <w:r w:rsidR="00390A4E">
        <w:rPr>
          <w:rFonts w:ascii="Times New Roman" w:eastAsiaTheme="minorEastAsia" w:hAnsi="Times New Roman"/>
          <w:sz w:val="20"/>
          <w:szCs w:val="20"/>
          <w:lang w:eastAsia="zh-HK"/>
        </w:rPr>
        <w:t xml:space="preserve"> reach</w:t>
      </w:r>
      <w:r w:rsidR="000A3CDB">
        <w:rPr>
          <w:rFonts w:ascii="Times New Roman" w:eastAsiaTheme="minorEastAsia" w:hAnsi="Times New Roman"/>
          <w:sz w:val="20"/>
          <w:szCs w:val="20"/>
          <w:lang w:eastAsia="zh-HK"/>
        </w:rPr>
        <w:t>ed</w:t>
      </w:r>
      <w:r w:rsidR="00390A4E">
        <w:rPr>
          <w:rFonts w:ascii="Times New Roman" w:eastAsiaTheme="minorEastAsia" w:hAnsi="Times New Roman"/>
          <w:sz w:val="20"/>
          <w:szCs w:val="20"/>
          <w:lang w:eastAsia="zh-HK"/>
        </w:rPr>
        <w:t xml:space="preserve"> their peak</w:t>
      </w:r>
      <w:r w:rsidR="001E20FE">
        <w:rPr>
          <w:rFonts w:ascii="Times New Roman" w:eastAsiaTheme="minorEastAsia" w:hAnsi="Times New Roman"/>
          <w:sz w:val="20"/>
          <w:szCs w:val="20"/>
          <w:lang w:eastAsia="zh-HK"/>
        </w:rPr>
        <w:t>s</w:t>
      </w:r>
      <w:r w:rsidR="00390A4E">
        <w:rPr>
          <w:rFonts w:ascii="Times New Roman" w:eastAsiaTheme="minorEastAsia" w:hAnsi="Times New Roman"/>
          <w:sz w:val="20"/>
          <w:szCs w:val="20"/>
          <w:lang w:eastAsia="zh-HK"/>
        </w:rPr>
        <w:t xml:space="preserve"> </w:t>
      </w:r>
      <w:r w:rsidR="00202512">
        <w:rPr>
          <w:rFonts w:ascii="Times New Roman" w:eastAsiaTheme="minorEastAsia" w:hAnsi="Times New Roman"/>
          <w:sz w:val="20"/>
          <w:szCs w:val="20"/>
          <w:lang w:eastAsia="zh-HK"/>
        </w:rPr>
        <w:t xml:space="preserve">while </w:t>
      </w:r>
      <w:proofErr w:type="spellStart"/>
      <w:r w:rsidR="00202512">
        <w:rPr>
          <w:rFonts w:ascii="Times New Roman" w:hAnsi="Times New Roman"/>
          <w:sz w:val="20"/>
          <w:szCs w:val="20"/>
          <w:lang w:eastAsia="zh-HK"/>
        </w:rPr>
        <w:t>Δ</w:t>
      </w:r>
      <w:r w:rsidR="00202512" w:rsidRPr="00AB37EA">
        <w:rPr>
          <w:rFonts w:ascii="Times New Roman" w:hAnsi="Times New Roman"/>
          <w:sz w:val="20"/>
          <w:szCs w:val="20"/>
          <w:lang w:eastAsia="zh-HK"/>
        </w:rPr>
        <w:t>CoVAR</w:t>
      </w:r>
      <w:proofErr w:type="spellEnd"/>
      <w:r w:rsidR="00202512">
        <w:rPr>
          <w:rFonts w:ascii="Times New Roman" w:eastAsiaTheme="minorEastAsia" w:hAnsi="Times New Roman"/>
          <w:sz w:val="20"/>
          <w:szCs w:val="20"/>
          <w:lang w:eastAsia="zh-HK"/>
        </w:rPr>
        <w:t xml:space="preserve"> reache</w:t>
      </w:r>
      <w:r w:rsidR="000A3CDB">
        <w:rPr>
          <w:rFonts w:ascii="Times New Roman" w:eastAsiaTheme="minorEastAsia" w:hAnsi="Times New Roman"/>
          <w:sz w:val="20"/>
          <w:szCs w:val="20"/>
          <w:lang w:eastAsia="zh-HK"/>
        </w:rPr>
        <w:t>d</w:t>
      </w:r>
      <w:r w:rsidR="00202512">
        <w:rPr>
          <w:rFonts w:ascii="Times New Roman" w:eastAsiaTheme="minorEastAsia" w:hAnsi="Times New Roman"/>
          <w:sz w:val="20"/>
          <w:szCs w:val="20"/>
          <w:lang w:eastAsia="zh-HK"/>
        </w:rPr>
        <w:t xml:space="preserve"> its trough </w:t>
      </w:r>
      <w:r w:rsidR="00390A4E">
        <w:rPr>
          <w:rFonts w:ascii="Times New Roman" w:eastAsiaTheme="minorEastAsia" w:hAnsi="Times New Roman"/>
          <w:sz w:val="20"/>
          <w:szCs w:val="20"/>
          <w:lang w:eastAsia="zh-HK"/>
        </w:rPr>
        <w:t>dur</w:t>
      </w:r>
      <w:r w:rsidR="00467477">
        <w:rPr>
          <w:rFonts w:ascii="Times New Roman" w:eastAsiaTheme="minorEastAsia" w:hAnsi="Times New Roman"/>
          <w:sz w:val="20"/>
          <w:szCs w:val="20"/>
          <w:lang w:eastAsia="zh-HK"/>
        </w:rPr>
        <w:t>ing the financial crisis in 2008 and 2009</w:t>
      </w:r>
      <w:r w:rsidR="00390A4E">
        <w:rPr>
          <w:rFonts w:ascii="Times New Roman" w:eastAsiaTheme="minorEastAsia" w:hAnsi="Times New Roman"/>
          <w:sz w:val="20"/>
          <w:szCs w:val="20"/>
          <w:lang w:eastAsia="zh-HK"/>
        </w:rPr>
        <w:t>.</w:t>
      </w:r>
      <w:r w:rsidR="00B14EBE">
        <w:rPr>
          <w:rFonts w:ascii="Times New Roman" w:eastAsiaTheme="minorEastAsia" w:hAnsi="Times New Roman"/>
          <w:sz w:val="20"/>
          <w:szCs w:val="20"/>
          <w:lang w:eastAsia="zh-HK"/>
        </w:rPr>
        <w:t xml:space="preserve"> Insurer’s stock returns and accounting figures also experience</w:t>
      </w:r>
      <w:r w:rsidR="000A3CDB">
        <w:rPr>
          <w:rFonts w:ascii="Times New Roman" w:eastAsiaTheme="minorEastAsia" w:hAnsi="Times New Roman"/>
          <w:sz w:val="20"/>
          <w:szCs w:val="20"/>
          <w:lang w:eastAsia="zh-HK"/>
        </w:rPr>
        <w:t>d</w:t>
      </w:r>
      <w:r w:rsidR="00B14EBE">
        <w:rPr>
          <w:rFonts w:ascii="Times New Roman" w:eastAsiaTheme="minorEastAsia" w:hAnsi="Times New Roman"/>
          <w:sz w:val="20"/>
          <w:szCs w:val="20"/>
          <w:lang w:eastAsia="zh-HK"/>
        </w:rPr>
        <w:t xml:space="preserve"> exceptionally high volatilities during such period. Hence, one may be skeptical </w:t>
      </w:r>
      <w:r w:rsidR="001E20FE">
        <w:rPr>
          <w:rFonts w:ascii="Times New Roman" w:eastAsiaTheme="minorEastAsia" w:hAnsi="Times New Roman"/>
          <w:sz w:val="20"/>
          <w:szCs w:val="20"/>
          <w:lang w:eastAsia="zh-HK"/>
        </w:rPr>
        <w:t xml:space="preserve">of </w:t>
      </w:r>
      <w:r w:rsidR="00B14EBE">
        <w:rPr>
          <w:rFonts w:ascii="Times New Roman" w:eastAsiaTheme="minorEastAsia" w:hAnsi="Times New Roman"/>
          <w:sz w:val="20"/>
          <w:szCs w:val="20"/>
          <w:lang w:eastAsia="zh-HK"/>
        </w:rPr>
        <w:t xml:space="preserve">whether our regression results are biased by the extreme systemic risk values and uncommon fluctuations in accounting figures caused by the financial crisis. </w:t>
      </w:r>
      <w:r w:rsidR="005D2445">
        <w:rPr>
          <w:rFonts w:ascii="Times New Roman" w:eastAsiaTheme="minorEastAsia" w:hAnsi="Times New Roman"/>
          <w:sz w:val="20"/>
          <w:szCs w:val="20"/>
          <w:lang w:eastAsia="zh-HK"/>
        </w:rPr>
        <w:t>To address this con</w:t>
      </w:r>
      <w:r w:rsidR="001E20FE">
        <w:rPr>
          <w:rFonts w:ascii="Times New Roman" w:eastAsiaTheme="minorEastAsia" w:hAnsi="Times New Roman"/>
          <w:sz w:val="20"/>
          <w:szCs w:val="20"/>
          <w:lang w:eastAsia="zh-HK"/>
        </w:rPr>
        <w:t xml:space="preserve">cern, we exclude the data </w:t>
      </w:r>
      <w:r w:rsidR="00241E44">
        <w:rPr>
          <w:rFonts w:ascii="Times New Roman" w:eastAsiaTheme="minorEastAsia" w:hAnsi="Times New Roman"/>
          <w:sz w:val="20"/>
          <w:szCs w:val="20"/>
          <w:lang w:eastAsia="zh-HK"/>
        </w:rPr>
        <w:t>from</w:t>
      </w:r>
      <w:r w:rsidR="005D2445">
        <w:rPr>
          <w:rFonts w:ascii="Times New Roman" w:eastAsiaTheme="minorEastAsia" w:hAnsi="Times New Roman"/>
          <w:sz w:val="20"/>
          <w:szCs w:val="20"/>
          <w:lang w:eastAsia="zh-HK"/>
        </w:rPr>
        <w:t xml:space="preserve"> financial crisis and re-perform the regression analysis in this subsection. As the National Bureau of Economic Research </w:t>
      </w:r>
      <w:r w:rsidR="007D4B3E">
        <w:rPr>
          <w:rFonts w:ascii="Times New Roman" w:eastAsiaTheme="minorEastAsia" w:hAnsi="Times New Roman"/>
          <w:sz w:val="20"/>
          <w:szCs w:val="20"/>
          <w:lang w:eastAsia="zh-HK"/>
        </w:rPr>
        <w:t xml:space="preserve">(NBER) </w:t>
      </w:r>
      <w:r w:rsidR="005D2445">
        <w:rPr>
          <w:rFonts w:ascii="Times New Roman" w:eastAsiaTheme="minorEastAsia" w:hAnsi="Times New Roman"/>
          <w:sz w:val="20"/>
          <w:szCs w:val="20"/>
          <w:lang w:eastAsia="zh-HK"/>
        </w:rPr>
        <w:t xml:space="preserve">determined the recent business cycle contraction began in </w:t>
      </w:r>
      <w:r w:rsidR="005D2445">
        <w:rPr>
          <w:rFonts w:ascii="Times New Roman" w:eastAsiaTheme="minorEastAsia" w:hAnsi="Times New Roman"/>
          <w:sz w:val="20"/>
          <w:szCs w:val="20"/>
          <w:lang w:eastAsia="zh-HK"/>
        </w:rPr>
        <w:lastRenderedPageBreak/>
        <w:t>December 2007 and ended in June 2009</w:t>
      </w:r>
      <w:r w:rsidR="007D4B3E">
        <w:rPr>
          <w:rFonts w:ascii="Times New Roman" w:eastAsiaTheme="minorEastAsia" w:hAnsi="Times New Roman"/>
          <w:sz w:val="20"/>
          <w:szCs w:val="20"/>
          <w:lang w:eastAsia="zh-HK"/>
        </w:rPr>
        <w:t xml:space="preserve"> (NBER, 2010)</w:t>
      </w:r>
      <w:r w:rsidR="005D2445">
        <w:rPr>
          <w:rFonts w:ascii="Times New Roman" w:eastAsiaTheme="minorEastAsia" w:hAnsi="Times New Roman"/>
          <w:sz w:val="20"/>
          <w:szCs w:val="20"/>
          <w:lang w:eastAsia="zh-HK"/>
        </w:rPr>
        <w:t xml:space="preserve">, we </w:t>
      </w:r>
      <w:r w:rsidR="00954C3D">
        <w:rPr>
          <w:rFonts w:ascii="Times New Roman" w:eastAsiaTheme="minorEastAsia" w:hAnsi="Times New Roman"/>
          <w:sz w:val="20"/>
          <w:szCs w:val="20"/>
          <w:lang w:eastAsia="zh-HK"/>
        </w:rPr>
        <w:t>dropped the data during this period. The regression results with the updated dataset are reported in Table VII.</w:t>
      </w:r>
    </w:p>
    <w:p w14:paraId="688199B2" w14:textId="77777777" w:rsidR="00B064F3" w:rsidRDefault="00B064F3" w:rsidP="00B064F3">
      <w:pPr>
        <w:spacing w:after="0" w:line="260" w:lineRule="exact"/>
        <w:jc w:val="both"/>
        <w:rPr>
          <w:rFonts w:ascii="Times New Roman" w:eastAsiaTheme="minorEastAsia" w:hAnsi="Times New Roman"/>
          <w:sz w:val="16"/>
          <w:szCs w:val="16"/>
          <w:lang w:eastAsia="zh-HK"/>
        </w:rPr>
      </w:pPr>
    </w:p>
    <w:p w14:paraId="4EF223D2" w14:textId="2CDE9EBB" w:rsidR="00B064F3" w:rsidRPr="00736DE5" w:rsidRDefault="00B064F3" w:rsidP="00B064F3">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w:t>
      </w:r>
      <w:r>
        <w:rPr>
          <w:rFonts w:ascii="Times New Roman" w:eastAsiaTheme="minorEastAsia" w:hAnsi="Times New Roman"/>
          <w:b/>
          <w:sz w:val="20"/>
          <w:szCs w:val="20"/>
          <w:lang w:eastAsia="zh-HK"/>
        </w:rPr>
        <w:t>Table VII</w:t>
      </w:r>
      <w:r w:rsidRPr="00B86E32">
        <w:rPr>
          <w:rFonts w:ascii="Times New Roman" w:eastAsiaTheme="minorEastAsia" w:hAnsi="Times New Roman"/>
          <w:b/>
          <w:sz w:val="20"/>
          <w:szCs w:val="20"/>
          <w:lang w:eastAsia="zh-HK"/>
        </w:rPr>
        <w:t xml:space="preserve"> inserted here]</w:t>
      </w:r>
    </w:p>
    <w:p w14:paraId="21BD0C94" w14:textId="0E396A3B" w:rsidR="0065218D" w:rsidRDefault="0065218D" w:rsidP="0065218D">
      <w:pPr>
        <w:spacing w:after="0" w:line="260" w:lineRule="exact"/>
        <w:jc w:val="both"/>
        <w:rPr>
          <w:rFonts w:ascii="Times New Roman" w:eastAsiaTheme="minorEastAsia" w:hAnsi="Times New Roman"/>
          <w:sz w:val="20"/>
          <w:szCs w:val="20"/>
          <w:lang w:eastAsia="zh-HK"/>
        </w:rPr>
      </w:pPr>
    </w:p>
    <w:p w14:paraId="4BAD01AB" w14:textId="21A5CA6E" w:rsidR="003B5AFD" w:rsidRPr="00D52D01" w:rsidRDefault="003B5AFD" w:rsidP="0065218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 xml:space="preserve">Column 1, 2, and 3 report the </w:t>
      </w:r>
      <w:r>
        <w:rPr>
          <w:rFonts w:ascii="Times New Roman" w:eastAsiaTheme="minorEastAsia" w:hAnsi="Times New Roman"/>
          <w:sz w:val="20"/>
          <w:szCs w:val="20"/>
          <w:lang w:eastAsia="zh-HK"/>
        </w:rPr>
        <w:t>estimated</w:t>
      </w:r>
      <w:r>
        <w:rPr>
          <w:rFonts w:ascii="Times New Roman" w:eastAsiaTheme="minorEastAsia" w:hAnsi="Times New Roman" w:hint="eastAsia"/>
          <w:sz w:val="20"/>
          <w:szCs w:val="20"/>
          <w:lang w:eastAsia="zh-HK"/>
        </w:rPr>
        <w:t xml:space="preserve"> </w:t>
      </w:r>
      <w:r>
        <w:rPr>
          <w:rFonts w:ascii="Times New Roman" w:eastAsiaTheme="minorEastAsia" w:hAnsi="Times New Roman"/>
          <w:sz w:val="20"/>
          <w:szCs w:val="20"/>
          <w:lang w:eastAsia="zh-HK"/>
        </w:rPr>
        <w:t>coefficients of regressions with the data</w:t>
      </w:r>
      <w:r w:rsidR="00742288">
        <w:rPr>
          <w:rFonts w:ascii="Times New Roman" w:eastAsiaTheme="minorEastAsia" w:hAnsi="Times New Roman"/>
          <w:sz w:val="20"/>
          <w:szCs w:val="20"/>
          <w:lang w:eastAsia="zh-HK"/>
        </w:rPr>
        <w:t xml:space="preserve">set excluding </w:t>
      </w:r>
      <w:r w:rsidR="00AC39D8">
        <w:rPr>
          <w:rFonts w:ascii="Times New Roman" w:eastAsiaTheme="minorEastAsia" w:hAnsi="Times New Roman"/>
          <w:sz w:val="20"/>
          <w:szCs w:val="20"/>
          <w:lang w:eastAsia="zh-HK"/>
        </w:rPr>
        <w:t xml:space="preserve">data from </w:t>
      </w:r>
      <w:r>
        <w:rPr>
          <w:rFonts w:ascii="Times New Roman" w:eastAsiaTheme="minorEastAsia" w:hAnsi="Times New Roman"/>
          <w:sz w:val="20"/>
          <w:szCs w:val="20"/>
          <w:lang w:eastAsia="zh-HK"/>
        </w:rPr>
        <w:t>financial crisis.</w:t>
      </w:r>
      <w:r w:rsidR="00742288">
        <w:rPr>
          <w:rFonts w:ascii="Times New Roman" w:eastAsiaTheme="minorEastAsia" w:hAnsi="Times New Roman"/>
          <w:sz w:val="20"/>
          <w:szCs w:val="20"/>
          <w:lang w:eastAsia="zh-HK"/>
        </w:rPr>
        <w:t xml:space="preserve"> </w:t>
      </w:r>
      <w:r w:rsidR="00D52D01">
        <w:rPr>
          <w:rFonts w:ascii="Times New Roman" w:eastAsiaTheme="minorEastAsia" w:hAnsi="Times New Roman"/>
          <w:sz w:val="20"/>
          <w:szCs w:val="20"/>
          <w:lang w:eastAsia="zh-HK"/>
        </w:rPr>
        <w:t xml:space="preserve">The estimated coefficients for the interaction term </w:t>
      </w:r>
      <w:r w:rsidR="00D52D01" w:rsidRPr="00E64B2B">
        <w:rPr>
          <w:rFonts w:ascii="Times New Roman" w:hAnsi="Times New Roman"/>
          <w:i/>
          <w:sz w:val="20"/>
          <w:szCs w:val="20"/>
          <w:lang w:eastAsia="zh-HK"/>
        </w:rPr>
        <w:t>Policy x GSII</w:t>
      </w:r>
      <w:r w:rsidR="00D52D01">
        <w:rPr>
          <w:rFonts w:ascii="Times New Roman" w:hAnsi="Times New Roman"/>
          <w:sz w:val="20"/>
          <w:szCs w:val="20"/>
          <w:lang w:eastAsia="zh-HK"/>
        </w:rPr>
        <w:t xml:space="preserve"> are significant for all the regressions, except that the estimated magnitude of systemic risk reduction due to the new regulation is slightly smaller than that of the baseline regression reported in Table V. This is not unexpected as the average systemic risks of G-SIIs before regulation become smaller if we drop the data </w:t>
      </w:r>
      <w:r w:rsidR="0086189C">
        <w:rPr>
          <w:rFonts w:ascii="Times New Roman" w:hAnsi="Times New Roman"/>
          <w:sz w:val="20"/>
          <w:szCs w:val="20"/>
          <w:lang w:eastAsia="zh-HK"/>
        </w:rPr>
        <w:t>from</w:t>
      </w:r>
      <w:r w:rsidR="00D52D01">
        <w:rPr>
          <w:rFonts w:ascii="Times New Roman" w:hAnsi="Times New Roman"/>
          <w:sz w:val="20"/>
          <w:szCs w:val="20"/>
          <w:lang w:eastAsia="zh-HK"/>
        </w:rPr>
        <w:t xml:space="preserve"> financial crisis. Taken together, we conclude that the new regulation is still effective in reducing systemic risks of G-SIIs even if we exclude the data </w:t>
      </w:r>
      <w:r w:rsidR="002556A1">
        <w:rPr>
          <w:rFonts w:ascii="Times New Roman" w:hAnsi="Times New Roman"/>
          <w:sz w:val="20"/>
          <w:szCs w:val="20"/>
          <w:lang w:eastAsia="zh-HK"/>
        </w:rPr>
        <w:t>from</w:t>
      </w:r>
      <w:r w:rsidR="00D52D01">
        <w:rPr>
          <w:rFonts w:ascii="Times New Roman" w:hAnsi="Times New Roman"/>
          <w:sz w:val="20"/>
          <w:szCs w:val="20"/>
          <w:lang w:eastAsia="zh-HK"/>
        </w:rPr>
        <w:t xml:space="preserve"> financial crisis.</w:t>
      </w:r>
    </w:p>
    <w:p w14:paraId="0038B9A9" w14:textId="77777777" w:rsidR="007D3BF8" w:rsidRPr="00B86E32" w:rsidRDefault="007D3BF8" w:rsidP="007D3BF8">
      <w:pPr>
        <w:spacing w:after="0" w:line="260" w:lineRule="exact"/>
        <w:jc w:val="both"/>
        <w:rPr>
          <w:rFonts w:ascii="Times New Roman" w:eastAsiaTheme="minorEastAsia" w:hAnsi="Times New Roman"/>
          <w:sz w:val="20"/>
          <w:szCs w:val="20"/>
          <w:lang w:eastAsia="zh-HK"/>
        </w:rPr>
      </w:pPr>
    </w:p>
    <w:p w14:paraId="1B373DF9" w14:textId="7151E5D0" w:rsidR="007D3BF8" w:rsidRPr="00B86E32" w:rsidRDefault="00696C24" w:rsidP="007D3BF8">
      <w:pPr>
        <w:pStyle w:val="ListParagraph"/>
        <w:numPr>
          <w:ilvl w:val="1"/>
          <w:numId w:val="1"/>
        </w:numPr>
        <w:spacing w:after="0" w:line="240" w:lineRule="auto"/>
        <w:ind w:leftChars="0" w:left="0" w:firstLine="0"/>
        <w:jc w:val="both"/>
        <w:rPr>
          <w:rFonts w:ascii="Times New Roman" w:eastAsiaTheme="minorEastAsia" w:hAnsi="Times New Roman"/>
          <w:b/>
          <w:i/>
          <w:sz w:val="20"/>
          <w:szCs w:val="20"/>
          <w:lang w:eastAsia="zh-HK"/>
        </w:rPr>
      </w:pPr>
      <w:r>
        <w:rPr>
          <w:rFonts w:ascii="Times New Roman" w:eastAsiaTheme="minorEastAsia" w:hAnsi="Times New Roman"/>
          <w:b/>
          <w:i/>
          <w:sz w:val="20"/>
          <w:szCs w:val="20"/>
          <w:lang w:eastAsia="zh-HK"/>
        </w:rPr>
        <w:t>Were</w:t>
      </w:r>
      <w:r w:rsidR="008767D4">
        <w:rPr>
          <w:rFonts w:ascii="Times New Roman" w:eastAsiaTheme="minorEastAsia" w:hAnsi="Times New Roman"/>
          <w:b/>
          <w:i/>
          <w:sz w:val="20"/>
          <w:szCs w:val="20"/>
          <w:lang w:eastAsia="zh-HK"/>
        </w:rPr>
        <w:t xml:space="preserve"> </w:t>
      </w:r>
      <w:r>
        <w:rPr>
          <w:rFonts w:ascii="Times New Roman" w:eastAsiaTheme="minorEastAsia" w:hAnsi="Times New Roman"/>
          <w:b/>
          <w:i/>
          <w:sz w:val="20"/>
          <w:szCs w:val="20"/>
          <w:lang w:eastAsia="zh-HK"/>
        </w:rPr>
        <w:t xml:space="preserve">G-SIIs aware of their </w:t>
      </w:r>
      <w:r w:rsidR="008767D4">
        <w:rPr>
          <w:rFonts w:ascii="Times New Roman" w:eastAsiaTheme="minorEastAsia" w:hAnsi="Times New Roman"/>
          <w:b/>
          <w:i/>
          <w:sz w:val="20"/>
          <w:szCs w:val="20"/>
          <w:lang w:eastAsia="zh-HK"/>
        </w:rPr>
        <w:t>designation before July 2013</w:t>
      </w:r>
      <w:r w:rsidR="007D3BF8" w:rsidRPr="00B86E32">
        <w:rPr>
          <w:rFonts w:ascii="Times New Roman" w:eastAsiaTheme="minorEastAsia" w:hAnsi="Times New Roman"/>
          <w:b/>
          <w:i/>
          <w:sz w:val="20"/>
          <w:szCs w:val="20"/>
          <w:lang w:eastAsia="zh-HK"/>
        </w:rPr>
        <w:t>?</w:t>
      </w:r>
    </w:p>
    <w:p w14:paraId="06E6BCDD" w14:textId="04FAB5BF" w:rsidR="007D3BF8" w:rsidRDefault="007D3BF8" w:rsidP="0065218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As the first G-SII designation was made by the FSB in July 2013, one may be skeptical that insurers were not aware of their G-SII status and therefore, they were not motivated </w:t>
      </w:r>
      <w:r w:rsidR="00B040A0">
        <w:rPr>
          <w:rFonts w:ascii="Times New Roman" w:eastAsiaTheme="minorEastAsia" w:hAnsi="Times New Roman"/>
          <w:sz w:val="20"/>
          <w:szCs w:val="20"/>
          <w:lang w:eastAsia="zh-HK"/>
        </w:rPr>
        <w:t xml:space="preserve">to </w:t>
      </w:r>
      <w:r w:rsidR="00967757">
        <w:rPr>
          <w:rFonts w:ascii="Times New Roman" w:eastAsiaTheme="minorEastAsia" w:hAnsi="Times New Roman"/>
          <w:sz w:val="20"/>
          <w:szCs w:val="20"/>
          <w:lang w:eastAsia="zh-HK"/>
        </w:rPr>
        <w:t>change their risk-taking behaviors</w:t>
      </w:r>
      <w:r w:rsidR="00B040A0">
        <w:rPr>
          <w:rFonts w:ascii="Times New Roman" w:eastAsiaTheme="minorEastAsia" w:hAnsi="Times New Roman"/>
          <w:sz w:val="20"/>
          <w:szCs w:val="20"/>
          <w:lang w:eastAsia="zh-HK"/>
        </w:rPr>
        <w:t xml:space="preserve"> from</w:t>
      </w:r>
      <w:r>
        <w:rPr>
          <w:rFonts w:ascii="Times New Roman" w:eastAsiaTheme="minorEastAsia" w:hAnsi="Times New Roman"/>
          <w:sz w:val="20"/>
          <w:szCs w:val="20"/>
          <w:lang w:eastAsia="zh-HK"/>
        </w:rPr>
        <w:t xml:space="preserve"> 2012 Q1 </w:t>
      </w:r>
      <w:r w:rsidR="00B040A0">
        <w:rPr>
          <w:rFonts w:ascii="Times New Roman" w:eastAsiaTheme="minorEastAsia" w:hAnsi="Times New Roman"/>
          <w:sz w:val="20"/>
          <w:szCs w:val="20"/>
          <w:lang w:eastAsia="zh-HK"/>
        </w:rPr>
        <w:t>to</w:t>
      </w:r>
      <w:r>
        <w:rPr>
          <w:rFonts w:ascii="Times New Roman" w:eastAsiaTheme="minorEastAsia" w:hAnsi="Times New Roman"/>
          <w:sz w:val="20"/>
          <w:szCs w:val="20"/>
          <w:lang w:eastAsia="zh-HK"/>
        </w:rPr>
        <w:t xml:space="preserve"> 2013 Q2</w:t>
      </w:r>
      <w:r w:rsidR="00F448A7">
        <w:rPr>
          <w:rFonts w:ascii="Times New Roman" w:eastAsiaTheme="minorEastAsia" w:hAnsi="Times New Roman"/>
          <w:sz w:val="20"/>
          <w:szCs w:val="20"/>
          <w:lang w:eastAsia="zh-HK"/>
        </w:rPr>
        <w:t xml:space="preserve"> and our </w:t>
      </w:r>
      <w:r w:rsidR="00F448A7" w:rsidRPr="00F448A7">
        <w:rPr>
          <w:rFonts w:ascii="Times New Roman" w:eastAsiaTheme="minorEastAsia" w:hAnsi="Times New Roman"/>
          <w:i/>
          <w:sz w:val="20"/>
          <w:szCs w:val="20"/>
          <w:lang w:eastAsia="zh-HK"/>
        </w:rPr>
        <w:t>Policy</w:t>
      </w:r>
      <w:r w:rsidR="00F448A7">
        <w:rPr>
          <w:rFonts w:ascii="Times New Roman" w:eastAsiaTheme="minorEastAsia" w:hAnsi="Times New Roman"/>
          <w:sz w:val="20"/>
          <w:szCs w:val="20"/>
          <w:lang w:eastAsia="zh-HK"/>
        </w:rPr>
        <w:t xml:space="preserve"> dummy is not defined accurately</w:t>
      </w:r>
      <w:r>
        <w:rPr>
          <w:rFonts w:ascii="Times New Roman" w:eastAsiaTheme="minorEastAsia" w:hAnsi="Times New Roman"/>
          <w:sz w:val="20"/>
          <w:szCs w:val="20"/>
          <w:lang w:eastAsia="zh-HK"/>
        </w:rPr>
        <w:t>. We argue that the media revealed the identities of some G-SIIs from a leak of FSB’s potential G-SII list as early as November 2009 (Jenkins and Davies, 2009)</w:t>
      </w:r>
      <w:r w:rsidR="00AC7A98">
        <w:rPr>
          <w:rFonts w:ascii="Times New Roman" w:eastAsiaTheme="minorEastAsia" w:hAnsi="Times New Roman"/>
          <w:sz w:val="20"/>
          <w:szCs w:val="20"/>
          <w:lang w:eastAsia="zh-HK"/>
        </w:rPr>
        <w:t xml:space="preserve"> and hence, some insurers were aware of their potential designation w</w:t>
      </w:r>
      <w:r w:rsidR="001C0879">
        <w:rPr>
          <w:rFonts w:ascii="Times New Roman" w:eastAsiaTheme="minorEastAsia" w:hAnsi="Times New Roman"/>
          <w:sz w:val="20"/>
          <w:szCs w:val="20"/>
          <w:lang w:eastAsia="zh-HK"/>
        </w:rPr>
        <w:t>ay</w:t>
      </w:r>
      <w:r w:rsidR="00AC7A98">
        <w:rPr>
          <w:rFonts w:ascii="Times New Roman" w:eastAsiaTheme="minorEastAsia" w:hAnsi="Times New Roman"/>
          <w:sz w:val="20"/>
          <w:szCs w:val="20"/>
          <w:lang w:eastAsia="zh-HK"/>
        </w:rPr>
        <w:t xml:space="preserve"> before July 2013</w:t>
      </w:r>
      <w:r>
        <w:rPr>
          <w:rFonts w:ascii="Times New Roman" w:eastAsiaTheme="minorEastAsia" w:hAnsi="Times New Roman"/>
          <w:sz w:val="20"/>
          <w:szCs w:val="20"/>
          <w:lang w:eastAsia="zh-HK"/>
        </w:rPr>
        <w:t xml:space="preserve">. </w:t>
      </w:r>
      <w:r w:rsidR="00AC7A98">
        <w:rPr>
          <w:rFonts w:ascii="Times New Roman" w:eastAsiaTheme="minorEastAsia" w:hAnsi="Times New Roman"/>
          <w:sz w:val="20"/>
          <w:szCs w:val="20"/>
          <w:lang w:eastAsia="zh-HK"/>
        </w:rPr>
        <w:t>In addition, t</w:t>
      </w:r>
      <w:r>
        <w:rPr>
          <w:rFonts w:ascii="Times New Roman" w:eastAsiaTheme="minorEastAsia" w:hAnsi="Times New Roman"/>
          <w:sz w:val="20"/>
          <w:szCs w:val="20"/>
          <w:lang w:eastAsia="zh-HK"/>
        </w:rPr>
        <w:t xml:space="preserve">he IAIS conducted field tests and requested information from several selected insurers </w:t>
      </w:r>
      <w:r w:rsidR="00FE647D">
        <w:rPr>
          <w:rFonts w:ascii="Times New Roman" w:eastAsiaTheme="minorEastAsia" w:hAnsi="Times New Roman"/>
          <w:sz w:val="20"/>
          <w:szCs w:val="20"/>
          <w:lang w:eastAsia="zh-HK"/>
        </w:rPr>
        <w:t>for the purpose</w:t>
      </w:r>
      <w:r w:rsidR="001C0879">
        <w:rPr>
          <w:rFonts w:ascii="Times New Roman" w:eastAsiaTheme="minorEastAsia" w:hAnsi="Times New Roman"/>
          <w:sz w:val="20"/>
          <w:szCs w:val="20"/>
          <w:lang w:eastAsia="zh-HK"/>
        </w:rPr>
        <w:t xml:space="preserve"> of G-SII identification</w:t>
      </w:r>
      <w:r w:rsidR="00D32F24">
        <w:rPr>
          <w:rFonts w:ascii="Times New Roman" w:eastAsiaTheme="minorEastAsia" w:hAnsi="Times New Roman"/>
          <w:sz w:val="20"/>
          <w:szCs w:val="20"/>
          <w:lang w:eastAsia="zh-HK"/>
        </w:rPr>
        <w:t xml:space="preserve"> way before the formal designation in July 2013</w:t>
      </w:r>
      <w:r>
        <w:rPr>
          <w:rFonts w:ascii="Times New Roman" w:eastAsiaTheme="minorEastAsia" w:hAnsi="Times New Roman"/>
          <w:sz w:val="20"/>
          <w:szCs w:val="20"/>
          <w:lang w:eastAsia="zh-HK"/>
        </w:rPr>
        <w:t>.</w:t>
      </w:r>
      <w:r w:rsidR="001C0879">
        <w:rPr>
          <w:rFonts w:ascii="Times New Roman" w:eastAsiaTheme="minorEastAsia" w:hAnsi="Times New Roman"/>
          <w:sz w:val="20"/>
          <w:szCs w:val="20"/>
          <w:lang w:eastAsia="zh-HK"/>
        </w:rPr>
        <w:t xml:space="preserve"> The selected insurers should have an educated guess of their likelihood of being designated as G-SIIs.</w:t>
      </w:r>
      <w:r w:rsidR="009C60D5">
        <w:rPr>
          <w:rFonts w:ascii="Times New Roman" w:eastAsiaTheme="minorEastAsia" w:hAnsi="Times New Roman"/>
          <w:sz w:val="20"/>
          <w:szCs w:val="20"/>
          <w:lang w:eastAsia="zh-HK"/>
        </w:rPr>
        <w:t xml:space="preserve"> Nevertheless, </w:t>
      </w:r>
      <w:r w:rsidR="00FE647D">
        <w:rPr>
          <w:rFonts w:ascii="Times New Roman" w:eastAsiaTheme="minorEastAsia" w:hAnsi="Times New Roman"/>
          <w:sz w:val="20"/>
          <w:szCs w:val="20"/>
          <w:lang w:eastAsia="zh-HK"/>
        </w:rPr>
        <w:t xml:space="preserve">to cast doubt on whether our </w:t>
      </w:r>
      <w:r w:rsidR="00FE647D" w:rsidRPr="009C60D5">
        <w:rPr>
          <w:rFonts w:ascii="Times New Roman" w:eastAsiaTheme="minorEastAsia" w:hAnsi="Times New Roman"/>
          <w:i/>
          <w:sz w:val="20"/>
          <w:szCs w:val="20"/>
          <w:lang w:eastAsia="zh-HK"/>
        </w:rPr>
        <w:t>Policy</w:t>
      </w:r>
      <w:r w:rsidR="00FE647D">
        <w:rPr>
          <w:rFonts w:ascii="Times New Roman" w:eastAsiaTheme="minorEastAsia" w:hAnsi="Times New Roman"/>
          <w:sz w:val="20"/>
          <w:szCs w:val="20"/>
          <w:lang w:eastAsia="zh-HK"/>
        </w:rPr>
        <w:t xml:space="preserve"> dummy</w:t>
      </w:r>
      <w:r w:rsidR="00F448A7">
        <w:rPr>
          <w:rFonts w:ascii="Times New Roman" w:eastAsiaTheme="minorEastAsia" w:hAnsi="Times New Roman"/>
          <w:sz w:val="20"/>
          <w:szCs w:val="20"/>
          <w:lang w:eastAsia="zh-HK"/>
        </w:rPr>
        <w:t xml:space="preserve"> is defined accurately</w:t>
      </w:r>
      <w:r w:rsidR="00FE647D">
        <w:rPr>
          <w:rFonts w:ascii="Times New Roman" w:eastAsiaTheme="minorEastAsia" w:hAnsi="Times New Roman"/>
          <w:sz w:val="20"/>
          <w:szCs w:val="20"/>
          <w:lang w:eastAsia="zh-HK"/>
        </w:rPr>
        <w:t xml:space="preserve">, </w:t>
      </w:r>
      <w:r w:rsidR="009C60D5">
        <w:rPr>
          <w:rFonts w:ascii="Times New Roman" w:eastAsiaTheme="minorEastAsia" w:hAnsi="Times New Roman"/>
          <w:sz w:val="20"/>
          <w:szCs w:val="20"/>
          <w:lang w:eastAsia="zh-HK"/>
        </w:rPr>
        <w:t>we change the time period of the dummy from 2012 Q1 – 2015 Q4 to 2013 Q</w:t>
      </w:r>
      <w:r w:rsidR="00B040A0">
        <w:rPr>
          <w:rFonts w:ascii="Times New Roman" w:eastAsiaTheme="minorEastAsia" w:hAnsi="Times New Roman"/>
          <w:sz w:val="20"/>
          <w:szCs w:val="20"/>
          <w:lang w:eastAsia="zh-HK"/>
        </w:rPr>
        <w:t>4</w:t>
      </w:r>
      <w:r w:rsidR="009C60D5">
        <w:rPr>
          <w:rFonts w:ascii="Times New Roman" w:eastAsiaTheme="minorEastAsia" w:hAnsi="Times New Roman"/>
          <w:sz w:val="20"/>
          <w:szCs w:val="20"/>
          <w:lang w:eastAsia="zh-HK"/>
        </w:rPr>
        <w:t xml:space="preserve"> – 2015 Q4</w:t>
      </w:r>
      <w:r w:rsidR="00FE647D">
        <w:rPr>
          <w:rFonts w:ascii="Times New Roman" w:eastAsiaTheme="minorEastAsia" w:hAnsi="Times New Roman"/>
          <w:sz w:val="20"/>
          <w:szCs w:val="20"/>
          <w:lang w:eastAsia="zh-HK"/>
        </w:rPr>
        <w:t xml:space="preserve"> </w:t>
      </w:r>
      <w:r w:rsidR="00F448A7">
        <w:rPr>
          <w:rFonts w:ascii="Times New Roman" w:eastAsiaTheme="minorEastAsia" w:hAnsi="Times New Roman"/>
          <w:sz w:val="20"/>
          <w:szCs w:val="20"/>
          <w:lang w:eastAsia="zh-HK"/>
        </w:rPr>
        <w:t xml:space="preserve">to ensure that all G-SIIs were </w:t>
      </w:r>
      <w:r w:rsidR="00516A9F">
        <w:rPr>
          <w:rFonts w:ascii="Times New Roman" w:eastAsiaTheme="minorEastAsia" w:hAnsi="Times New Roman"/>
          <w:sz w:val="20"/>
          <w:szCs w:val="20"/>
          <w:lang w:eastAsia="zh-HK"/>
        </w:rPr>
        <w:t>certain</w:t>
      </w:r>
      <w:r w:rsidR="00F448A7">
        <w:rPr>
          <w:rFonts w:ascii="Times New Roman" w:eastAsiaTheme="minorEastAsia" w:hAnsi="Times New Roman"/>
          <w:sz w:val="20"/>
          <w:szCs w:val="20"/>
          <w:lang w:eastAsia="zh-HK"/>
        </w:rPr>
        <w:t xml:space="preserve"> of their designation in the revised time period. We then </w:t>
      </w:r>
      <w:r w:rsidR="009C60D5">
        <w:rPr>
          <w:rFonts w:ascii="Times New Roman" w:eastAsiaTheme="minorEastAsia" w:hAnsi="Times New Roman"/>
          <w:sz w:val="20"/>
          <w:szCs w:val="20"/>
          <w:lang w:eastAsia="zh-HK"/>
        </w:rPr>
        <w:t xml:space="preserve">repeat the regression analysis </w:t>
      </w:r>
      <w:r w:rsidR="00F448A7">
        <w:rPr>
          <w:rFonts w:ascii="Times New Roman" w:eastAsiaTheme="minorEastAsia" w:hAnsi="Times New Roman"/>
          <w:sz w:val="20"/>
          <w:szCs w:val="20"/>
          <w:lang w:eastAsia="zh-HK"/>
        </w:rPr>
        <w:t xml:space="preserve">with the revised </w:t>
      </w:r>
      <w:r w:rsidR="00F448A7" w:rsidRPr="00F448A7">
        <w:rPr>
          <w:rFonts w:ascii="Times New Roman" w:eastAsiaTheme="minorEastAsia" w:hAnsi="Times New Roman"/>
          <w:i/>
          <w:sz w:val="20"/>
          <w:szCs w:val="20"/>
          <w:lang w:eastAsia="zh-HK"/>
        </w:rPr>
        <w:t>Policy</w:t>
      </w:r>
      <w:r w:rsidR="00F448A7">
        <w:rPr>
          <w:rFonts w:ascii="Times New Roman" w:eastAsiaTheme="minorEastAsia" w:hAnsi="Times New Roman"/>
          <w:sz w:val="20"/>
          <w:szCs w:val="20"/>
          <w:lang w:eastAsia="zh-HK"/>
        </w:rPr>
        <w:t xml:space="preserve"> dummy </w:t>
      </w:r>
      <w:r w:rsidR="009C60D5">
        <w:rPr>
          <w:rFonts w:ascii="Times New Roman" w:eastAsiaTheme="minorEastAsia" w:hAnsi="Times New Roman"/>
          <w:sz w:val="20"/>
          <w:szCs w:val="20"/>
          <w:lang w:eastAsia="zh-HK"/>
        </w:rPr>
        <w:t xml:space="preserve">in this subsection. The results are reported in </w:t>
      </w:r>
      <w:r w:rsidR="009C60D5">
        <w:rPr>
          <w:rFonts w:ascii="Times New Roman" w:eastAsiaTheme="minorEastAsia" w:hAnsi="Times New Roman" w:hint="eastAsia"/>
          <w:sz w:val="20"/>
          <w:szCs w:val="20"/>
          <w:lang w:eastAsia="zh-TW"/>
        </w:rPr>
        <w:t>T</w:t>
      </w:r>
      <w:r w:rsidR="009C60D5">
        <w:rPr>
          <w:rFonts w:ascii="Times New Roman" w:eastAsiaTheme="minorEastAsia" w:hAnsi="Times New Roman" w:hint="eastAsia"/>
          <w:sz w:val="20"/>
          <w:szCs w:val="20"/>
          <w:lang w:eastAsia="zh-HK"/>
        </w:rPr>
        <w:t>a</w:t>
      </w:r>
      <w:r w:rsidR="009C60D5">
        <w:rPr>
          <w:rFonts w:ascii="Times New Roman" w:eastAsiaTheme="minorEastAsia" w:hAnsi="Times New Roman"/>
          <w:sz w:val="20"/>
          <w:szCs w:val="20"/>
          <w:lang w:eastAsia="zh-HK"/>
        </w:rPr>
        <w:t>ble VIII.</w:t>
      </w:r>
    </w:p>
    <w:p w14:paraId="7E8DA0FF" w14:textId="77777777" w:rsidR="00F448A7" w:rsidRDefault="00F448A7" w:rsidP="00F448A7">
      <w:pPr>
        <w:spacing w:after="0" w:line="260" w:lineRule="exact"/>
        <w:jc w:val="both"/>
        <w:rPr>
          <w:rFonts w:ascii="Times New Roman" w:eastAsiaTheme="minorEastAsia" w:hAnsi="Times New Roman"/>
          <w:sz w:val="16"/>
          <w:szCs w:val="16"/>
          <w:lang w:eastAsia="zh-HK"/>
        </w:rPr>
      </w:pPr>
    </w:p>
    <w:p w14:paraId="1A665126" w14:textId="59B2C1BA" w:rsidR="00F448A7" w:rsidRPr="00736DE5" w:rsidRDefault="00F448A7" w:rsidP="00F448A7">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w:t>
      </w:r>
      <w:r>
        <w:rPr>
          <w:rFonts w:ascii="Times New Roman" w:eastAsiaTheme="minorEastAsia" w:hAnsi="Times New Roman"/>
          <w:b/>
          <w:sz w:val="20"/>
          <w:szCs w:val="20"/>
          <w:lang w:eastAsia="zh-HK"/>
        </w:rPr>
        <w:t>Table VI</w:t>
      </w:r>
      <w:r w:rsidR="008002D2">
        <w:rPr>
          <w:rFonts w:ascii="Times New Roman" w:eastAsiaTheme="minorEastAsia" w:hAnsi="Times New Roman"/>
          <w:b/>
          <w:sz w:val="20"/>
          <w:szCs w:val="20"/>
          <w:lang w:eastAsia="zh-HK"/>
        </w:rPr>
        <w:t>I</w:t>
      </w:r>
      <w:r>
        <w:rPr>
          <w:rFonts w:ascii="Times New Roman" w:eastAsiaTheme="minorEastAsia" w:hAnsi="Times New Roman"/>
          <w:b/>
          <w:sz w:val="20"/>
          <w:szCs w:val="20"/>
          <w:lang w:eastAsia="zh-HK"/>
        </w:rPr>
        <w:t>I</w:t>
      </w:r>
      <w:r w:rsidRPr="00B86E32">
        <w:rPr>
          <w:rFonts w:ascii="Times New Roman" w:eastAsiaTheme="minorEastAsia" w:hAnsi="Times New Roman"/>
          <w:b/>
          <w:sz w:val="20"/>
          <w:szCs w:val="20"/>
          <w:lang w:eastAsia="zh-HK"/>
        </w:rPr>
        <w:t xml:space="preserve"> inserted here]</w:t>
      </w:r>
    </w:p>
    <w:p w14:paraId="6243D1AE" w14:textId="2F214D2C" w:rsidR="00F448A7" w:rsidRDefault="00F448A7" w:rsidP="00F448A7">
      <w:pPr>
        <w:spacing w:after="0" w:line="260" w:lineRule="exact"/>
        <w:jc w:val="both"/>
        <w:rPr>
          <w:rFonts w:ascii="Times New Roman" w:eastAsiaTheme="minorEastAsia" w:hAnsi="Times New Roman"/>
          <w:sz w:val="20"/>
          <w:szCs w:val="20"/>
          <w:lang w:eastAsia="zh-HK"/>
        </w:rPr>
      </w:pPr>
    </w:p>
    <w:p w14:paraId="2B9A5FF6" w14:textId="5E14CBB6" w:rsidR="00516A9F" w:rsidRPr="00516A9F" w:rsidRDefault="00516A9F" w:rsidP="00F448A7">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 xml:space="preserve">Column 1, 2 and 3 report the regression results with the revised </w:t>
      </w:r>
      <w:r w:rsidRPr="00F448A7">
        <w:rPr>
          <w:rFonts w:ascii="Times New Roman" w:eastAsiaTheme="minorEastAsia" w:hAnsi="Times New Roman"/>
          <w:i/>
          <w:sz w:val="20"/>
          <w:szCs w:val="20"/>
          <w:lang w:eastAsia="zh-HK"/>
        </w:rPr>
        <w:t>Policy</w:t>
      </w:r>
      <w:r>
        <w:rPr>
          <w:rFonts w:ascii="Times New Roman" w:eastAsiaTheme="minorEastAsia" w:hAnsi="Times New Roman"/>
          <w:sz w:val="20"/>
          <w:szCs w:val="20"/>
          <w:lang w:eastAsia="zh-HK"/>
        </w:rPr>
        <w:t xml:space="preserve"> dummy. The estimated coefficients for the interaction term</w:t>
      </w:r>
      <w:r w:rsidRPr="00516A9F">
        <w:rPr>
          <w:rFonts w:ascii="Times New Roman" w:hAnsi="Times New Roman"/>
          <w:i/>
          <w:sz w:val="20"/>
          <w:szCs w:val="20"/>
          <w:lang w:eastAsia="zh-HK"/>
        </w:rPr>
        <w:t xml:space="preserve"> </w:t>
      </w:r>
      <w:r w:rsidRPr="00E64B2B">
        <w:rPr>
          <w:rFonts w:ascii="Times New Roman" w:hAnsi="Times New Roman"/>
          <w:i/>
          <w:sz w:val="20"/>
          <w:szCs w:val="20"/>
          <w:lang w:eastAsia="zh-HK"/>
        </w:rPr>
        <w:t>Policy x GSII</w:t>
      </w:r>
      <w:r>
        <w:rPr>
          <w:rFonts w:ascii="Times New Roman" w:hAnsi="Times New Roman"/>
          <w:i/>
          <w:sz w:val="20"/>
          <w:szCs w:val="20"/>
          <w:lang w:eastAsia="zh-HK"/>
        </w:rPr>
        <w:t xml:space="preserve"> </w:t>
      </w:r>
      <w:r>
        <w:rPr>
          <w:rFonts w:ascii="Times New Roman" w:hAnsi="Times New Roman"/>
          <w:sz w:val="20"/>
          <w:szCs w:val="20"/>
          <w:lang w:eastAsia="zh-HK"/>
        </w:rPr>
        <w:t xml:space="preserve">in Table VIII are very similar to those reported in Table V, both in terms of magnitude and statistical significance. </w:t>
      </w:r>
      <w:r w:rsidR="003B5796">
        <w:rPr>
          <w:rFonts w:ascii="Times New Roman" w:hAnsi="Times New Roman"/>
          <w:sz w:val="20"/>
          <w:szCs w:val="20"/>
          <w:lang w:eastAsia="zh-HK"/>
        </w:rPr>
        <w:t xml:space="preserve">The results suggest that our conclusion about the effectiveness of the new regulation remains unchanged even if we revise the time period of </w:t>
      </w:r>
      <w:r w:rsidR="003B5796" w:rsidRPr="00F448A7">
        <w:rPr>
          <w:rFonts w:ascii="Times New Roman" w:eastAsiaTheme="minorEastAsia" w:hAnsi="Times New Roman"/>
          <w:i/>
          <w:sz w:val="20"/>
          <w:szCs w:val="20"/>
          <w:lang w:eastAsia="zh-HK"/>
        </w:rPr>
        <w:t>Policy</w:t>
      </w:r>
      <w:r w:rsidR="003B5796">
        <w:rPr>
          <w:rFonts w:ascii="Times New Roman" w:eastAsiaTheme="minorEastAsia" w:hAnsi="Times New Roman"/>
          <w:sz w:val="20"/>
          <w:szCs w:val="20"/>
          <w:lang w:eastAsia="zh-HK"/>
        </w:rPr>
        <w:t xml:space="preserve"> dummy to ensure that all G-SIIs were certain of their designation in the revised time period.</w:t>
      </w:r>
    </w:p>
    <w:p w14:paraId="308F64DE" w14:textId="78499951" w:rsidR="007D3BF8" w:rsidRPr="00B86E32" w:rsidRDefault="007D3BF8" w:rsidP="0065218D">
      <w:pPr>
        <w:spacing w:after="0" w:line="260" w:lineRule="exact"/>
        <w:jc w:val="both"/>
        <w:rPr>
          <w:rFonts w:ascii="Times New Roman" w:eastAsiaTheme="minorEastAsia" w:hAnsi="Times New Roman"/>
          <w:sz w:val="20"/>
          <w:szCs w:val="20"/>
          <w:lang w:eastAsia="zh-HK"/>
        </w:rPr>
      </w:pPr>
    </w:p>
    <w:p w14:paraId="6C9859B6" w14:textId="07F4020E" w:rsidR="0065218D" w:rsidRPr="00B86E32" w:rsidRDefault="0065218D" w:rsidP="0065218D">
      <w:pPr>
        <w:pStyle w:val="ListParagraph"/>
        <w:numPr>
          <w:ilvl w:val="1"/>
          <w:numId w:val="1"/>
        </w:numPr>
        <w:spacing w:after="0" w:line="240" w:lineRule="auto"/>
        <w:ind w:leftChars="0" w:left="0" w:firstLine="0"/>
        <w:jc w:val="both"/>
        <w:rPr>
          <w:rFonts w:ascii="Times New Roman" w:eastAsiaTheme="minorEastAsia" w:hAnsi="Times New Roman"/>
          <w:b/>
          <w:i/>
          <w:sz w:val="20"/>
          <w:szCs w:val="20"/>
          <w:lang w:eastAsia="zh-HK"/>
        </w:rPr>
      </w:pPr>
      <w:r>
        <w:rPr>
          <w:rFonts w:ascii="Times New Roman" w:eastAsiaTheme="minorEastAsia" w:hAnsi="Times New Roman"/>
          <w:b/>
          <w:i/>
          <w:sz w:val="20"/>
          <w:szCs w:val="20"/>
          <w:lang w:eastAsia="zh-HK"/>
        </w:rPr>
        <w:t>Does the new regulation affect G-SIIs on a worldwide basis</w:t>
      </w:r>
      <w:r w:rsidRPr="00B86E32">
        <w:rPr>
          <w:rFonts w:ascii="Times New Roman" w:eastAsiaTheme="minorEastAsia" w:hAnsi="Times New Roman"/>
          <w:b/>
          <w:i/>
          <w:sz w:val="20"/>
          <w:szCs w:val="20"/>
          <w:lang w:eastAsia="zh-HK"/>
        </w:rPr>
        <w:t>?</w:t>
      </w:r>
    </w:p>
    <w:p w14:paraId="3A55072E" w14:textId="76E13C4C" w:rsidR="00B064F3" w:rsidRDefault="00B822E4" w:rsidP="0065218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Since the financial crisis in 2008, much of the public attention about G-SIIs has been placed on the financial distress of American International Group and the </w:t>
      </w:r>
      <w:r w:rsidR="00245764">
        <w:rPr>
          <w:rFonts w:ascii="Times New Roman" w:eastAsiaTheme="minorEastAsia" w:hAnsi="Times New Roman"/>
          <w:sz w:val="20"/>
          <w:szCs w:val="20"/>
          <w:lang w:eastAsia="zh-HK"/>
        </w:rPr>
        <w:t xml:space="preserve">subsequent </w:t>
      </w:r>
      <w:r>
        <w:rPr>
          <w:rFonts w:ascii="Times New Roman" w:eastAsiaTheme="minorEastAsia" w:hAnsi="Times New Roman"/>
          <w:sz w:val="20"/>
          <w:szCs w:val="20"/>
          <w:lang w:eastAsia="zh-HK"/>
        </w:rPr>
        <w:t>bailout from the U.S. government.</w:t>
      </w:r>
      <w:r w:rsidR="00F43C7E">
        <w:rPr>
          <w:rFonts w:ascii="Times New Roman" w:eastAsiaTheme="minorEastAsia" w:hAnsi="Times New Roman"/>
          <w:sz w:val="20"/>
          <w:szCs w:val="20"/>
          <w:lang w:eastAsia="zh-HK"/>
        </w:rPr>
        <w:t xml:space="preserve"> The regulat</w:t>
      </w:r>
      <w:r w:rsidR="004937F6">
        <w:rPr>
          <w:rFonts w:ascii="Times New Roman" w:eastAsiaTheme="minorEastAsia" w:hAnsi="Times New Roman"/>
          <w:sz w:val="20"/>
          <w:szCs w:val="20"/>
          <w:lang w:eastAsia="zh-HK"/>
        </w:rPr>
        <w:t xml:space="preserve">ion of G-SIIs in the U.S. also keeps ahead </w:t>
      </w:r>
      <w:r w:rsidR="004937F6">
        <w:rPr>
          <w:rFonts w:ascii="Times New Roman" w:eastAsiaTheme="minorEastAsia" w:hAnsi="Times New Roman"/>
          <w:sz w:val="20"/>
          <w:szCs w:val="20"/>
          <w:lang w:eastAsia="zh-HK"/>
        </w:rPr>
        <w:lastRenderedPageBreak/>
        <w:t>of international standards</w:t>
      </w:r>
      <w:r w:rsidR="00F43C7E">
        <w:rPr>
          <w:rFonts w:ascii="Times New Roman" w:eastAsiaTheme="minorEastAsia" w:hAnsi="Times New Roman"/>
          <w:sz w:val="20"/>
          <w:szCs w:val="20"/>
          <w:lang w:eastAsia="zh-HK"/>
        </w:rPr>
        <w:t xml:space="preserve">. For example, </w:t>
      </w:r>
      <w:r w:rsidR="00456B6C">
        <w:rPr>
          <w:rFonts w:ascii="Times New Roman" w:eastAsiaTheme="minorEastAsia" w:hAnsi="Times New Roman"/>
          <w:sz w:val="20"/>
          <w:szCs w:val="20"/>
          <w:lang w:eastAsia="zh-HK"/>
        </w:rPr>
        <w:t xml:space="preserve">the U.S. passed the Dodd-Frank Wall </w:t>
      </w:r>
      <w:r w:rsidR="00456B6C">
        <w:rPr>
          <w:rFonts w:ascii="Times New Roman" w:eastAsiaTheme="minorEastAsia" w:hAnsi="Times New Roman" w:hint="eastAsia"/>
          <w:sz w:val="20"/>
          <w:szCs w:val="20"/>
          <w:lang w:eastAsia="zh-TW"/>
        </w:rPr>
        <w:t>S</w:t>
      </w:r>
      <w:r w:rsidR="00456B6C">
        <w:rPr>
          <w:rFonts w:ascii="Times New Roman" w:eastAsiaTheme="minorEastAsia" w:hAnsi="Times New Roman" w:hint="eastAsia"/>
          <w:sz w:val="20"/>
          <w:szCs w:val="20"/>
          <w:lang w:eastAsia="zh-HK"/>
        </w:rPr>
        <w:t>tr</w:t>
      </w:r>
      <w:r w:rsidR="00456B6C">
        <w:rPr>
          <w:rFonts w:ascii="Times New Roman" w:eastAsiaTheme="minorEastAsia" w:hAnsi="Times New Roman"/>
          <w:sz w:val="20"/>
          <w:szCs w:val="20"/>
          <w:lang w:eastAsia="zh-HK"/>
        </w:rPr>
        <w:t xml:space="preserve">eet Reform and Consumer Protection Act to tighten regulation on systemically important financial institutions on 21 July 2010, and the Financial Stability Oversight Council </w:t>
      </w:r>
      <w:r w:rsidR="0079783F">
        <w:rPr>
          <w:rFonts w:ascii="Times New Roman" w:eastAsiaTheme="minorEastAsia" w:hAnsi="Times New Roman"/>
          <w:sz w:val="20"/>
          <w:szCs w:val="20"/>
          <w:lang w:eastAsia="zh-HK"/>
        </w:rPr>
        <w:t xml:space="preserve">(FSOC) </w:t>
      </w:r>
      <w:r w:rsidR="00456B6C">
        <w:rPr>
          <w:rFonts w:ascii="Times New Roman" w:eastAsiaTheme="minorEastAsia" w:hAnsi="Times New Roman"/>
          <w:sz w:val="20"/>
          <w:szCs w:val="20"/>
          <w:lang w:eastAsia="zh-HK"/>
        </w:rPr>
        <w:t>of the U.S. named the American International Group as systemically important</w:t>
      </w:r>
      <w:r w:rsidR="006C388B">
        <w:rPr>
          <w:rFonts w:ascii="Times New Roman" w:eastAsiaTheme="minorEastAsia" w:hAnsi="Times New Roman"/>
          <w:sz w:val="20"/>
          <w:szCs w:val="20"/>
          <w:lang w:eastAsia="zh-HK"/>
        </w:rPr>
        <w:t xml:space="preserve"> on 8 July 2013</w:t>
      </w:r>
      <w:r w:rsidR="00D644FB">
        <w:rPr>
          <w:rFonts w:ascii="Times New Roman" w:eastAsiaTheme="minorEastAsia" w:hAnsi="Times New Roman"/>
          <w:sz w:val="20"/>
          <w:szCs w:val="20"/>
          <w:lang w:eastAsia="zh-HK"/>
        </w:rPr>
        <w:t xml:space="preserve">. Both the </w:t>
      </w:r>
      <w:r w:rsidR="003077CE">
        <w:rPr>
          <w:rFonts w:ascii="Times New Roman" w:eastAsiaTheme="minorEastAsia" w:hAnsi="Times New Roman"/>
          <w:sz w:val="20"/>
          <w:szCs w:val="20"/>
          <w:lang w:eastAsia="zh-HK"/>
        </w:rPr>
        <w:t xml:space="preserve">G-SII </w:t>
      </w:r>
      <w:r w:rsidR="00456B6C">
        <w:rPr>
          <w:rFonts w:ascii="Times New Roman" w:eastAsiaTheme="minorEastAsia" w:hAnsi="Times New Roman"/>
          <w:sz w:val="20"/>
          <w:szCs w:val="20"/>
          <w:lang w:eastAsia="zh-HK"/>
        </w:rPr>
        <w:t xml:space="preserve">regulation </w:t>
      </w:r>
      <w:r w:rsidR="00D644FB">
        <w:rPr>
          <w:rFonts w:ascii="Times New Roman" w:eastAsiaTheme="minorEastAsia" w:hAnsi="Times New Roman"/>
          <w:sz w:val="20"/>
          <w:szCs w:val="20"/>
          <w:lang w:eastAsia="zh-HK"/>
        </w:rPr>
        <w:t xml:space="preserve">and designation </w:t>
      </w:r>
      <w:r w:rsidR="00456B6C">
        <w:rPr>
          <w:rFonts w:ascii="Times New Roman" w:eastAsiaTheme="minorEastAsia" w:hAnsi="Times New Roman"/>
          <w:sz w:val="20"/>
          <w:szCs w:val="20"/>
          <w:lang w:eastAsia="zh-HK"/>
        </w:rPr>
        <w:t xml:space="preserve">in the U.S. are </w:t>
      </w:r>
      <w:r w:rsidR="00D644FB">
        <w:rPr>
          <w:rFonts w:ascii="Times New Roman" w:eastAsiaTheme="minorEastAsia" w:hAnsi="Times New Roman"/>
          <w:sz w:val="20"/>
          <w:szCs w:val="20"/>
          <w:lang w:eastAsia="zh-HK"/>
        </w:rPr>
        <w:t xml:space="preserve">one step </w:t>
      </w:r>
      <w:r w:rsidR="00456B6C">
        <w:rPr>
          <w:rFonts w:ascii="Times New Roman" w:eastAsiaTheme="minorEastAsia" w:hAnsi="Times New Roman"/>
          <w:sz w:val="20"/>
          <w:szCs w:val="20"/>
          <w:lang w:eastAsia="zh-HK"/>
        </w:rPr>
        <w:t>ahead of the FSB and the IAIS.</w:t>
      </w:r>
      <w:r w:rsidR="006C388B">
        <w:rPr>
          <w:rFonts w:ascii="Times New Roman" w:eastAsiaTheme="minorEastAsia" w:hAnsi="Times New Roman"/>
          <w:sz w:val="20"/>
          <w:szCs w:val="20"/>
          <w:lang w:eastAsia="zh-HK"/>
        </w:rPr>
        <w:t xml:space="preserve"> Some industry practitioners even consider that the global follows the U.S. lead in regulation of G-SIIs (</w:t>
      </w:r>
      <w:r w:rsidR="00C825D1">
        <w:rPr>
          <w:rFonts w:ascii="Times New Roman" w:eastAsiaTheme="minorEastAsia" w:hAnsi="Times New Roman"/>
          <w:sz w:val="20"/>
          <w:szCs w:val="20"/>
          <w:lang w:eastAsia="zh-HK"/>
        </w:rPr>
        <w:t>PricewaterhouseCoopers</w:t>
      </w:r>
      <w:r w:rsidR="006C388B">
        <w:rPr>
          <w:rFonts w:ascii="Times New Roman" w:eastAsiaTheme="minorEastAsia" w:hAnsi="Times New Roman"/>
          <w:sz w:val="20"/>
          <w:szCs w:val="20"/>
          <w:lang w:eastAsia="zh-HK"/>
        </w:rPr>
        <w:t>, 2013).</w:t>
      </w:r>
      <w:r w:rsidR="00CC5C48">
        <w:rPr>
          <w:rFonts w:ascii="Times New Roman" w:eastAsiaTheme="minorEastAsia" w:hAnsi="Times New Roman"/>
          <w:sz w:val="20"/>
          <w:szCs w:val="20"/>
          <w:lang w:eastAsia="zh-HK"/>
        </w:rPr>
        <w:t xml:space="preserve"> Hence, one may be skeptical </w:t>
      </w:r>
      <w:r w:rsidR="007A6F0E">
        <w:rPr>
          <w:rFonts w:ascii="Times New Roman" w:eastAsiaTheme="minorEastAsia" w:hAnsi="Times New Roman"/>
          <w:sz w:val="20"/>
          <w:szCs w:val="20"/>
          <w:lang w:eastAsia="zh-HK"/>
        </w:rPr>
        <w:t xml:space="preserve">of </w:t>
      </w:r>
      <w:r w:rsidR="00CC5C48">
        <w:rPr>
          <w:rFonts w:ascii="Times New Roman" w:eastAsiaTheme="minorEastAsia" w:hAnsi="Times New Roman"/>
          <w:sz w:val="20"/>
          <w:szCs w:val="20"/>
          <w:lang w:eastAsia="zh-HK"/>
        </w:rPr>
        <w:t>whether the new regulation can effectively reduce systemic risks of G-SIIs outside the U.S. This sub-section attempt</w:t>
      </w:r>
      <w:r w:rsidR="007A6F0E">
        <w:rPr>
          <w:rFonts w:ascii="Times New Roman" w:eastAsiaTheme="minorEastAsia" w:hAnsi="Times New Roman"/>
          <w:sz w:val="20"/>
          <w:szCs w:val="20"/>
          <w:lang w:eastAsia="zh-HK"/>
        </w:rPr>
        <w:t>s</w:t>
      </w:r>
      <w:r w:rsidR="00CC5C48">
        <w:rPr>
          <w:rFonts w:ascii="Times New Roman" w:eastAsiaTheme="minorEastAsia" w:hAnsi="Times New Roman"/>
          <w:sz w:val="20"/>
          <w:szCs w:val="20"/>
          <w:lang w:eastAsia="zh-HK"/>
        </w:rPr>
        <w:t xml:space="preserve"> to address this concern by </w:t>
      </w:r>
      <w:r w:rsidR="00A52D1D">
        <w:rPr>
          <w:rFonts w:ascii="Times New Roman" w:eastAsiaTheme="minorEastAsia" w:hAnsi="Times New Roman"/>
          <w:sz w:val="20"/>
          <w:szCs w:val="20"/>
          <w:lang w:eastAsia="zh-HK"/>
        </w:rPr>
        <w:t>performing regression</w:t>
      </w:r>
      <w:r w:rsidR="00066CDF">
        <w:rPr>
          <w:rFonts w:ascii="Times New Roman" w:eastAsiaTheme="minorEastAsia" w:hAnsi="Times New Roman"/>
          <w:sz w:val="20"/>
          <w:szCs w:val="20"/>
          <w:lang w:eastAsia="zh-HK"/>
        </w:rPr>
        <w:t xml:space="preserve"> separately on U.S. insurers and non U.S. insurers.</w:t>
      </w:r>
      <w:r w:rsidR="00A52D1D">
        <w:rPr>
          <w:rFonts w:ascii="Times New Roman" w:eastAsiaTheme="minorEastAsia" w:hAnsi="Times New Roman"/>
          <w:sz w:val="20"/>
          <w:szCs w:val="20"/>
          <w:lang w:eastAsia="zh-HK"/>
        </w:rPr>
        <w:t xml:space="preserve"> The </w:t>
      </w:r>
      <w:r w:rsidR="00516A9F">
        <w:rPr>
          <w:rFonts w:ascii="Times New Roman" w:eastAsiaTheme="minorEastAsia" w:hAnsi="Times New Roman"/>
          <w:sz w:val="20"/>
          <w:szCs w:val="20"/>
          <w:lang w:eastAsia="zh-HK"/>
        </w:rPr>
        <w:t xml:space="preserve">results are reported in Table </w:t>
      </w:r>
      <w:r w:rsidR="00A52D1D">
        <w:rPr>
          <w:rFonts w:ascii="Times New Roman" w:eastAsiaTheme="minorEastAsia" w:hAnsi="Times New Roman"/>
          <w:sz w:val="20"/>
          <w:szCs w:val="20"/>
          <w:lang w:eastAsia="zh-HK"/>
        </w:rPr>
        <w:t>I</w:t>
      </w:r>
      <w:r w:rsidR="00516A9F">
        <w:rPr>
          <w:rFonts w:ascii="Times New Roman" w:eastAsiaTheme="minorEastAsia" w:hAnsi="Times New Roman"/>
          <w:sz w:val="20"/>
          <w:szCs w:val="20"/>
          <w:lang w:eastAsia="zh-HK"/>
        </w:rPr>
        <w:t>X</w:t>
      </w:r>
      <w:r w:rsidR="00A52D1D">
        <w:rPr>
          <w:rFonts w:ascii="Times New Roman" w:eastAsiaTheme="minorEastAsia" w:hAnsi="Times New Roman"/>
          <w:sz w:val="20"/>
          <w:szCs w:val="20"/>
          <w:lang w:eastAsia="zh-HK"/>
        </w:rPr>
        <w:t>.</w:t>
      </w:r>
    </w:p>
    <w:p w14:paraId="221805B1" w14:textId="77777777" w:rsidR="001B5842" w:rsidRDefault="001B5842" w:rsidP="001B5842">
      <w:pPr>
        <w:spacing w:after="0" w:line="260" w:lineRule="exact"/>
        <w:jc w:val="both"/>
        <w:rPr>
          <w:rFonts w:ascii="Times New Roman" w:eastAsiaTheme="minorEastAsia" w:hAnsi="Times New Roman"/>
          <w:sz w:val="16"/>
          <w:szCs w:val="16"/>
          <w:lang w:eastAsia="zh-HK"/>
        </w:rPr>
      </w:pPr>
    </w:p>
    <w:p w14:paraId="0E9F1066" w14:textId="54B34390" w:rsidR="001B5842" w:rsidRPr="00736DE5" w:rsidRDefault="001B5842" w:rsidP="001B5842">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w:t>
      </w:r>
      <w:r w:rsidR="00516A9F">
        <w:rPr>
          <w:rFonts w:ascii="Times New Roman" w:eastAsiaTheme="minorEastAsia" w:hAnsi="Times New Roman"/>
          <w:b/>
          <w:sz w:val="20"/>
          <w:szCs w:val="20"/>
          <w:lang w:eastAsia="zh-HK"/>
        </w:rPr>
        <w:t xml:space="preserve">Table </w:t>
      </w:r>
      <w:r>
        <w:rPr>
          <w:rFonts w:ascii="Times New Roman" w:eastAsiaTheme="minorEastAsia" w:hAnsi="Times New Roman"/>
          <w:b/>
          <w:sz w:val="20"/>
          <w:szCs w:val="20"/>
          <w:lang w:eastAsia="zh-HK"/>
        </w:rPr>
        <w:t>I</w:t>
      </w:r>
      <w:r w:rsidR="00516A9F">
        <w:rPr>
          <w:rFonts w:ascii="Times New Roman" w:eastAsiaTheme="minorEastAsia" w:hAnsi="Times New Roman"/>
          <w:b/>
          <w:sz w:val="20"/>
          <w:szCs w:val="20"/>
          <w:lang w:eastAsia="zh-HK"/>
        </w:rPr>
        <w:t>X</w:t>
      </w:r>
      <w:r w:rsidRPr="00B86E32">
        <w:rPr>
          <w:rFonts w:ascii="Times New Roman" w:eastAsiaTheme="minorEastAsia" w:hAnsi="Times New Roman"/>
          <w:b/>
          <w:sz w:val="20"/>
          <w:szCs w:val="20"/>
          <w:lang w:eastAsia="zh-HK"/>
        </w:rPr>
        <w:t xml:space="preserve"> inserted here]</w:t>
      </w:r>
    </w:p>
    <w:p w14:paraId="0B443277" w14:textId="31B51990" w:rsidR="0065218D" w:rsidRPr="00B86E32" w:rsidRDefault="0065218D" w:rsidP="0065218D">
      <w:pPr>
        <w:spacing w:after="0" w:line="260" w:lineRule="exact"/>
        <w:jc w:val="both"/>
        <w:rPr>
          <w:rFonts w:ascii="Times New Roman" w:eastAsiaTheme="minorEastAsia" w:hAnsi="Times New Roman"/>
          <w:sz w:val="20"/>
          <w:szCs w:val="20"/>
          <w:lang w:eastAsia="zh-HK"/>
        </w:rPr>
      </w:pPr>
    </w:p>
    <w:p w14:paraId="332B5D7A" w14:textId="24F078B6" w:rsidR="00954C3D" w:rsidRDefault="005204AC" w:rsidP="000704F5">
      <w:pPr>
        <w:spacing w:after="0" w:line="260" w:lineRule="exact"/>
        <w:jc w:val="both"/>
        <w:rPr>
          <w:rFonts w:ascii="Times New Roman" w:hAnsi="Times New Roman"/>
          <w:sz w:val="20"/>
          <w:szCs w:val="20"/>
          <w:lang w:eastAsia="zh-HK"/>
        </w:rPr>
      </w:pPr>
      <w:r>
        <w:rPr>
          <w:rFonts w:ascii="Times New Roman" w:eastAsiaTheme="minorEastAsia" w:hAnsi="Times New Roman" w:hint="eastAsia"/>
          <w:sz w:val="20"/>
          <w:szCs w:val="20"/>
          <w:lang w:eastAsia="zh-HK"/>
        </w:rPr>
        <w:t>Column 1, 2 and 3</w:t>
      </w:r>
      <w:r w:rsidR="00516A9F">
        <w:rPr>
          <w:rFonts w:ascii="Times New Roman" w:eastAsiaTheme="minorEastAsia" w:hAnsi="Times New Roman" w:hint="eastAsia"/>
          <w:sz w:val="20"/>
          <w:szCs w:val="20"/>
          <w:lang w:eastAsia="zh-HK"/>
        </w:rPr>
        <w:t xml:space="preserve"> </w:t>
      </w:r>
      <w:r w:rsidR="00494AD4">
        <w:rPr>
          <w:rFonts w:ascii="Times New Roman" w:eastAsiaTheme="minorEastAsia" w:hAnsi="Times New Roman"/>
          <w:sz w:val="20"/>
          <w:szCs w:val="20"/>
          <w:lang w:eastAsia="zh-HK"/>
        </w:rPr>
        <w:t xml:space="preserve">report the regression results on U.S. insurers only. </w:t>
      </w:r>
      <w:r w:rsidR="002A102E">
        <w:rPr>
          <w:rFonts w:ascii="Times New Roman" w:eastAsiaTheme="minorEastAsia" w:hAnsi="Times New Roman"/>
          <w:sz w:val="20"/>
          <w:szCs w:val="20"/>
          <w:lang w:eastAsia="zh-HK"/>
        </w:rPr>
        <w:t>As all</w:t>
      </w:r>
      <w:r w:rsidR="00CC1E64">
        <w:rPr>
          <w:rFonts w:ascii="Times New Roman" w:eastAsiaTheme="minorEastAsia" w:hAnsi="Times New Roman"/>
          <w:sz w:val="20"/>
          <w:szCs w:val="20"/>
          <w:lang w:eastAsia="zh-HK"/>
        </w:rPr>
        <w:t xml:space="preserve"> insurers in the U.S. sample belong</w:t>
      </w:r>
      <w:r w:rsidR="002A102E">
        <w:rPr>
          <w:rFonts w:ascii="Times New Roman" w:eastAsiaTheme="minorEastAsia" w:hAnsi="Times New Roman"/>
          <w:sz w:val="20"/>
          <w:szCs w:val="20"/>
          <w:lang w:eastAsia="zh-HK"/>
        </w:rPr>
        <w:t xml:space="preserve"> to the same country, we cluster the standard errors at the insurer level </w:t>
      </w:r>
      <w:r w:rsidR="002E5C96">
        <w:rPr>
          <w:rFonts w:ascii="Times New Roman" w:eastAsiaTheme="minorEastAsia" w:hAnsi="Times New Roman"/>
          <w:sz w:val="20"/>
          <w:szCs w:val="20"/>
          <w:lang w:eastAsia="zh-HK"/>
        </w:rPr>
        <w:t xml:space="preserve">instead of the country level </w:t>
      </w:r>
      <w:r w:rsidR="002A102E">
        <w:rPr>
          <w:rFonts w:ascii="Times New Roman" w:eastAsiaTheme="minorEastAsia" w:hAnsi="Times New Roman"/>
          <w:sz w:val="20"/>
          <w:szCs w:val="20"/>
          <w:lang w:eastAsia="zh-HK"/>
        </w:rPr>
        <w:t xml:space="preserve">in column 1, 2, and 3. </w:t>
      </w:r>
      <w:r w:rsidR="003C5B57">
        <w:rPr>
          <w:rFonts w:ascii="Times New Roman" w:eastAsiaTheme="minorEastAsia" w:hAnsi="Times New Roman"/>
          <w:sz w:val="20"/>
          <w:szCs w:val="20"/>
          <w:lang w:eastAsia="zh-HK"/>
        </w:rPr>
        <w:t>Most of</w:t>
      </w:r>
      <w:r w:rsidR="00494AD4">
        <w:rPr>
          <w:rFonts w:ascii="Times New Roman" w:eastAsiaTheme="minorEastAsia" w:hAnsi="Times New Roman"/>
          <w:sz w:val="20"/>
          <w:szCs w:val="20"/>
          <w:lang w:eastAsia="zh-HK"/>
        </w:rPr>
        <w:t xml:space="preserve"> the estimated coefficients for </w:t>
      </w:r>
      <w:r w:rsidR="00CC1E64">
        <w:rPr>
          <w:rFonts w:ascii="Times New Roman" w:eastAsiaTheme="minorEastAsia" w:hAnsi="Times New Roman"/>
          <w:sz w:val="20"/>
          <w:szCs w:val="20"/>
          <w:lang w:eastAsia="zh-HK"/>
        </w:rPr>
        <w:t xml:space="preserve">the </w:t>
      </w:r>
      <w:r w:rsidR="00494AD4">
        <w:rPr>
          <w:rFonts w:ascii="Times New Roman" w:hAnsi="Times New Roman"/>
          <w:sz w:val="20"/>
          <w:szCs w:val="20"/>
          <w:lang w:eastAsia="zh-HK"/>
        </w:rPr>
        <w:t xml:space="preserve">interaction term </w:t>
      </w:r>
      <w:r w:rsidR="00494AD4" w:rsidRPr="00E64B2B">
        <w:rPr>
          <w:rFonts w:ascii="Times New Roman" w:hAnsi="Times New Roman"/>
          <w:i/>
          <w:sz w:val="20"/>
          <w:szCs w:val="20"/>
          <w:lang w:eastAsia="zh-HK"/>
        </w:rPr>
        <w:t>Policy x GSII</w:t>
      </w:r>
      <w:r w:rsidR="00494AD4">
        <w:rPr>
          <w:rFonts w:ascii="Times New Roman" w:hAnsi="Times New Roman"/>
          <w:i/>
          <w:sz w:val="20"/>
          <w:szCs w:val="20"/>
          <w:lang w:eastAsia="zh-HK"/>
        </w:rPr>
        <w:t xml:space="preserve"> </w:t>
      </w:r>
      <w:r w:rsidR="00494AD4">
        <w:rPr>
          <w:rFonts w:ascii="Times New Roman" w:hAnsi="Times New Roman"/>
          <w:sz w:val="20"/>
          <w:szCs w:val="20"/>
          <w:lang w:eastAsia="zh-HK"/>
        </w:rPr>
        <w:t xml:space="preserve">suggest that the new regulation is effective in reducing the systemic risks of U.S. </w:t>
      </w:r>
      <w:r w:rsidR="00D9707F">
        <w:rPr>
          <w:rFonts w:ascii="Times New Roman" w:hAnsi="Times New Roman"/>
          <w:sz w:val="20"/>
          <w:szCs w:val="20"/>
          <w:lang w:eastAsia="zh-HK"/>
        </w:rPr>
        <w:t>G-SIIs</w:t>
      </w:r>
      <w:r w:rsidR="00494AD4">
        <w:rPr>
          <w:rFonts w:ascii="Times New Roman" w:hAnsi="Times New Roman"/>
          <w:sz w:val="20"/>
          <w:szCs w:val="20"/>
          <w:lang w:eastAsia="zh-HK"/>
        </w:rPr>
        <w:t xml:space="preserve">. The estimated coefficients in column 1 and 3 are statistically significant, but the estimated coefficient in column 2 is not. However, we should be cautious about the inference of the estimated coefficients in column 1 to 3 because we only have three G-SIIs (i.e. American International Group, </w:t>
      </w:r>
      <w:proofErr w:type="spellStart"/>
      <w:r w:rsidR="00494AD4">
        <w:rPr>
          <w:rFonts w:ascii="Times New Roman" w:hAnsi="Times New Roman"/>
          <w:sz w:val="20"/>
          <w:szCs w:val="20"/>
          <w:lang w:eastAsia="zh-HK"/>
        </w:rPr>
        <w:t>Metlife</w:t>
      </w:r>
      <w:proofErr w:type="spellEnd"/>
      <w:r w:rsidR="00494AD4">
        <w:rPr>
          <w:rFonts w:ascii="Times New Roman" w:hAnsi="Times New Roman"/>
          <w:sz w:val="20"/>
          <w:szCs w:val="20"/>
          <w:lang w:eastAsia="zh-HK"/>
        </w:rPr>
        <w:t>, and Prudential</w:t>
      </w:r>
      <w:r w:rsidR="00494AD4" w:rsidRPr="00494AD4">
        <w:rPr>
          <w:rFonts w:ascii="Times New Roman" w:hAnsi="Times New Roman"/>
          <w:sz w:val="20"/>
          <w:szCs w:val="20"/>
          <w:lang w:eastAsia="zh-HK"/>
        </w:rPr>
        <w:t xml:space="preserve"> </w:t>
      </w:r>
      <w:r w:rsidR="00494AD4" w:rsidRPr="00494AD4">
        <w:rPr>
          <w:rFonts w:ascii="Times New Roman" w:eastAsiaTheme="minorEastAsia" w:hAnsi="Times New Roman"/>
          <w:sz w:val="20"/>
          <w:szCs w:val="20"/>
          <w:lang w:eastAsia="zh-TW"/>
        </w:rPr>
        <w:t>Financial</w:t>
      </w:r>
      <w:r w:rsidR="00494AD4">
        <w:rPr>
          <w:rFonts w:ascii="Times New Roman" w:hAnsi="Times New Roman"/>
          <w:sz w:val="20"/>
          <w:szCs w:val="20"/>
          <w:lang w:eastAsia="zh-HK"/>
        </w:rPr>
        <w:t xml:space="preserve">) in the U.S. sample. The </w:t>
      </w:r>
      <w:r w:rsidR="007352AC">
        <w:rPr>
          <w:rFonts w:ascii="Times New Roman" w:hAnsi="Times New Roman"/>
          <w:sz w:val="20"/>
          <w:szCs w:val="20"/>
          <w:lang w:eastAsia="zh-HK"/>
        </w:rPr>
        <w:t>limited sample size may cause difficulties in interpreting the inference of estimated coefficients.</w:t>
      </w:r>
    </w:p>
    <w:p w14:paraId="54E90A63" w14:textId="1916A31F" w:rsidR="002A102E" w:rsidRDefault="002A102E" w:rsidP="000704F5">
      <w:pPr>
        <w:spacing w:after="0" w:line="260" w:lineRule="exact"/>
        <w:jc w:val="both"/>
        <w:rPr>
          <w:rFonts w:ascii="Times New Roman" w:hAnsi="Times New Roman"/>
          <w:sz w:val="20"/>
          <w:szCs w:val="20"/>
          <w:lang w:eastAsia="zh-HK"/>
        </w:rPr>
      </w:pPr>
    </w:p>
    <w:p w14:paraId="147C8F97" w14:textId="57FCC737" w:rsidR="002A102E" w:rsidRPr="00494AD4" w:rsidRDefault="002A102E" w:rsidP="000704F5">
      <w:pPr>
        <w:spacing w:after="0" w:line="260" w:lineRule="exact"/>
        <w:jc w:val="both"/>
        <w:rPr>
          <w:rFonts w:ascii="Times New Roman" w:eastAsiaTheme="minorEastAsia" w:hAnsi="Times New Roman"/>
          <w:sz w:val="20"/>
          <w:szCs w:val="20"/>
          <w:lang w:eastAsia="zh-HK"/>
        </w:rPr>
      </w:pPr>
      <w:r>
        <w:rPr>
          <w:rFonts w:ascii="Times New Roman" w:hAnsi="Times New Roman"/>
          <w:sz w:val="20"/>
          <w:szCs w:val="20"/>
          <w:lang w:eastAsia="zh-HK"/>
        </w:rPr>
        <w:t>Column 4, 5, and 6 report the regression results on non U.S. insurers.</w:t>
      </w:r>
      <w:r w:rsidR="00CC1E64">
        <w:rPr>
          <w:rFonts w:ascii="Times New Roman" w:hAnsi="Times New Roman"/>
          <w:sz w:val="20"/>
          <w:szCs w:val="20"/>
          <w:lang w:eastAsia="zh-HK"/>
        </w:rPr>
        <w:t xml:space="preserve"> All the estimated coefficients for the interaction term</w:t>
      </w:r>
      <w:r w:rsidR="00D9707F">
        <w:rPr>
          <w:rFonts w:ascii="Times New Roman" w:hAnsi="Times New Roman"/>
          <w:sz w:val="20"/>
          <w:szCs w:val="20"/>
          <w:lang w:eastAsia="zh-HK"/>
        </w:rPr>
        <w:t xml:space="preserve"> </w:t>
      </w:r>
      <w:r w:rsidR="00D9707F" w:rsidRPr="00E64B2B">
        <w:rPr>
          <w:rFonts w:ascii="Times New Roman" w:hAnsi="Times New Roman"/>
          <w:i/>
          <w:sz w:val="20"/>
          <w:szCs w:val="20"/>
          <w:lang w:eastAsia="zh-HK"/>
        </w:rPr>
        <w:t>Policy x GSII</w:t>
      </w:r>
      <w:r w:rsidR="00D9707F">
        <w:rPr>
          <w:rFonts w:ascii="Times New Roman" w:hAnsi="Times New Roman"/>
          <w:i/>
          <w:sz w:val="20"/>
          <w:szCs w:val="20"/>
          <w:lang w:eastAsia="zh-HK"/>
        </w:rPr>
        <w:t xml:space="preserve"> </w:t>
      </w:r>
      <w:r w:rsidR="00D9707F" w:rsidRPr="00D9707F">
        <w:rPr>
          <w:rFonts w:ascii="Times New Roman" w:hAnsi="Times New Roman"/>
          <w:sz w:val="20"/>
          <w:szCs w:val="20"/>
          <w:lang w:eastAsia="zh-HK"/>
        </w:rPr>
        <w:t>are</w:t>
      </w:r>
      <w:r w:rsidR="00D9707F">
        <w:rPr>
          <w:rFonts w:ascii="Times New Roman" w:hAnsi="Times New Roman"/>
          <w:sz w:val="20"/>
          <w:szCs w:val="20"/>
          <w:lang w:eastAsia="zh-HK"/>
        </w:rPr>
        <w:t xml:space="preserve"> statistically significant and strongly indicate that the new regulation effectively reduces the systemic risks of non U.S. G-SIIs. Taken together, the regression results from column 1 to 6 suggest that the new policy measures not only affect G-SIIs in the U.S., but also affect G-SIIs on a worldwide basis.</w:t>
      </w:r>
    </w:p>
    <w:p w14:paraId="3D5B3978" w14:textId="77777777" w:rsidR="000A2339" w:rsidRPr="00B86E32" w:rsidRDefault="000A2339" w:rsidP="000A2339">
      <w:pPr>
        <w:spacing w:after="0" w:line="260" w:lineRule="exact"/>
        <w:jc w:val="both"/>
        <w:rPr>
          <w:rFonts w:ascii="Times New Roman" w:eastAsiaTheme="minorEastAsia" w:hAnsi="Times New Roman"/>
          <w:sz w:val="20"/>
          <w:szCs w:val="20"/>
          <w:lang w:eastAsia="zh-HK"/>
        </w:rPr>
      </w:pPr>
    </w:p>
    <w:p w14:paraId="6FB891FF" w14:textId="799E88B5" w:rsidR="000A2339" w:rsidRPr="00B86E32" w:rsidRDefault="000A2339" w:rsidP="000A2339">
      <w:pPr>
        <w:pStyle w:val="ListParagraph"/>
        <w:numPr>
          <w:ilvl w:val="1"/>
          <w:numId w:val="1"/>
        </w:numPr>
        <w:spacing w:after="0" w:line="240" w:lineRule="auto"/>
        <w:ind w:leftChars="0" w:left="0" w:firstLine="0"/>
        <w:jc w:val="both"/>
        <w:rPr>
          <w:rFonts w:ascii="Times New Roman" w:eastAsiaTheme="minorEastAsia" w:hAnsi="Times New Roman"/>
          <w:b/>
          <w:i/>
          <w:sz w:val="20"/>
          <w:szCs w:val="20"/>
          <w:lang w:eastAsia="zh-HK"/>
        </w:rPr>
      </w:pPr>
      <w:r>
        <w:rPr>
          <w:rFonts w:ascii="Times New Roman" w:eastAsiaTheme="minorEastAsia" w:hAnsi="Times New Roman"/>
          <w:b/>
          <w:i/>
          <w:sz w:val="20"/>
          <w:szCs w:val="20"/>
          <w:lang w:eastAsia="zh-HK"/>
        </w:rPr>
        <w:t>Does the new regulation affect large insurers regardless of their G-SIIs status</w:t>
      </w:r>
      <w:r w:rsidRPr="00B86E32">
        <w:rPr>
          <w:rFonts w:ascii="Times New Roman" w:eastAsiaTheme="minorEastAsia" w:hAnsi="Times New Roman"/>
          <w:b/>
          <w:i/>
          <w:sz w:val="20"/>
          <w:szCs w:val="20"/>
          <w:lang w:eastAsia="zh-HK"/>
        </w:rPr>
        <w:t>?</w:t>
      </w:r>
    </w:p>
    <w:p w14:paraId="515ACB23" w14:textId="3F9BB397" w:rsidR="000704F5" w:rsidRDefault="00653AD2" w:rsidP="000A2339">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In this sub-section, we investigate whether the reduction in systemic risk</w:t>
      </w:r>
      <w:r w:rsidR="007A6F0E">
        <w:rPr>
          <w:rFonts w:ascii="Times New Roman" w:eastAsiaTheme="minorEastAsia" w:hAnsi="Times New Roman"/>
          <w:sz w:val="20"/>
          <w:szCs w:val="20"/>
          <w:lang w:eastAsia="zh-HK"/>
        </w:rPr>
        <w:t>s</w:t>
      </w:r>
      <w:r>
        <w:rPr>
          <w:rFonts w:ascii="Times New Roman" w:eastAsiaTheme="minorEastAsia" w:hAnsi="Times New Roman"/>
          <w:sz w:val="20"/>
          <w:szCs w:val="20"/>
          <w:lang w:eastAsia="zh-HK"/>
        </w:rPr>
        <w:t xml:space="preserve"> due to the new regulation is confined to insurers designated as G-SIIs only. </w:t>
      </w:r>
      <w:r w:rsidR="00A86400">
        <w:rPr>
          <w:rFonts w:ascii="Times New Roman" w:eastAsiaTheme="minorEastAsia" w:hAnsi="Times New Roman"/>
          <w:sz w:val="20"/>
          <w:szCs w:val="20"/>
          <w:lang w:eastAsia="zh-HK"/>
        </w:rPr>
        <w:t xml:space="preserve">If the compliance costs with the new regulation are higher than the benefits of being perceived as safer by the market, we would expect that the threat of being designated as G-SIIs </w:t>
      </w:r>
      <w:r w:rsidR="007A6F0E">
        <w:rPr>
          <w:rFonts w:ascii="Times New Roman" w:eastAsiaTheme="minorEastAsia" w:hAnsi="Times New Roman"/>
          <w:sz w:val="20"/>
          <w:szCs w:val="20"/>
          <w:lang w:eastAsia="zh-HK"/>
        </w:rPr>
        <w:t>motivates</w:t>
      </w:r>
      <w:r w:rsidR="00967757">
        <w:rPr>
          <w:rFonts w:ascii="Times New Roman" w:eastAsiaTheme="minorEastAsia" w:hAnsi="Times New Roman"/>
          <w:sz w:val="20"/>
          <w:szCs w:val="20"/>
          <w:lang w:eastAsia="zh-HK"/>
        </w:rPr>
        <w:t xml:space="preserve"> large insurers to change their risk-taking behaviors</w:t>
      </w:r>
      <w:r w:rsidR="00A86400">
        <w:rPr>
          <w:rFonts w:ascii="Times New Roman" w:eastAsiaTheme="minorEastAsia" w:hAnsi="Times New Roman"/>
          <w:sz w:val="20"/>
          <w:szCs w:val="20"/>
          <w:lang w:eastAsia="zh-HK"/>
        </w:rPr>
        <w:t xml:space="preserve"> so that they could avoid the G-SII designation in the next round of review by the IAIS. </w:t>
      </w:r>
      <w:r w:rsidR="00CA30E8">
        <w:rPr>
          <w:rFonts w:ascii="Times New Roman" w:eastAsiaTheme="minorEastAsia" w:hAnsi="Times New Roman"/>
          <w:sz w:val="20"/>
          <w:szCs w:val="20"/>
          <w:lang w:eastAsia="zh-HK"/>
        </w:rPr>
        <w:t xml:space="preserve">To examine this issue, we define an insurer as large if its total assets belong to the </w:t>
      </w:r>
      <w:r w:rsidR="004302F1">
        <w:rPr>
          <w:rFonts w:ascii="Times New Roman" w:eastAsiaTheme="minorEastAsia" w:hAnsi="Times New Roman"/>
          <w:sz w:val="20"/>
          <w:szCs w:val="20"/>
          <w:lang w:eastAsia="zh-HK"/>
        </w:rPr>
        <w:t>upper</w:t>
      </w:r>
      <w:r w:rsidR="003F3EB9">
        <w:rPr>
          <w:rFonts w:ascii="Times New Roman" w:eastAsiaTheme="minorEastAsia" w:hAnsi="Times New Roman"/>
          <w:sz w:val="20"/>
          <w:szCs w:val="20"/>
          <w:lang w:eastAsia="zh-HK"/>
        </w:rPr>
        <w:t xml:space="preserve"> quartile</w:t>
      </w:r>
      <w:r w:rsidR="00CA30E8">
        <w:rPr>
          <w:rFonts w:ascii="Times New Roman" w:eastAsiaTheme="minorEastAsia" w:hAnsi="Times New Roman"/>
          <w:sz w:val="20"/>
          <w:szCs w:val="20"/>
          <w:lang w:eastAsia="zh-HK"/>
        </w:rPr>
        <w:t xml:space="preserve"> of the whole sample. The baseline regression is then performed on the whole sample, with the </w:t>
      </w:r>
      <w:r w:rsidR="00CA30E8" w:rsidRPr="00A54BA5">
        <w:rPr>
          <w:rFonts w:ascii="Times New Roman" w:eastAsiaTheme="minorEastAsia" w:hAnsi="Times New Roman"/>
          <w:i/>
          <w:sz w:val="20"/>
          <w:szCs w:val="20"/>
          <w:lang w:eastAsia="zh-HK"/>
        </w:rPr>
        <w:t>GSII</w:t>
      </w:r>
      <w:r w:rsidR="00CA30E8">
        <w:rPr>
          <w:rFonts w:ascii="Times New Roman" w:eastAsiaTheme="minorEastAsia" w:hAnsi="Times New Roman"/>
          <w:sz w:val="20"/>
          <w:szCs w:val="20"/>
          <w:lang w:eastAsia="zh-HK"/>
        </w:rPr>
        <w:t xml:space="preserve"> dummy replaced by the </w:t>
      </w:r>
      <w:r w:rsidR="00CA30E8" w:rsidRPr="00A54BA5">
        <w:rPr>
          <w:rFonts w:ascii="Times New Roman" w:eastAsiaTheme="minorEastAsia" w:hAnsi="Times New Roman"/>
          <w:i/>
          <w:sz w:val="20"/>
          <w:szCs w:val="20"/>
          <w:lang w:eastAsia="zh-HK"/>
        </w:rPr>
        <w:t>Large</w:t>
      </w:r>
      <w:r w:rsidR="00CA30E8">
        <w:rPr>
          <w:rFonts w:ascii="Times New Roman" w:eastAsiaTheme="minorEastAsia" w:hAnsi="Times New Roman"/>
          <w:sz w:val="20"/>
          <w:szCs w:val="20"/>
          <w:lang w:eastAsia="zh-HK"/>
        </w:rPr>
        <w:t xml:space="preserve"> dummy. For robustness, we also use </w:t>
      </w:r>
      <w:r w:rsidR="003F3EB9">
        <w:rPr>
          <w:rFonts w:ascii="Times New Roman" w:eastAsiaTheme="minorEastAsia" w:hAnsi="Times New Roman"/>
          <w:sz w:val="20"/>
          <w:szCs w:val="20"/>
          <w:lang w:eastAsia="zh-HK"/>
        </w:rPr>
        <w:t>insurance reserves</w:t>
      </w:r>
      <w:r w:rsidR="00CA30E8">
        <w:rPr>
          <w:rFonts w:ascii="Times New Roman" w:eastAsiaTheme="minorEastAsia" w:hAnsi="Times New Roman"/>
          <w:sz w:val="20"/>
          <w:szCs w:val="20"/>
          <w:lang w:eastAsia="zh-HK"/>
        </w:rPr>
        <w:t xml:space="preserve"> as an alternative yardstick to define large insurers and repeat the same analysis. The empirical</w:t>
      </w:r>
      <w:r w:rsidR="00516A9F">
        <w:rPr>
          <w:rFonts w:ascii="Times New Roman" w:eastAsiaTheme="minorEastAsia" w:hAnsi="Times New Roman"/>
          <w:sz w:val="20"/>
          <w:szCs w:val="20"/>
          <w:lang w:eastAsia="zh-HK"/>
        </w:rPr>
        <w:t xml:space="preserve"> results are reported in Table </w:t>
      </w:r>
      <w:r w:rsidR="00CA30E8">
        <w:rPr>
          <w:rFonts w:ascii="Times New Roman" w:eastAsiaTheme="minorEastAsia" w:hAnsi="Times New Roman"/>
          <w:sz w:val="20"/>
          <w:szCs w:val="20"/>
          <w:lang w:eastAsia="zh-HK"/>
        </w:rPr>
        <w:t>X.</w:t>
      </w:r>
    </w:p>
    <w:p w14:paraId="3DE8E84D" w14:textId="77777777" w:rsidR="00CA30E8" w:rsidRDefault="00CA30E8" w:rsidP="00CA30E8">
      <w:pPr>
        <w:spacing w:after="0" w:line="260" w:lineRule="exact"/>
        <w:jc w:val="both"/>
        <w:rPr>
          <w:rFonts w:ascii="Times New Roman" w:eastAsiaTheme="minorEastAsia" w:hAnsi="Times New Roman"/>
          <w:sz w:val="16"/>
          <w:szCs w:val="16"/>
          <w:lang w:eastAsia="zh-HK"/>
        </w:rPr>
      </w:pPr>
    </w:p>
    <w:p w14:paraId="2B24B9FA" w14:textId="7865011A" w:rsidR="00CA30E8" w:rsidRPr="00736DE5" w:rsidRDefault="00CA30E8" w:rsidP="00CA30E8">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lastRenderedPageBreak/>
        <w:t>[</w:t>
      </w:r>
      <w:r>
        <w:rPr>
          <w:rFonts w:ascii="Times New Roman" w:eastAsiaTheme="minorEastAsia" w:hAnsi="Times New Roman"/>
          <w:b/>
          <w:sz w:val="20"/>
          <w:szCs w:val="20"/>
          <w:lang w:eastAsia="zh-HK"/>
        </w:rPr>
        <w:t xml:space="preserve">Table </w:t>
      </w:r>
      <w:r w:rsidR="00580750">
        <w:rPr>
          <w:rFonts w:ascii="Times New Roman" w:eastAsiaTheme="minorEastAsia" w:hAnsi="Times New Roman"/>
          <w:b/>
          <w:sz w:val="20"/>
          <w:szCs w:val="20"/>
          <w:lang w:eastAsia="zh-HK"/>
        </w:rPr>
        <w:t>X</w:t>
      </w:r>
      <w:r w:rsidRPr="00B86E32">
        <w:rPr>
          <w:rFonts w:ascii="Times New Roman" w:eastAsiaTheme="minorEastAsia" w:hAnsi="Times New Roman"/>
          <w:b/>
          <w:sz w:val="20"/>
          <w:szCs w:val="20"/>
          <w:lang w:eastAsia="zh-HK"/>
        </w:rPr>
        <w:t xml:space="preserve"> inserted here]</w:t>
      </w:r>
    </w:p>
    <w:p w14:paraId="3AFF63CB" w14:textId="77777777" w:rsidR="00CA30E8" w:rsidRPr="00B86E32" w:rsidRDefault="00CA30E8" w:rsidP="00CA30E8">
      <w:pPr>
        <w:spacing w:after="0" w:line="260" w:lineRule="exact"/>
        <w:jc w:val="both"/>
        <w:rPr>
          <w:rFonts w:ascii="Times New Roman" w:eastAsiaTheme="minorEastAsia" w:hAnsi="Times New Roman"/>
          <w:sz w:val="20"/>
          <w:szCs w:val="20"/>
          <w:lang w:eastAsia="zh-HK"/>
        </w:rPr>
      </w:pPr>
    </w:p>
    <w:p w14:paraId="4B9E6B1C" w14:textId="705774F7" w:rsidR="008A1722" w:rsidRPr="008A1722" w:rsidRDefault="00CA30E8" w:rsidP="000A2339">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Column 1 to 3 report the regression results when</w:t>
      </w:r>
      <w:r w:rsidR="007A6F0E">
        <w:rPr>
          <w:rFonts w:ascii="Times New Roman" w:eastAsiaTheme="minorEastAsia" w:hAnsi="Times New Roman"/>
          <w:sz w:val="20"/>
          <w:szCs w:val="20"/>
          <w:lang w:eastAsia="zh-HK"/>
        </w:rPr>
        <w:t xml:space="preserve"> size of</w:t>
      </w:r>
      <w:r>
        <w:rPr>
          <w:rFonts w:ascii="Times New Roman" w:eastAsiaTheme="minorEastAsia" w:hAnsi="Times New Roman" w:hint="eastAsia"/>
          <w:sz w:val="20"/>
          <w:szCs w:val="20"/>
          <w:lang w:eastAsia="zh-HK"/>
        </w:rPr>
        <w:t xml:space="preserve"> </w:t>
      </w:r>
      <w:r w:rsidR="00D20107">
        <w:rPr>
          <w:rFonts w:ascii="Times New Roman" w:eastAsiaTheme="minorEastAsia" w:hAnsi="Times New Roman"/>
          <w:sz w:val="20"/>
          <w:szCs w:val="20"/>
          <w:lang w:eastAsia="zh-HK"/>
        </w:rPr>
        <w:t xml:space="preserve">insurers </w:t>
      </w:r>
      <w:r w:rsidR="007A6F0E">
        <w:rPr>
          <w:rFonts w:ascii="Times New Roman" w:eastAsiaTheme="minorEastAsia" w:hAnsi="Times New Roman"/>
          <w:sz w:val="20"/>
          <w:szCs w:val="20"/>
          <w:lang w:eastAsia="zh-HK"/>
        </w:rPr>
        <w:t>is</w:t>
      </w:r>
      <w:r w:rsidR="00D20107">
        <w:rPr>
          <w:rFonts w:ascii="Times New Roman" w:eastAsiaTheme="minorEastAsia" w:hAnsi="Times New Roman"/>
          <w:sz w:val="20"/>
          <w:szCs w:val="20"/>
          <w:lang w:eastAsia="zh-HK"/>
        </w:rPr>
        <w:t xml:space="preserve"> defined by total assets, while column 4 to 6 report the regression results when </w:t>
      </w:r>
      <w:r w:rsidR="007A6F0E">
        <w:rPr>
          <w:rFonts w:ascii="Times New Roman" w:eastAsiaTheme="minorEastAsia" w:hAnsi="Times New Roman"/>
          <w:sz w:val="20"/>
          <w:szCs w:val="20"/>
          <w:lang w:eastAsia="zh-HK"/>
        </w:rPr>
        <w:t xml:space="preserve">size of </w:t>
      </w:r>
      <w:r w:rsidR="00D20107">
        <w:rPr>
          <w:rFonts w:ascii="Times New Roman" w:eastAsiaTheme="minorEastAsia" w:hAnsi="Times New Roman"/>
          <w:sz w:val="20"/>
          <w:szCs w:val="20"/>
          <w:lang w:eastAsia="zh-HK"/>
        </w:rPr>
        <w:t xml:space="preserve">insurers </w:t>
      </w:r>
      <w:r w:rsidR="007A6F0E">
        <w:rPr>
          <w:rFonts w:ascii="Times New Roman" w:eastAsiaTheme="minorEastAsia" w:hAnsi="Times New Roman"/>
          <w:sz w:val="20"/>
          <w:szCs w:val="20"/>
          <w:lang w:eastAsia="zh-HK"/>
        </w:rPr>
        <w:t>is</w:t>
      </w:r>
      <w:r w:rsidR="00D20107">
        <w:rPr>
          <w:rFonts w:ascii="Times New Roman" w:eastAsiaTheme="minorEastAsia" w:hAnsi="Times New Roman"/>
          <w:sz w:val="20"/>
          <w:szCs w:val="20"/>
          <w:lang w:eastAsia="zh-HK"/>
        </w:rPr>
        <w:t xml:space="preserve"> defined by </w:t>
      </w:r>
      <w:r w:rsidR="00381A23">
        <w:rPr>
          <w:rFonts w:ascii="Times New Roman" w:eastAsiaTheme="minorEastAsia" w:hAnsi="Times New Roman"/>
          <w:sz w:val="20"/>
          <w:szCs w:val="20"/>
          <w:lang w:eastAsia="zh-HK"/>
        </w:rPr>
        <w:t>insurance reserves</w:t>
      </w:r>
      <w:r w:rsidR="00D20107">
        <w:rPr>
          <w:rFonts w:ascii="Times New Roman" w:eastAsiaTheme="minorEastAsia" w:hAnsi="Times New Roman"/>
          <w:sz w:val="20"/>
          <w:szCs w:val="20"/>
          <w:lang w:eastAsia="zh-HK"/>
        </w:rPr>
        <w:t xml:space="preserve">. The estimated coefficients for the interaction term </w:t>
      </w:r>
      <w:r w:rsidR="00D20107" w:rsidRPr="00E64B2B">
        <w:rPr>
          <w:rFonts w:ascii="Times New Roman" w:hAnsi="Times New Roman"/>
          <w:i/>
          <w:sz w:val="20"/>
          <w:szCs w:val="20"/>
          <w:lang w:eastAsia="zh-HK"/>
        </w:rPr>
        <w:t>Policy x GSII</w:t>
      </w:r>
      <w:r w:rsidR="00D20107">
        <w:rPr>
          <w:rFonts w:ascii="Times New Roman" w:hAnsi="Times New Roman"/>
          <w:i/>
          <w:sz w:val="20"/>
          <w:szCs w:val="20"/>
          <w:lang w:eastAsia="zh-HK"/>
        </w:rPr>
        <w:t xml:space="preserve"> </w:t>
      </w:r>
      <w:r w:rsidR="00D20107">
        <w:rPr>
          <w:rFonts w:ascii="Times New Roman" w:eastAsiaTheme="minorEastAsia" w:hAnsi="Times New Roman"/>
          <w:sz w:val="20"/>
          <w:szCs w:val="20"/>
          <w:lang w:eastAsia="zh-HK"/>
        </w:rPr>
        <w:t xml:space="preserve">in all the regressions are statistically significant and suggest that the new regulation reduces the systemic risks of large insurers regardless of their G-SII status. </w:t>
      </w:r>
      <w:r w:rsidR="00B3269B">
        <w:rPr>
          <w:rFonts w:ascii="Times New Roman" w:eastAsiaTheme="minorEastAsia" w:hAnsi="Times New Roman"/>
          <w:sz w:val="20"/>
          <w:szCs w:val="20"/>
          <w:lang w:eastAsia="zh-HK"/>
        </w:rPr>
        <w:t>Even if a large insurer is not designated as G-SII and is not subject to the new policy measures, the threat of being designated as G-SII in future review by the IAIS motivates</w:t>
      </w:r>
      <w:r w:rsidR="007A6F0E">
        <w:rPr>
          <w:rFonts w:ascii="Times New Roman" w:eastAsiaTheme="minorEastAsia" w:hAnsi="Times New Roman"/>
          <w:sz w:val="20"/>
          <w:szCs w:val="20"/>
          <w:lang w:eastAsia="zh-HK"/>
        </w:rPr>
        <w:t xml:space="preserve"> it</w:t>
      </w:r>
      <w:r w:rsidR="00B3269B">
        <w:rPr>
          <w:rFonts w:ascii="Times New Roman" w:eastAsiaTheme="minorEastAsia" w:hAnsi="Times New Roman"/>
          <w:sz w:val="20"/>
          <w:szCs w:val="20"/>
          <w:lang w:eastAsia="zh-HK"/>
        </w:rPr>
        <w:t xml:space="preserve"> to </w:t>
      </w:r>
      <w:r w:rsidR="00967757">
        <w:rPr>
          <w:rFonts w:ascii="Times New Roman" w:eastAsiaTheme="minorEastAsia" w:hAnsi="Times New Roman"/>
          <w:sz w:val="20"/>
          <w:szCs w:val="20"/>
          <w:lang w:eastAsia="zh-HK"/>
        </w:rPr>
        <w:t>change its risk-taking behaviors</w:t>
      </w:r>
      <w:r w:rsidR="00B3269B">
        <w:rPr>
          <w:rFonts w:ascii="Times New Roman" w:eastAsiaTheme="minorEastAsia" w:hAnsi="Times New Roman"/>
          <w:sz w:val="20"/>
          <w:szCs w:val="20"/>
          <w:lang w:eastAsia="zh-HK"/>
        </w:rPr>
        <w:t>.</w:t>
      </w:r>
    </w:p>
    <w:p w14:paraId="3BC29EA3" w14:textId="77777777" w:rsidR="00D20107" w:rsidRDefault="00D20107" w:rsidP="000A2339">
      <w:pPr>
        <w:spacing w:after="0" w:line="260" w:lineRule="exact"/>
        <w:jc w:val="both"/>
        <w:rPr>
          <w:rFonts w:ascii="Times New Roman" w:eastAsiaTheme="minorEastAsia" w:hAnsi="Times New Roman"/>
          <w:sz w:val="20"/>
          <w:szCs w:val="20"/>
          <w:lang w:eastAsia="zh-HK"/>
        </w:rPr>
      </w:pPr>
    </w:p>
    <w:p w14:paraId="29E12149" w14:textId="7629DA5B" w:rsidR="00F75CED" w:rsidRPr="007C0A8B" w:rsidRDefault="008A1722" w:rsidP="007C0A8B">
      <w:pPr>
        <w:pStyle w:val="ListParagraph"/>
        <w:numPr>
          <w:ilvl w:val="1"/>
          <w:numId w:val="1"/>
        </w:numPr>
        <w:spacing w:after="0" w:line="240" w:lineRule="auto"/>
        <w:ind w:leftChars="0"/>
        <w:jc w:val="both"/>
        <w:rPr>
          <w:rFonts w:ascii="Times New Roman" w:eastAsiaTheme="minorEastAsia" w:hAnsi="Times New Roman"/>
          <w:b/>
          <w:i/>
          <w:sz w:val="20"/>
          <w:szCs w:val="20"/>
          <w:lang w:eastAsia="zh-HK"/>
        </w:rPr>
      </w:pPr>
      <w:r>
        <w:rPr>
          <w:rFonts w:ascii="Times New Roman" w:eastAsiaTheme="minorEastAsia" w:hAnsi="Times New Roman"/>
          <w:b/>
          <w:i/>
          <w:sz w:val="20"/>
          <w:szCs w:val="20"/>
          <w:lang w:eastAsia="zh-HK"/>
        </w:rPr>
        <w:t>Do the missing data bias our empirical findings?</w:t>
      </w:r>
    </w:p>
    <w:p w14:paraId="017B116B" w14:textId="48B4AB26" w:rsidR="006A1193" w:rsidRDefault="006A1193" w:rsidP="00F75CED">
      <w:pPr>
        <w:spacing w:after="0" w:line="260" w:lineRule="exact"/>
        <w:jc w:val="both"/>
        <w:rPr>
          <w:rFonts w:ascii="Times New Roman" w:hAnsi="Times New Roman"/>
          <w:sz w:val="20"/>
          <w:szCs w:val="20"/>
          <w:lang w:eastAsia="zh-HK"/>
        </w:rPr>
      </w:pPr>
      <w:r>
        <w:rPr>
          <w:rFonts w:ascii="Times New Roman" w:eastAsiaTheme="minorEastAsia" w:hAnsi="Times New Roman" w:hint="eastAsia"/>
          <w:sz w:val="20"/>
          <w:szCs w:val="20"/>
          <w:lang w:eastAsia="zh-HK"/>
        </w:rPr>
        <w:t xml:space="preserve">As noted in </w:t>
      </w:r>
      <w:r>
        <w:rPr>
          <w:rFonts w:ascii="Times New Roman" w:eastAsiaTheme="minorEastAsia" w:hAnsi="Times New Roman" w:hint="eastAsia"/>
          <w:sz w:val="20"/>
          <w:szCs w:val="20"/>
          <w:lang w:eastAsia="zh-TW"/>
        </w:rPr>
        <w:t>T</w:t>
      </w:r>
      <w:r>
        <w:rPr>
          <w:rFonts w:ascii="Times New Roman" w:eastAsiaTheme="minorEastAsia" w:hAnsi="Times New Roman" w:hint="eastAsia"/>
          <w:sz w:val="20"/>
          <w:szCs w:val="20"/>
          <w:lang w:eastAsia="zh-HK"/>
        </w:rPr>
        <w:t>a</w:t>
      </w:r>
      <w:r>
        <w:rPr>
          <w:rFonts w:ascii="Times New Roman" w:eastAsiaTheme="minorEastAsia" w:hAnsi="Times New Roman"/>
          <w:sz w:val="20"/>
          <w:szCs w:val="20"/>
          <w:lang w:eastAsia="zh-HK"/>
        </w:rPr>
        <w:t>ble III, some of the quarter</w:t>
      </w:r>
      <w:r w:rsidR="002705D3">
        <w:rPr>
          <w:rFonts w:ascii="Times New Roman" w:eastAsiaTheme="minorEastAsia" w:hAnsi="Times New Roman"/>
          <w:sz w:val="20"/>
          <w:szCs w:val="20"/>
          <w:lang w:eastAsia="zh-HK"/>
        </w:rPr>
        <w:t>ly accounting data are missing from</w:t>
      </w:r>
      <w:r>
        <w:rPr>
          <w:rFonts w:ascii="Times New Roman" w:eastAsiaTheme="minorEastAsia" w:hAnsi="Times New Roman"/>
          <w:sz w:val="20"/>
          <w:szCs w:val="20"/>
          <w:lang w:eastAsia="zh-HK"/>
        </w:rPr>
        <w:t xml:space="preserve"> our sample of insurers in </w:t>
      </w:r>
      <w:proofErr w:type="spellStart"/>
      <w:r w:rsidRPr="006A1193">
        <w:rPr>
          <w:rFonts w:ascii="Times New Roman" w:eastAsiaTheme="minorEastAsia" w:hAnsi="Times New Roman"/>
          <w:i/>
          <w:sz w:val="20"/>
          <w:szCs w:val="20"/>
          <w:lang w:eastAsia="zh-HK"/>
        </w:rPr>
        <w:t>Datastream</w:t>
      </w:r>
      <w:proofErr w:type="spellEnd"/>
      <w:r>
        <w:rPr>
          <w:rFonts w:ascii="Times New Roman" w:eastAsiaTheme="minorEastAsia" w:hAnsi="Times New Roman"/>
          <w:sz w:val="20"/>
          <w:szCs w:val="20"/>
          <w:lang w:eastAsia="zh-HK"/>
        </w:rPr>
        <w:t xml:space="preserve"> for unknown reasons. The extent of the missing data problem varies across different variables. The variable </w:t>
      </w:r>
      <w:r w:rsidRPr="00E17071">
        <w:rPr>
          <w:rFonts w:ascii="Times New Roman" w:eastAsiaTheme="minorEastAsia" w:hAnsi="Times New Roman"/>
          <w:i/>
          <w:sz w:val="20"/>
          <w:szCs w:val="20"/>
          <w:lang w:eastAsia="zh-HK"/>
        </w:rPr>
        <w:t>Global activities</w:t>
      </w:r>
      <w:r>
        <w:rPr>
          <w:rFonts w:ascii="Times New Roman" w:eastAsiaTheme="minorEastAsia" w:hAnsi="Times New Roman"/>
          <w:sz w:val="20"/>
          <w:szCs w:val="20"/>
          <w:lang w:eastAsia="zh-HK"/>
        </w:rPr>
        <w:t xml:space="preserve"> have the most missing data as around </w:t>
      </w:r>
      <w:r w:rsidR="00ED7FCE">
        <w:rPr>
          <w:rFonts w:ascii="Times New Roman" w:eastAsiaTheme="minorEastAsia" w:hAnsi="Times New Roman"/>
          <w:sz w:val="20"/>
          <w:szCs w:val="20"/>
          <w:lang w:eastAsia="zh-HK"/>
        </w:rPr>
        <w:t>24%</w:t>
      </w:r>
      <w:r>
        <w:rPr>
          <w:rFonts w:ascii="Times New Roman" w:eastAsiaTheme="minorEastAsia" w:hAnsi="Times New Roman"/>
          <w:sz w:val="20"/>
          <w:szCs w:val="20"/>
          <w:lang w:eastAsia="zh-HK"/>
        </w:rPr>
        <w:t xml:space="preserve"> of our sample does not have </w:t>
      </w:r>
      <w:r w:rsidR="00ED7FCE">
        <w:rPr>
          <w:rFonts w:ascii="Times New Roman" w:eastAsiaTheme="minorEastAsia" w:hAnsi="Times New Roman"/>
          <w:sz w:val="20"/>
          <w:szCs w:val="20"/>
          <w:lang w:eastAsia="zh-HK"/>
        </w:rPr>
        <w:t xml:space="preserve">quarterly </w:t>
      </w:r>
      <w:r>
        <w:rPr>
          <w:rFonts w:ascii="Times New Roman" w:eastAsiaTheme="minorEastAsia" w:hAnsi="Times New Roman"/>
          <w:sz w:val="20"/>
          <w:szCs w:val="20"/>
          <w:lang w:eastAsia="zh-HK"/>
        </w:rPr>
        <w:t xml:space="preserve">data regarding the amount of foreign sales. </w:t>
      </w:r>
      <w:r w:rsidR="00ED7FCE">
        <w:rPr>
          <w:rFonts w:ascii="Times New Roman" w:eastAsiaTheme="minorEastAsia" w:hAnsi="Times New Roman"/>
          <w:sz w:val="20"/>
          <w:szCs w:val="20"/>
          <w:lang w:eastAsia="zh-HK"/>
        </w:rPr>
        <w:t xml:space="preserve">As a result, the number of firm-quarter observations available for regression decreases by 24% because of the missing data problem </w:t>
      </w:r>
      <w:r w:rsidR="008217C4">
        <w:rPr>
          <w:rFonts w:ascii="Times New Roman" w:eastAsiaTheme="minorEastAsia" w:hAnsi="Times New Roman"/>
          <w:sz w:val="20"/>
          <w:szCs w:val="20"/>
          <w:lang w:eastAsia="zh-HK"/>
        </w:rPr>
        <w:t>arisen from</w:t>
      </w:r>
      <w:r w:rsidR="00ED7FCE">
        <w:rPr>
          <w:rFonts w:ascii="Times New Roman" w:eastAsiaTheme="minorEastAsia" w:hAnsi="Times New Roman"/>
          <w:sz w:val="20"/>
          <w:szCs w:val="20"/>
          <w:lang w:eastAsia="zh-HK"/>
        </w:rPr>
        <w:t xml:space="preserve"> a single explanatory variable.</w:t>
      </w:r>
      <w:r w:rsidR="009D1438">
        <w:rPr>
          <w:rFonts w:ascii="Times New Roman" w:eastAsiaTheme="minorEastAsia" w:hAnsi="Times New Roman"/>
          <w:sz w:val="20"/>
          <w:szCs w:val="20"/>
          <w:lang w:eastAsia="zh-HK"/>
        </w:rPr>
        <w:t xml:space="preserve"> If the accounting data are not missing completely at random (“MCAR”), the regression results could potentially be biased for ignoring the missing data </w:t>
      </w:r>
      <w:r w:rsidR="009D1438">
        <w:rPr>
          <w:rFonts w:ascii="Times New Roman" w:hAnsi="Times New Roman"/>
          <w:sz w:val="20"/>
          <w:szCs w:val="20"/>
          <w:lang w:eastAsia="zh-HK"/>
        </w:rPr>
        <w:t xml:space="preserve">(see Little and Rubin, 2002; </w:t>
      </w:r>
      <w:proofErr w:type="spellStart"/>
      <w:r w:rsidR="009D1438">
        <w:rPr>
          <w:rFonts w:ascii="Times New Roman" w:hAnsi="Times New Roman"/>
          <w:sz w:val="20"/>
          <w:szCs w:val="20"/>
          <w:lang w:eastAsia="zh-HK"/>
        </w:rPr>
        <w:t>Yeh</w:t>
      </w:r>
      <w:proofErr w:type="spellEnd"/>
      <w:r w:rsidR="009D1438">
        <w:rPr>
          <w:rFonts w:ascii="Times New Roman" w:hAnsi="Times New Roman"/>
          <w:sz w:val="20"/>
          <w:szCs w:val="20"/>
          <w:lang w:eastAsia="zh-HK"/>
        </w:rPr>
        <w:t>, 2009).</w:t>
      </w:r>
      <w:r w:rsidR="008217C4">
        <w:rPr>
          <w:rFonts w:ascii="Times New Roman" w:hAnsi="Times New Roman"/>
          <w:sz w:val="20"/>
          <w:szCs w:val="20"/>
          <w:lang w:eastAsia="zh-HK"/>
        </w:rPr>
        <w:t xml:space="preserve"> Data are considered as MCAR if the missing pattern of the quarterly accounting data does not depend on the values of other variables in our sample.</w:t>
      </w:r>
      <w:r w:rsidR="00452974">
        <w:rPr>
          <w:rFonts w:ascii="Times New Roman" w:hAnsi="Times New Roman"/>
          <w:sz w:val="20"/>
          <w:szCs w:val="20"/>
          <w:lang w:eastAsia="zh-HK"/>
        </w:rPr>
        <w:t xml:space="preserve"> To examine whether the accounting data in our sample are MCAR, we apply the Little’s MCAR test (Little, 1988) to all th</w:t>
      </w:r>
      <w:r w:rsidR="00452974" w:rsidRPr="00452974">
        <w:rPr>
          <w:rFonts w:ascii="Times New Roman" w:hAnsi="Times New Roman"/>
          <w:sz w:val="20"/>
          <w:szCs w:val="20"/>
          <w:lang w:eastAsia="zh-HK"/>
        </w:rPr>
        <w:t xml:space="preserve">e variables in Table </w:t>
      </w:r>
      <w:r w:rsidR="00452974" w:rsidRPr="00452974">
        <w:rPr>
          <w:rFonts w:ascii="Times New Roman" w:eastAsiaTheme="minorEastAsia" w:hAnsi="Times New Roman"/>
          <w:sz w:val="20"/>
          <w:szCs w:val="20"/>
          <w:lang w:eastAsia="zh-TW"/>
        </w:rPr>
        <w:t>III.</w:t>
      </w:r>
      <w:r w:rsidR="00452974">
        <w:rPr>
          <w:rFonts w:ascii="Times New Roman" w:eastAsiaTheme="minorEastAsia" w:hAnsi="Times New Roman"/>
          <w:sz w:val="20"/>
          <w:szCs w:val="20"/>
          <w:lang w:eastAsia="zh-TW"/>
        </w:rPr>
        <w:t xml:space="preserve"> We obtain </w:t>
      </w:r>
      <w:r w:rsidR="00AF2156">
        <w:rPr>
          <w:rFonts w:ascii="Times New Roman" w:eastAsiaTheme="minorEastAsia" w:hAnsi="Times New Roman"/>
          <w:sz w:val="20"/>
          <w:szCs w:val="20"/>
          <w:lang w:eastAsia="zh-TW"/>
        </w:rPr>
        <w:t>a chi-square statistic</w:t>
      </w:r>
      <w:r w:rsidR="00452974">
        <w:rPr>
          <w:rFonts w:ascii="Times New Roman" w:eastAsiaTheme="minorEastAsia" w:hAnsi="Times New Roman"/>
          <w:sz w:val="20"/>
          <w:szCs w:val="20"/>
          <w:lang w:eastAsia="zh-TW"/>
        </w:rPr>
        <w:t xml:space="preserve"> of </w:t>
      </w:r>
      <w:r w:rsidR="00AF2156">
        <w:rPr>
          <w:rFonts w:ascii="Times New Roman" w:eastAsiaTheme="minorEastAsia" w:hAnsi="Times New Roman"/>
          <w:sz w:val="20"/>
          <w:szCs w:val="20"/>
          <w:lang w:eastAsia="zh-TW"/>
        </w:rPr>
        <w:t>6</w:t>
      </w:r>
      <w:r w:rsidR="00A36C58">
        <w:rPr>
          <w:rFonts w:ascii="Times New Roman" w:eastAsiaTheme="minorEastAsia" w:hAnsi="Times New Roman"/>
          <w:sz w:val="20"/>
          <w:szCs w:val="20"/>
          <w:lang w:eastAsia="zh-TW"/>
        </w:rPr>
        <w:t>283</w:t>
      </w:r>
      <w:r w:rsidR="00AF2156">
        <w:rPr>
          <w:rFonts w:ascii="Times New Roman" w:eastAsiaTheme="minorEastAsia" w:hAnsi="Times New Roman"/>
          <w:sz w:val="20"/>
          <w:szCs w:val="20"/>
          <w:lang w:eastAsia="zh-TW"/>
        </w:rPr>
        <w:t xml:space="preserve">, which is </w:t>
      </w:r>
      <w:r w:rsidR="00242014">
        <w:rPr>
          <w:rFonts w:ascii="Times New Roman" w:eastAsiaTheme="minorEastAsia" w:hAnsi="Times New Roman"/>
          <w:sz w:val="20"/>
          <w:szCs w:val="20"/>
          <w:lang w:eastAsia="zh-TW"/>
        </w:rPr>
        <w:t>highly</w:t>
      </w:r>
      <w:r w:rsidR="00AF2156">
        <w:rPr>
          <w:rFonts w:ascii="Times New Roman" w:eastAsiaTheme="minorEastAsia" w:hAnsi="Times New Roman"/>
          <w:sz w:val="20"/>
          <w:szCs w:val="20"/>
          <w:lang w:eastAsia="zh-TW"/>
        </w:rPr>
        <w:t xml:space="preserve"> significant </w:t>
      </w:r>
      <w:r w:rsidR="00242014">
        <w:rPr>
          <w:rFonts w:ascii="Times New Roman" w:hAnsi="Times New Roman"/>
          <w:sz w:val="20"/>
          <w:szCs w:val="20"/>
          <w:lang w:eastAsia="zh-HK"/>
        </w:rPr>
        <w:t xml:space="preserve">(at a 99% critical value of </w:t>
      </w:r>
      <w:r w:rsidR="00242014" w:rsidRPr="00FD0F65">
        <w:rPr>
          <w:rFonts w:ascii="Times New Roman" w:hAnsi="Times New Roman"/>
          <w:sz w:val="20"/>
          <w:szCs w:val="20"/>
          <w:lang w:eastAsia="zh-HK"/>
        </w:rPr>
        <w:t>χ</w:t>
      </w:r>
      <w:r w:rsidR="00A36C58">
        <w:rPr>
          <w:rFonts w:ascii="Times New Roman" w:hAnsi="Times New Roman"/>
          <w:sz w:val="20"/>
          <w:szCs w:val="20"/>
          <w:vertAlign w:val="subscript"/>
          <w:lang w:eastAsia="zh-HK"/>
        </w:rPr>
        <w:t>369</w:t>
      </w:r>
      <w:r w:rsidR="00242014" w:rsidRPr="00FD0F65">
        <w:rPr>
          <w:rFonts w:ascii="Times New Roman" w:hAnsi="Times New Roman"/>
          <w:sz w:val="20"/>
          <w:szCs w:val="20"/>
          <w:vertAlign w:val="superscript"/>
          <w:lang w:eastAsia="zh-HK"/>
        </w:rPr>
        <w:t>2</w:t>
      </w:r>
      <w:r w:rsidR="00242014">
        <w:rPr>
          <w:rFonts w:ascii="Times New Roman" w:hAnsi="Times New Roman"/>
          <w:sz w:val="20"/>
          <w:szCs w:val="20"/>
          <w:lang w:eastAsia="zh-HK"/>
        </w:rPr>
        <w:t xml:space="preserve"> = </w:t>
      </w:r>
      <w:r w:rsidR="00A36C58">
        <w:rPr>
          <w:rFonts w:ascii="Times New Roman" w:hAnsi="Times New Roman"/>
          <w:sz w:val="20"/>
          <w:szCs w:val="20"/>
          <w:lang w:eastAsia="zh-HK"/>
        </w:rPr>
        <w:t>435.12</w:t>
      </w:r>
      <w:r w:rsidR="00242014">
        <w:rPr>
          <w:rFonts w:ascii="Times New Roman" w:hAnsi="Times New Roman"/>
          <w:sz w:val="20"/>
          <w:szCs w:val="20"/>
          <w:lang w:eastAsia="zh-HK"/>
        </w:rPr>
        <w:t xml:space="preserve">) </w:t>
      </w:r>
      <w:r w:rsidR="00AF2156">
        <w:rPr>
          <w:rFonts w:ascii="Times New Roman" w:eastAsiaTheme="minorEastAsia" w:hAnsi="Times New Roman"/>
          <w:sz w:val="20"/>
          <w:szCs w:val="20"/>
          <w:lang w:eastAsia="zh-TW"/>
        </w:rPr>
        <w:t>to reject the null of MCAR.</w:t>
      </w:r>
      <w:r w:rsidR="00452974" w:rsidRPr="00452974">
        <w:rPr>
          <w:rFonts w:ascii="Times New Roman" w:hAnsi="Times New Roman"/>
          <w:sz w:val="20"/>
          <w:szCs w:val="20"/>
          <w:lang w:eastAsia="zh-HK"/>
        </w:rPr>
        <w:t xml:space="preserve"> </w:t>
      </w:r>
      <w:r w:rsidR="00242014">
        <w:rPr>
          <w:rFonts w:ascii="Times New Roman" w:hAnsi="Times New Roman"/>
          <w:sz w:val="20"/>
          <w:szCs w:val="20"/>
          <w:lang w:eastAsia="zh-HK"/>
        </w:rPr>
        <w:t xml:space="preserve">Therefore, we conclude that the </w:t>
      </w:r>
      <w:r w:rsidR="00E17071">
        <w:rPr>
          <w:rFonts w:ascii="Times New Roman" w:hAnsi="Times New Roman"/>
          <w:sz w:val="20"/>
          <w:szCs w:val="20"/>
          <w:lang w:eastAsia="zh-HK"/>
        </w:rPr>
        <w:t xml:space="preserve">missing </w:t>
      </w:r>
      <w:r w:rsidR="00242014">
        <w:rPr>
          <w:rFonts w:ascii="Times New Roman" w:hAnsi="Times New Roman"/>
          <w:sz w:val="20"/>
          <w:szCs w:val="20"/>
          <w:lang w:eastAsia="zh-HK"/>
        </w:rPr>
        <w:t>accounting data in our sample are not MCAR.</w:t>
      </w:r>
    </w:p>
    <w:p w14:paraId="7CDDEB06" w14:textId="73874114" w:rsidR="00242014" w:rsidRDefault="00242014" w:rsidP="00F75CED">
      <w:pPr>
        <w:spacing w:after="0" w:line="260" w:lineRule="exact"/>
        <w:jc w:val="both"/>
        <w:rPr>
          <w:rFonts w:ascii="Times New Roman" w:hAnsi="Times New Roman"/>
          <w:sz w:val="20"/>
          <w:szCs w:val="20"/>
          <w:lang w:eastAsia="zh-HK"/>
        </w:rPr>
      </w:pPr>
    </w:p>
    <w:p w14:paraId="26D88DC9" w14:textId="3C5C90EF" w:rsidR="00242014" w:rsidRDefault="00242014" w:rsidP="00F75CED">
      <w:pPr>
        <w:spacing w:after="0" w:line="260" w:lineRule="exact"/>
        <w:jc w:val="both"/>
        <w:rPr>
          <w:rFonts w:ascii="Times New Roman" w:hAnsi="Times New Roman"/>
          <w:sz w:val="20"/>
          <w:szCs w:val="20"/>
          <w:lang w:eastAsia="zh-HK"/>
        </w:rPr>
      </w:pPr>
      <w:r>
        <w:rPr>
          <w:rFonts w:ascii="Times New Roman" w:hAnsi="Times New Roman"/>
          <w:sz w:val="20"/>
          <w:szCs w:val="20"/>
          <w:lang w:eastAsia="zh-HK"/>
        </w:rPr>
        <w:t xml:space="preserve">To cast doubt on whether the missing data problem would bias our baseline regression results in section 3, we apply the multiple imputation method proposed by Rubin (1987) and use the information revealed from the non-missing data in our sample to impute the missing values. </w:t>
      </w:r>
      <w:r w:rsidR="00722750">
        <w:rPr>
          <w:rFonts w:ascii="Times New Roman" w:hAnsi="Times New Roman"/>
          <w:sz w:val="20"/>
          <w:szCs w:val="20"/>
          <w:lang w:eastAsia="zh-HK"/>
        </w:rPr>
        <w:t xml:space="preserve">As we have more than 20% of missing information for the quarterly accounting data, we follow Graham </w:t>
      </w:r>
      <w:r w:rsidR="00722750" w:rsidRPr="00722750">
        <w:rPr>
          <w:rFonts w:ascii="Times New Roman" w:hAnsi="Times New Roman"/>
          <w:i/>
          <w:sz w:val="20"/>
          <w:szCs w:val="20"/>
          <w:lang w:eastAsia="zh-HK"/>
        </w:rPr>
        <w:t xml:space="preserve">et al. </w:t>
      </w:r>
      <w:r w:rsidR="00722750">
        <w:rPr>
          <w:rFonts w:ascii="Times New Roman" w:hAnsi="Times New Roman"/>
          <w:sz w:val="20"/>
          <w:szCs w:val="20"/>
          <w:lang w:eastAsia="zh-HK"/>
        </w:rPr>
        <w:t xml:space="preserve">(2007)’s suggestion to implement 20 imputations for each missing data, with the willingness to tolerate 1% power falloff. </w:t>
      </w:r>
      <w:r w:rsidR="00AF1251">
        <w:rPr>
          <w:rFonts w:ascii="Times New Roman" w:hAnsi="Times New Roman"/>
          <w:sz w:val="20"/>
          <w:szCs w:val="20"/>
          <w:lang w:eastAsia="zh-HK"/>
        </w:rPr>
        <w:t>With the imputed values for missing accounting data, we repeat the regression anal</w:t>
      </w:r>
      <w:r w:rsidR="002705D3">
        <w:rPr>
          <w:rFonts w:ascii="Times New Roman" w:hAnsi="Times New Roman"/>
          <w:sz w:val="20"/>
          <w:szCs w:val="20"/>
          <w:lang w:eastAsia="zh-HK"/>
        </w:rPr>
        <w:t>ysis with the larger sample</w:t>
      </w:r>
      <w:r w:rsidR="00AF1251">
        <w:rPr>
          <w:rFonts w:ascii="Times New Roman" w:hAnsi="Times New Roman"/>
          <w:sz w:val="20"/>
          <w:szCs w:val="20"/>
          <w:lang w:eastAsia="zh-HK"/>
        </w:rPr>
        <w:t xml:space="preserve">. The results are reported in Table </w:t>
      </w:r>
      <w:r w:rsidR="00580750">
        <w:rPr>
          <w:rFonts w:ascii="Times New Roman" w:hAnsi="Times New Roman"/>
          <w:sz w:val="20"/>
          <w:szCs w:val="20"/>
          <w:lang w:eastAsia="zh-HK"/>
        </w:rPr>
        <w:t>X</w:t>
      </w:r>
      <w:r w:rsidR="00516A9F">
        <w:rPr>
          <w:rFonts w:ascii="Times New Roman" w:hAnsi="Times New Roman"/>
          <w:sz w:val="20"/>
          <w:szCs w:val="20"/>
          <w:lang w:eastAsia="zh-HK"/>
        </w:rPr>
        <w:t>I</w:t>
      </w:r>
      <w:r w:rsidR="00AF1251">
        <w:rPr>
          <w:rFonts w:ascii="Times New Roman" w:hAnsi="Times New Roman"/>
          <w:sz w:val="20"/>
          <w:szCs w:val="20"/>
          <w:lang w:eastAsia="zh-HK"/>
        </w:rPr>
        <w:t>.</w:t>
      </w:r>
    </w:p>
    <w:p w14:paraId="30B9F424" w14:textId="77777777" w:rsidR="00580750" w:rsidRDefault="00580750" w:rsidP="00580750">
      <w:pPr>
        <w:spacing w:after="0" w:line="260" w:lineRule="exact"/>
        <w:jc w:val="both"/>
        <w:rPr>
          <w:rFonts w:ascii="Times New Roman" w:eastAsiaTheme="minorEastAsia" w:hAnsi="Times New Roman"/>
          <w:sz w:val="16"/>
          <w:szCs w:val="16"/>
          <w:lang w:eastAsia="zh-HK"/>
        </w:rPr>
      </w:pPr>
    </w:p>
    <w:p w14:paraId="68D7DDBF" w14:textId="41A25295" w:rsidR="00580750" w:rsidRPr="00736DE5" w:rsidRDefault="00580750" w:rsidP="00580750">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w:t>
      </w:r>
      <w:r>
        <w:rPr>
          <w:rFonts w:ascii="Times New Roman" w:eastAsiaTheme="minorEastAsia" w:hAnsi="Times New Roman"/>
          <w:b/>
          <w:sz w:val="20"/>
          <w:szCs w:val="20"/>
          <w:lang w:eastAsia="zh-HK"/>
        </w:rPr>
        <w:t>Table X</w:t>
      </w:r>
      <w:r w:rsidR="00516A9F">
        <w:rPr>
          <w:rFonts w:ascii="Times New Roman" w:eastAsiaTheme="minorEastAsia" w:hAnsi="Times New Roman"/>
          <w:b/>
          <w:sz w:val="20"/>
          <w:szCs w:val="20"/>
          <w:lang w:eastAsia="zh-HK"/>
        </w:rPr>
        <w:t>I</w:t>
      </w:r>
      <w:r w:rsidRPr="00B86E32">
        <w:rPr>
          <w:rFonts w:ascii="Times New Roman" w:eastAsiaTheme="minorEastAsia" w:hAnsi="Times New Roman"/>
          <w:b/>
          <w:sz w:val="20"/>
          <w:szCs w:val="20"/>
          <w:lang w:eastAsia="zh-HK"/>
        </w:rPr>
        <w:t xml:space="preserve"> inserted here]</w:t>
      </w:r>
    </w:p>
    <w:p w14:paraId="3C62CBF8" w14:textId="77777777" w:rsidR="00580750" w:rsidRPr="00B86E32" w:rsidRDefault="00580750" w:rsidP="00580750">
      <w:pPr>
        <w:spacing w:after="0" w:line="260" w:lineRule="exact"/>
        <w:jc w:val="both"/>
        <w:rPr>
          <w:rFonts w:ascii="Times New Roman" w:eastAsiaTheme="minorEastAsia" w:hAnsi="Times New Roman"/>
          <w:sz w:val="20"/>
          <w:szCs w:val="20"/>
          <w:lang w:eastAsia="zh-HK"/>
        </w:rPr>
      </w:pPr>
    </w:p>
    <w:p w14:paraId="37B5376F" w14:textId="6D3C66B0" w:rsidR="00580750" w:rsidRDefault="002503F9" w:rsidP="00F75CED">
      <w:pPr>
        <w:spacing w:after="0" w:line="260" w:lineRule="exact"/>
        <w:jc w:val="both"/>
        <w:rPr>
          <w:rFonts w:ascii="Times New Roman" w:hAnsi="Times New Roman"/>
          <w:sz w:val="20"/>
          <w:szCs w:val="20"/>
          <w:lang w:eastAsia="zh-HK"/>
        </w:rPr>
      </w:pPr>
      <w:r>
        <w:rPr>
          <w:rFonts w:ascii="Times New Roman" w:hAnsi="Times New Roman"/>
          <w:sz w:val="20"/>
          <w:szCs w:val="20"/>
          <w:lang w:eastAsia="zh-HK"/>
        </w:rPr>
        <w:t xml:space="preserve">Column 1, 2 and 3 report the estimated coefficients of regression with imputed values for all the missing </w:t>
      </w:r>
      <w:r w:rsidR="003E2081">
        <w:rPr>
          <w:rFonts w:ascii="Times New Roman" w:hAnsi="Times New Roman"/>
          <w:sz w:val="20"/>
          <w:szCs w:val="20"/>
          <w:lang w:eastAsia="zh-HK"/>
        </w:rPr>
        <w:t xml:space="preserve">quarterly </w:t>
      </w:r>
      <w:r>
        <w:rPr>
          <w:rFonts w:ascii="Times New Roman" w:hAnsi="Times New Roman"/>
          <w:sz w:val="20"/>
          <w:szCs w:val="20"/>
          <w:lang w:eastAsia="zh-HK"/>
        </w:rPr>
        <w:t xml:space="preserve">accounting data. </w:t>
      </w:r>
      <w:r w:rsidR="004B6B26">
        <w:rPr>
          <w:rFonts w:ascii="Times New Roman" w:hAnsi="Times New Roman" w:hint="eastAsia"/>
          <w:sz w:val="20"/>
          <w:szCs w:val="20"/>
          <w:lang w:eastAsia="zh-HK"/>
        </w:rPr>
        <w:t>As noted from the estimated coefficient</w:t>
      </w:r>
      <w:r w:rsidR="003E2081">
        <w:rPr>
          <w:rFonts w:ascii="Times New Roman" w:hAnsi="Times New Roman"/>
          <w:sz w:val="20"/>
          <w:szCs w:val="20"/>
          <w:lang w:eastAsia="zh-HK"/>
        </w:rPr>
        <w:t>s</w:t>
      </w:r>
      <w:r w:rsidR="004B6B26">
        <w:rPr>
          <w:rFonts w:ascii="Times New Roman" w:hAnsi="Times New Roman" w:hint="eastAsia"/>
          <w:sz w:val="20"/>
          <w:szCs w:val="20"/>
          <w:lang w:eastAsia="zh-HK"/>
        </w:rPr>
        <w:t xml:space="preserve"> for the interaction term </w:t>
      </w:r>
      <w:r w:rsidR="004B6B26" w:rsidRPr="00E64B2B">
        <w:rPr>
          <w:rFonts w:ascii="Times New Roman" w:hAnsi="Times New Roman"/>
          <w:i/>
          <w:sz w:val="20"/>
          <w:szCs w:val="20"/>
          <w:lang w:eastAsia="zh-HK"/>
        </w:rPr>
        <w:t>Policy x GSII</w:t>
      </w:r>
      <w:r w:rsidR="004B6B26">
        <w:rPr>
          <w:rFonts w:ascii="Times New Roman" w:hAnsi="Times New Roman"/>
          <w:sz w:val="20"/>
          <w:szCs w:val="20"/>
          <w:lang w:eastAsia="zh-HK"/>
        </w:rPr>
        <w:t>, the regression results are similar to that of the baseline regression re</w:t>
      </w:r>
      <w:r w:rsidR="003E2081">
        <w:rPr>
          <w:rFonts w:ascii="Times New Roman" w:hAnsi="Times New Roman"/>
          <w:sz w:val="20"/>
          <w:szCs w:val="20"/>
          <w:lang w:eastAsia="zh-HK"/>
        </w:rPr>
        <w:t>ported in Table V. The variable</w:t>
      </w:r>
      <w:r w:rsidR="004B6B26">
        <w:rPr>
          <w:rFonts w:ascii="Times New Roman" w:hAnsi="Times New Roman"/>
          <w:sz w:val="20"/>
          <w:szCs w:val="20"/>
          <w:lang w:eastAsia="zh-HK"/>
        </w:rPr>
        <w:t xml:space="preserve"> of interest in the first row of Table X</w:t>
      </w:r>
      <w:r w:rsidR="00516A9F">
        <w:rPr>
          <w:rFonts w:ascii="Times New Roman" w:hAnsi="Times New Roman"/>
          <w:sz w:val="20"/>
          <w:szCs w:val="20"/>
          <w:lang w:eastAsia="zh-HK"/>
        </w:rPr>
        <w:t>I</w:t>
      </w:r>
      <w:r w:rsidR="004B6B26">
        <w:rPr>
          <w:rFonts w:ascii="Times New Roman" w:hAnsi="Times New Roman"/>
          <w:sz w:val="20"/>
          <w:szCs w:val="20"/>
          <w:lang w:eastAsia="zh-HK"/>
        </w:rPr>
        <w:t xml:space="preserve"> are statistically significant and their magnitude are similar to that reported in Table V</w:t>
      </w:r>
      <w:r w:rsidR="00A33B16">
        <w:rPr>
          <w:rFonts w:ascii="Times New Roman" w:hAnsi="Times New Roman"/>
          <w:sz w:val="20"/>
          <w:szCs w:val="20"/>
          <w:lang w:eastAsia="zh-HK"/>
        </w:rPr>
        <w:t xml:space="preserve">, </w:t>
      </w:r>
      <w:r w:rsidR="00A33B16">
        <w:rPr>
          <w:rFonts w:ascii="Times New Roman" w:hAnsi="Times New Roman"/>
          <w:sz w:val="20"/>
          <w:szCs w:val="20"/>
          <w:lang w:eastAsia="zh-HK"/>
        </w:rPr>
        <w:lastRenderedPageBreak/>
        <w:t xml:space="preserve">suggesting </w:t>
      </w:r>
      <w:r w:rsidR="003E2081">
        <w:rPr>
          <w:rFonts w:ascii="Times New Roman" w:hAnsi="Times New Roman"/>
          <w:sz w:val="20"/>
          <w:szCs w:val="20"/>
          <w:lang w:eastAsia="zh-HK"/>
        </w:rPr>
        <w:t>that the new regulation is effective in reducing system</w:t>
      </w:r>
      <w:r w:rsidR="00A33B16">
        <w:rPr>
          <w:rFonts w:ascii="Times New Roman" w:hAnsi="Times New Roman"/>
          <w:sz w:val="20"/>
          <w:szCs w:val="20"/>
          <w:lang w:eastAsia="zh-HK"/>
        </w:rPr>
        <w:t>ic risks of G-SIIs after we address the missing data problem</w:t>
      </w:r>
      <w:r w:rsidR="004B6B26">
        <w:rPr>
          <w:rFonts w:ascii="Times New Roman" w:hAnsi="Times New Roman"/>
          <w:sz w:val="20"/>
          <w:szCs w:val="20"/>
          <w:lang w:eastAsia="zh-HK"/>
        </w:rPr>
        <w:t>. Taken together, we conclude that although the quarterly accounting data in our sample are not MCAR, our regression results are not biased by the missing data.</w:t>
      </w:r>
    </w:p>
    <w:p w14:paraId="2FD53350" w14:textId="77777777" w:rsidR="00BB3843" w:rsidRDefault="00BB3843" w:rsidP="00BB3843">
      <w:pPr>
        <w:spacing w:after="0" w:line="260" w:lineRule="exact"/>
        <w:jc w:val="both"/>
        <w:rPr>
          <w:rFonts w:ascii="Times New Roman" w:eastAsiaTheme="minorEastAsia" w:hAnsi="Times New Roman"/>
          <w:sz w:val="20"/>
          <w:szCs w:val="20"/>
          <w:lang w:eastAsia="zh-HK"/>
        </w:rPr>
      </w:pPr>
    </w:p>
    <w:p w14:paraId="211E4328" w14:textId="7867DF26" w:rsidR="00BB3843" w:rsidRPr="007C0A8B" w:rsidRDefault="00BB3843" w:rsidP="00BB3843">
      <w:pPr>
        <w:pStyle w:val="ListParagraph"/>
        <w:numPr>
          <w:ilvl w:val="1"/>
          <w:numId w:val="1"/>
        </w:numPr>
        <w:spacing w:after="0" w:line="240" w:lineRule="auto"/>
        <w:ind w:leftChars="0"/>
        <w:jc w:val="both"/>
        <w:rPr>
          <w:rFonts w:ascii="Times New Roman" w:eastAsiaTheme="minorEastAsia" w:hAnsi="Times New Roman"/>
          <w:b/>
          <w:i/>
          <w:sz w:val="20"/>
          <w:szCs w:val="20"/>
          <w:lang w:eastAsia="zh-HK"/>
        </w:rPr>
      </w:pPr>
      <w:r>
        <w:rPr>
          <w:rFonts w:ascii="Times New Roman" w:eastAsiaTheme="minorEastAsia" w:hAnsi="Times New Roman"/>
          <w:b/>
          <w:i/>
          <w:sz w:val="20"/>
          <w:szCs w:val="20"/>
          <w:lang w:eastAsia="zh-HK"/>
        </w:rPr>
        <w:t xml:space="preserve">Does the new regulation affect the characteristics of </w:t>
      </w:r>
      <w:r>
        <w:rPr>
          <w:rFonts w:ascii="Times New Roman" w:eastAsiaTheme="minorEastAsia" w:hAnsi="Times New Roman" w:hint="eastAsia"/>
          <w:b/>
          <w:i/>
          <w:sz w:val="20"/>
          <w:szCs w:val="20"/>
          <w:lang w:eastAsia="zh-TW"/>
        </w:rPr>
        <w:t>G-SII</w:t>
      </w:r>
      <w:r>
        <w:rPr>
          <w:rFonts w:ascii="Times New Roman" w:eastAsiaTheme="minorEastAsia" w:hAnsi="Times New Roman" w:hint="eastAsia"/>
          <w:b/>
          <w:i/>
          <w:sz w:val="20"/>
          <w:szCs w:val="20"/>
          <w:lang w:eastAsia="zh-HK"/>
        </w:rPr>
        <w:t>s</w:t>
      </w:r>
      <w:r>
        <w:rPr>
          <w:rFonts w:ascii="Times New Roman" w:eastAsiaTheme="minorEastAsia" w:hAnsi="Times New Roman"/>
          <w:b/>
          <w:i/>
          <w:sz w:val="20"/>
          <w:szCs w:val="20"/>
          <w:lang w:eastAsia="zh-HK"/>
        </w:rPr>
        <w:t>?</w:t>
      </w:r>
    </w:p>
    <w:p w14:paraId="413C5317" w14:textId="359DF321" w:rsidR="00BB3843" w:rsidRDefault="00016F56" w:rsidP="00BB3843">
      <w:pPr>
        <w:spacing w:after="0" w:line="260" w:lineRule="exact"/>
        <w:jc w:val="both"/>
        <w:rPr>
          <w:rFonts w:ascii="Times New Roman" w:hAnsi="Times New Roman"/>
          <w:sz w:val="20"/>
          <w:szCs w:val="20"/>
          <w:lang w:eastAsia="zh-HK"/>
        </w:rPr>
      </w:pPr>
      <w:r>
        <w:rPr>
          <w:rFonts w:ascii="Times New Roman" w:eastAsiaTheme="minorEastAsia" w:hAnsi="Times New Roman"/>
          <w:sz w:val="20"/>
          <w:szCs w:val="20"/>
          <w:lang w:eastAsia="zh-HK"/>
        </w:rPr>
        <w:t xml:space="preserve">As both the construction of MES, SRISK and </w:t>
      </w:r>
      <w:proofErr w:type="spellStart"/>
      <w:r>
        <w:rPr>
          <w:rFonts w:ascii="Times New Roman" w:hAnsi="Times New Roman"/>
          <w:sz w:val="20"/>
          <w:szCs w:val="20"/>
          <w:lang w:eastAsia="zh-HK"/>
        </w:rPr>
        <w:t>Δ</w:t>
      </w:r>
      <w:r w:rsidRPr="00AB37EA">
        <w:rPr>
          <w:rFonts w:ascii="Times New Roman" w:hAnsi="Times New Roman"/>
          <w:sz w:val="20"/>
          <w:szCs w:val="20"/>
          <w:lang w:eastAsia="zh-HK"/>
        </w:rPr>
        <w:t>CoVAR</w:t>
      </w:r>
      <w:proofErr w:type="spellEnd"/>
      <w:r>
        <w:rPr>
          <w:rFonts w:ascii="Times New Roman" w:hAnsi="Times New Roman"/>
          <w:sz w:val="20"/>
          <w:szCs w:val="20"/>
          <w:lang w:eastAsia="zh-HK"/>
        </w:rPr>
        <w:t xml:space="preserve"> are based on stock returns, one potential criticism is that all the risk measures only reflect the insurers’ systemic risks perceived by the investors, but do not reflect the</w:t>
      </w:r>
      <w:r w:rsidR="00F17945">
        <w:rPr>
          <w:rFonts w:ascii="Times New Roman" w:hAnsi="Times New Roman"/>
          <w:sz w:val="20"/>
          <w:szCs w:val="20"/>
          <w:lang w:eastAsia="zh-HK"/>
        </w:rPr>
        <w:t>ir</w:t>
      </w:r>
      <w:r>
        <w:rPr>
          <w:rFonts w:ascii="Times New Roman" w:hAnsi="Times New Roman"/>
          <w:sz w:val="20"/>
          <w:szCs w:val="20"/>
          <w:lang w:eastAsia="zh-HK"/>
        </w:rPr>
        <w:t xml:space="preserve"> </w:t>
      </w:r>
      <w:r w:rsidR="00F17945">
        <w:rPr>
          <w:rFonts w:ascii="Times New Roman" w:hAnsi="Times New Roman"/>
          <w:sz w:val="20"/>
          <w:szCs w:val="20"/>
          <w:lang w:eastAsia="zh-HK"/>
        </w:rPr>
        <w:t>systemic importance</w:t>
      </w:r>
      <w:r>
        <w:rPr>
          <w:rFonts w:ascii="Times New Roman" w:hAnsi="Times New Roman"/>
          <w:sz w:val="20"/>
          <w:szCs w:val="20"/>
          <w:lang w:eastAsia="zh-HK"/>
        </w:rPr>
        <w:t xml:space="preserve"> generated by</w:t>
      </w:r>
      <w:r w:rsidR="00F17945">
        <w:rPr>
          <w:rFonts w:ascii="Times New Roman" w:hAnsi="Times New Roman"/>
          <w:sz w:val="20"/>
          <w:szCs w:val="20"/>
          <w:lang w:eastAsia="zh-HK"/>
        </w:rPr>
        <w:t xml:space="preserve"> the</w:t>
      </w:r>
      <w:r>
        <w:rPr>
          <w:rFonts w:ascii="Times New Roman" w:hAnsi="Times New Roman"/>
          <w:sz w:val="20"/>
          <w:szCs w:val="20"/>
          <w:lang w:eastAsia="zh-HK"/>
        </w:rPr>
        <w:t xml:space="preserve"> insurer-specific characteristics. It remains unclear whether the new regulation </w:t>
      </w:r>
      <w:r w:rsidR="00A37257">
        <w:rPr>
          <w:rFonts w:ascii="Times New Roman" w:hAnsi="Times New Roman"/>
          <w:sz w:val="20"/>
          <w:szCs w:val="20"/>
          <w:lang w:eastAsia="zh-HK"/>
        </w:rPr>
        <w:t>changes the characteristics of G-SIIs.</w:t>
      </w:r>
    </w:p>
    <w:p w14:paraId="39410831" w14:textId="35F515F0" w:rsidR="00A37257" w:rsidRDefault="00A37257" w:rsidP="00BB3843">
      <w:pPr>
        <w:spacing w:after="0" w:line="260" w:lineRule="exact"/>
        <w:jc w:val="both"/>
        <w:rPr>
          <w:rFonts w:ascii="Times New Roman" w:hAnsi="Times New Roman"/>
          <w:sz w:val="20"/>
          <w:szCs w:val="20"/>
          <w:lang w:eastAsia="zh-HK"/>
        </w:rPr>
      </w:pPr>
    </w:p>
    <w:p w14:paraId="165771CE" w14:textId="2370AD7F" w:rsidR="00A37257" w:rsidRDefault="00A37257" w:rsidP="00BB3843">
      <w:pPr>
        <w:spacing w:after="0" w:line="260" w:lineRule="exact"/>
        <w:jc w:val="both"/>
        <w:rPr>
          <w:rFonts w:ascii="Times New Roman" w:hAnsi="Times New Roman"/>
          <w:sz w:val="20"/>
          <w:szCs w:val="20"/>
          <w:lang w:eastAsia="zh-HK"/>
        </w:rPr>
      </w:pPr>
      <w:r>
        <w:rPr>
          <w:rFonts w:ascii="Times New Roman" w:hAnsi="Times New Roman"/>
          <w:sz w:val="20"/>
          <w:szCs w:val="20"/>
          <w:lang w:eastAsia="zh-HK"/>
        </w:rPr>
        <w:t xml:space="preserve">To address this question, we </w:t>
      </w:r>
      <w:r w:rsidR="00067B13">
        <w:rPr>
          <w:rFonts w:ascii="Times New Roman" w:hAnsi="Times New Roman"/>
          <w:sz w:val="20"/>
          <w:szCs w:val="20"/>
          <w:lang w:eastAsia="zh-HK"/>
        </w:rPr>
        <w:t>follow</w:t>
      </w:r>
      <w:r w:rsidR="0075435C">
        <w:rPr>
          <w:rFonts w:ascii="Times New Roman" w:hAnsi="Times New Roman"/>
          <w:sz w:val="20"/>
          <w:szCs w:val="20"/>
          <w:lang w:eastAsia="zh-HK"/>
        </w:rPr>
        <w:t xml:space="preserve"> </w:t>
      </w:r>
      <w:proofErr w:type="spellStart"/>
      <w:r w:rsidR="0075435C">
        <w:rPr>
          <w:rFonts w:ascii="Times New Roman" w:hAnsi="Times New Roman"/>
          <w:sz w:val="20"/>
          <w:szCs w:val="20"/>
          <w:lang w:eastAsia="zh-HK"/>
        </w:rPr>
        <w:t>Bramer</w:t>
      </w:r>
      <w:proofErr w:type="spellEnd"/>
      <w:r w:rsidR="0075435C">
        <w:rPr>
          <w:rFonts w:ascii="Times New Roman" w:hAnsi="Times New Roman"/>
          <w:sz w:val="20"/>
          <w:szCs w:val="20"/>
          <w:lang w:eastAsia="zh-HK"/>
        </w:rPr>
        <w:t xml:space="preserve"> and </w:t>
      </w:r>
      <w:proofErr w:type="spellStart"/>
      <w:r w:rsidR="0075435C">
        <w:rPr>
          <w:rFonts w:ascii="Times New Roman" w:hAnsi="Times New Roman"/>
          <w:sz w:val="20"/>
          <w:szCs w:val="20"/>
          <w:lang w:eastAsia="zh-HK"/>
        </w:rPr>
        <w:t>Gischer</w:t>
      </w:r>
      <w:proofErr w:type="spellEnd"/>
      <w:r w:rsidR="0075435C">
        <w:rPr>
          <w:rFonts w:ascii="Times New Roman" w:hAnsi="Times New Roman"/>
          <w:sz w:val="20"/>
          <w:szCs w:val="20"/>
          <w:lang w:eastAsia="zh-HK"/>
        </w:rPr>
        <w:t xml:space="preserve"> </w:t>
      </w:r>
      <w:r w:rsidR="003D46C9">
        <w:rPr>
          <w:rFonts w:ascii="Times New Roman" w:hAnsi="Times New Roman"/>
          <w:sz w:val="20"/>
          <w:szCs w:val="20"/>
          <w:lang w:eastAsia="zh-HK"/>
        </w:rPr>
        <w:t xml:space="preserve">(2013) to construct the systemic importance score based on accounting data. </w:t>
      </w:r>
      <w:r w:rsidR="00B16B0C">
        <w:rPr>
          <w:rFonts w:ascii="Times New Roman" w:hAnsi="Times New Roman"/>
          <w:sz w:val="20"/>
          <w:szCs w:val="20"/>
          <w:lang w:eastAsia="zh-HK"/>
        </w:rPr>
        <w:t xml:space="preserve">As their proposed score is intended to measure the systemic importance of banks, we modify the proposed score according to the indicators suggested by the IAIS (2016) to measure the systemic importance of insurers. While we are unable to include all the IAIS’s suggested indicators due to the limited availability of data from the </w:t>
      </w:r>
      <w:r w:rsidR="00B16B0C" w:rsidRPr="006034DD">
        <w:rPr>
          <w:rFonts w:ascii="Times New Roman" w:eastAsiaTheme="minorEastAsia" w:hAnsi="Times New Roman" w:hint="eastAsia"/>
          <w:i/>
          <w:sz w:val="20"/>
          <w:szCs w:val="20"/>
          <w:lang w:eastAsia="zh-HK"/>
        </w:rPr>
        <w:t xml:space="preserve">Thomson Reuters Financial </w:t>
      </w:r>
      <w:proofErr w:type="spellStart"/>
      <w:r w:rsidR="00B16B0C" w:rsidRPr="006034DD">
        <w:rPr>
          <w:rFonts w:ascii="Times New Roman" w:eastAsiaTheme="minorEastAsia" w:hAnsi="Times New Roman" w:hint="eastAsia"/>
          <w:i/>
          <w:sz w:val="20"/>
          <w:szCs w:val="20"/>
          <w:lang w:eastAsia="zh-HK"/>
        </w:rPr>
        <w:t>Datastream</w:t>
      </w:r>
      <w:proofErr w:type="spellEnd"/>
      <w:r w:rsidR="00B16B0C">
        <w:rPr>
          <w:rFonts w:ascii="Times New Roman" w:eastAsiaTheme="minorEastAsia" w:hAnsi="Times New Roman"/>
          <w:sz w:val="20"/>
          <w:szCs w:val="20"/>
          <w:lang w:eastAsia="zh-HK"/>
        </w:rPr>
        <w:t xml:space="preserve">, </w:t>
      </w:r>
      <w:r w:rsidR="00B16B0C">
        <w:rPr>
          <w:rFonts w:ascii="Times New Roman" w:hAnsi="Times New Roman"/>
          <w:sz w:val="20"/>
          <w:szCs w:val="20"/>
          <w:lang w:eastAsia="zh-HK"/>
        </w:rPr>
        <w:t xml:space="preserve">we </w:t>
      </w:r>
      <w:r w:rsidR="007E2301">
        <w:rPr>
          <w:rFonts w:ascii="Times New Roman" w:hAnsi="Times New Roman"/>
          <w:sz w:val="20"/>
          <w:szCs w:val="20"/>
          <w:lang w:eastAsia="zh-HK"/>
        </w:rPr>
        <w:t>consider</w:t>
      </w:r>
      <w:r w:rsidR="00B16B0C">
        <w:rPr>
          <w:rFonts w:ascii="Times New Roman" w:hAnsi="Times New Roman"/>
          <w:sz w:val="20"/>
          <w:szCs w:val="20"/>
          <w:lang w:eastAsia="zh-HK"/>
        </w:rPr>
        <w:t xml:space="preserve"> that the modified systemic importance score </w:t>
      </w:r>
      <w:r w:rsidR="007E3247">
        <w:rPr>
          <w:rFonts w:ascii="Times New Roman" w:hAnsi="Times New Roman"/>
          <w:sz w:val="20"/>
          <w:szCs w:val="20"/>
          <w:lang w:eastAsia="zh-HK"/>
        </w:rPr>
        <w:t xml:space="preserve">captures </w:t>
      </w:r>
      <w:r w:rsidR="00416C74">
        <w:rPr>
          <w:rFonts w:ascii="Times New Roman" w:hAnsi="Times New Roman"/>
          <w:sz w:val="20"/>
          <w:szCs w:val="20"/>
          <w:lang w:eastAsia="zh-HK"/>
        </w:rPr>
        <w:t>many</w:t>
      </w:r>
      <w:r w:rsidR="007E3247">
        <w:rPr>
          <w:rFonts w:ascii="Times New Roman" w:hAnsi="Times New Roman"/>
          <w:sz w:val="20"/>
          <w:szCs w:val="20"/>
          <w:lang w:eastAsia="zh-HK"/>
        </w:rPr>
        <w:t xml:space="preserve"> of the </w:t>
      </w:r>
      <w:r w:rsidR="007E3247">
        <w:rPr>
          <w:rFonts w:ascii="Times New Roman" w:hAnsi="Times New Roman" w:hint="eastAsia"/>
          <w:sz w:val="20"/>
          <w:szCs w:val="20"/>
          <w:lang w:eastAsia="zh-HK"/>
        </w:rPr>
        <w:t>I</w:t>
      </w:r>
      <w:r w:rsidR="007E3247">
        <w:rPr>
          <w:rFonts w:ascii="Times New Roman" w:hAnsi="Times New Roman"/>
          <w:sz w:val="20"/>
          <w:szCs w:val="20"/>
          <w:lang w:eastAsia="zh-HK"/>
        </w:rPr>
        <w:t>AIS’s suggested indicators and reflects the insurers’ relative systemic importance</w:t>
      </w:r>
      <w:r w:rsidR="00D63397">
        <w:rPr>
          <w:rFonts w:ascii="Times New Roman" w:hAnsi="Times New Roman"/>
          <w:sz w:val="20"/>
          <w:szCs w:val="20"/>
          <w:lang w:eastAsia="zh-HK"/>
        </w:rPr>
        <w:t xml:space="preserve"> due to their firm</w:t>
      </w:r>
      <w:r w:rsidR="00D31961">
        <w:rPr>
          <w:rFonts w:ascii="Times New Roman" w:hAnsi="Times New Roman"/>
          <w:sz w:val="20"/>
          <w:szCs w:val="20"/>
          <w:lang w:eastAsia="zh-HK"/>
        </w:rPr>
        <w:t xml:space="preserve"> characteristics</w:t>
      </w:r>
      <w:r w:rsidR="007E3247">
        <w:rPr>
          <w:rFonts w:ascii="Times New Roman" w:hAnsi="Times New Roman"/>
          <w:sz w:val="20"/>
          <w:szCs w:val="20"/>
          <w:lang w:eastAsia="zh-HK"/>
        </w:rPr>
        <w:t>.</w:t>
      </w:r>
      <w:r w:rsidR="007837FF">
        <w:rPr>
          <w:rFonts w:ascii="Times New Roman" w:hAnsi="Times New Roman"/>
          <w:sz w:val="20"/>
          <w:szCs w:val="20"/>
          <w:lang w:eastAsia="zh-HK"/>
        </w:rPr>
        <w:t xml:space="preserve"> </w:t>
      </w:r>
      <w:r w:rsidR="00D63397">
        <w:rPr>
          <w:rFonts w:ascii="Times New Roman" w:hAnsi="Times New Roman"/>
          <w:sz w:val="20"/>
          <w:szCs w:val="20"/>
          <w:lang w:eastAsia="zh-HK"/>
        </w:rPr>
        <w:t>T</w:t>
      </w:r>
      <w:r w:rsidR="00305C12">
        <w:rPr>
          <w:rFonts w:ascii="Times New Roman" w:hAnsi="Times New Roman"/>
          <w:sz w:val="20"/>
          <w:szCs w:val="20"/>
          <w:lang w:eastAsia="zh-HK"/>
        </w:rPr>
        <w:t xml:space="preserve">he systemic importance </w:t>
      </w:r>
      <w:r w:rsidR="006E4540">
        <w:rPr>
          <w:rFonts w:ascii="Times New Roman" w:hAnsi="Times New Roman"/>
          <w:sz w:val="20"/>
          <w:szCs w:val="20"/>
          <w:lang w:eastAsia="zh-HK"/>
        </w:rPr>
        <w:t>score</w:t>
      </w:r>
      <w:r w:rsidR="00305C12">
        <w:rPr>
          <w:rFonts w:ascii="Times New Roman" w:hAnsi="Times New Roman"/>
          <w:sz w:val="20"/>
          <w:szCs w:val="20"/>
          <w:lang w:eastAsia="zh-HK"/>
        </w:rPr>
        <w:t xml:space="preserve"> </w:t>
      </w:r>
      <w:r w:rsidR="00D5330C">
        <w:rPr>
          <w:rFonts w:ascii="Times New Roman" w:hAnsi="Times New Roman"/>
          <w:sz w:val="20"/>
          <w:szCs w:val="20"/>
          <w:lang w:eastAsia="zh-HK"/>
        </w:rPr>
        <w:t xml:space="preserve">for insurer </w:t>
      </w:r>
      <w:proofErr w:type="spellStart"/>
      <w:r w:rsidR="00D5330C">
        <w:rPr>
          <w:rFonts w:ascii="Times New Roman" w:hAnsi="Times New Roman"/>
          <w:sz w:val="20"/>
          <w:szCs w:val="20"/>
          <w:lang w:eastAsia="zh-HK"/>
        </w:rPr>
        <w:t>i</w:t>
      </w:r>
      <w:proofErr w:type="spellEnd"/>
      <w:r w:rsidR="00D5330C">
        <w:rPr>
          <w:rFonts w:ascii="Times New Roman" w:hAnsi="Times New Roman"/>
          <w:sz w:val="20"/>
          <w:szCs w:val="20"/>
          <w:lang w:eastAsia="zh-HK"/>
        </w:rPr>
        <w:t xml:space="preserve"> is constructed from nine indicators and </w:t>
      </w:r>
      <w:r w:rsidR="00305C12">
        <w:rPr>
          <w:rFonts w:ascii="Times New Roman" w:hAnsi="Times New Roman"/>
          <w:sz w:val="20"/>
          <w:szCs w:val="20"/>
          <w:lang w:eastAsia="zh-HK"/>
        </w:rPr>
        <w:t>is calculated as follows:</w:t>
      </w:r>
    </w:p>
    <w:p w14:paraId="6166E975" w14:textId="77777777" w:rsidR="00E90DC2" w:rsidRPr="00D5330C" w:rsidRDefault="00E90DC2" w:rsidP="00E90DC2">
      <w:pPr>
        <w:spacing w:after="0" w:line="260" w:lineRule="exact"/>
        <w:jc w:val="both"/>
        <w:rPr>
          <w:rFonts w:ascii="Times New Roman" w:eastAsiaTheme="minorEastAsia" w:hAnsi="Times New Roman"/>
          <w:sz w:val="20"/>
          <w:szCs w:val="20"/>
          <w:lang w:eastAsia="zh-HK"/>
        </w:rPr>
      </w:pPr>
    </w:p>
    <w:p w14:paraId="28635B98" w14:textId="782D3F30" w:rsidR="00E90DC2" w:rsidRPr="00E02148" w:rsidRDefault="00E90DC2" w:rsidP="00A06AE9">
      <w:pPr>
        <w:spacing w:after="0" w:line="260" w:lineRule="exact"/>
        <w:ind w:left="707" w:rightChars="-15" w:right="-33" w:hangingChars="442" w:hanging="707"/>
        <w:rPr>
          <w:rFonts w:ascii="Cambria Math" w:eastAsiaTheme="minorEastAsia" w:hAnsi="Cambria Math"/>
          <w:sz w:val="16"/>
          <w:szCs w:val="16"/>
          <w:lang w:eastAsia="zh-HK"/>
        </w:rPr>
      </w:pPr>
      <w:proofErr w:type="spellStart"/>
      <w:r w:rsidRPr="005D1060">
        <w:rPr>
          <w:rFonts w:ascii="Cambria Math" w:eastAsiaTheme="minorEastAsia" w:hAnsi="Cambria Math"/>
          <w:i/>
          <w:sz w:val="16"/>
          <w:szCs w:val="16"/>
          <w:lang w:eastAsia="zh-HK"/>
        </w:rPr>
        <w:t>Score</w:t>
      </w:r>
      <w:r w:rsidRPr="005D1060">
        <w:rPr>
          <w:rFonts w:ascii="Cambria Math" w:eastAsiaTheme="minorEastAsia" w:hAnsi="Cambria Math"/>
          <w:i/>
          <w:sz w:val="16"/>
          <w:szCs w:val="16"/>
          <w:vertAlign w:val="subscript"/>
          <w:lang w:eastAsia="zh-HK"/>
        </w:rPr>
        <w:t>it</w:t>
      </w:r>
      <w:proofErr w:type="spellEnd"/>
      <w:r w:rsidRPr="005D1060">
        <w:rPr>
          <w:rFonts w:ascii="Cambria Math" w:eastAsiaTheme="minorEastAsia" w:hAnsi="Cambria Math"/>
          <w:i/>
          <w:sz w:val="16"/>
          <w:szCs w:val="16"/>
          <w:lang w:eastAsia="zh-HK"/>
        </w:rPr>
        <w:t xml:space="preserve"> = </w:t>
      </w:r>
      <w:r w:rsidR="00E02148">
        <w:rPr>
          <w:rFonts w:ascii="Cambria Math" w:eastAsiaTheme="minorEastAsia" w:hAnsi="Cambria Math"/>
          <w:i/>
          <w:sz w:val="16"/>
          <w:szCs w:val="16"/>
          <w:lang w:eastAsia="zh-HK"/>
        </w:rPr>
        <w:t xml:space="preserve">Asset </w:t>
      </w:r>
      <w:proofErr w:type="spellStart"/>
      <w:r w:rsidR="00E02148">
        <w:rPr>
          <w:rFonts w:ascii="Cambria Math" w:eastAsiaTheme="minorEastAsia" w:hAnsi="Cambria Math"/>
          <w:i/>
          <w:sz w:val="16"/>
          <w:szCs w:val="16"/>
          <w:lang w:eastAsia="zh-HK"/>
        </w:rPr>
        <w:t>indicator</w:t>
      </w:r>
      <w:r w:rsidR="00E02148" w:rsidRPr="00E02148">
        <w:rPr>
          <w:rFonts w:ascii="Cambria Math" w:eastAsiaTheme="minorEastAsia" w:hAnsi="Cambria Math"/>
          <w:i/>
          <w:sz w:val="16"/>
          <w:szCs w:val="16"/>
          <w:vertAlign w:val="subscript"/>
          <w:lang w:eastAsia="zh-HK"/>
        </w:rPr>
        <w:t>it</w:t>
      </w:r>
      <w:proofErr w:type="spellEnd"/>
      <w:r w:rsidR="00E02148">
        <w:rPr>
          <w:rFonts w:ascii="Cambria Math" w:eastAsiaTheme="minorEastAsia" w:hAnsi="Cambria Math"/>
          <w:i/>
          <w:sz w:val="16"/>
          <w:szCs w:val="16"/>
          <w:lang w:eastAsia="zh-HK"/>
        </w:rPr>
        <w:t xml:space="preserve"> + Revenue </w:t>
      </w:r>
      <w:proofErr w:type="spellStart"/>
      <w:r w:rsidR="00E02148">
        <w:rPr>
          <w:rFonts w:ascii="Cambria Math" w:eastAsiaTheme="minorEastAsia" w:hAnsi="Cambria Math"/>
          <w:i/>
          <w:sz w:val="16"/>
          <w:szCs w:val="16"/>
          <w:lang w:eastAsia="zh-HK"/>
        </w:rPr>
        <w:t>indicator</w:t>
      </w:r>
      <w:r w:rsidR="00E02148" w:rsidRPr="00E02148">
        <w:rPr>
          <w:rFonts w:ascii="Cambria Math" w:eastAsiaTheme="minorEastAsia" w:hAnsi="Cambria Math"/>
          <w:i/>
          <w:sz w:val="16"/>
          <w:szCs w:val="16"/>
          <w:vertAlign w:val="subscript"/>
          <w:lang w:eastAsia="zh-HK"/>
        </w:rPr>
        <w:t>it</w:t>
      </w:r>
      <w:proofErr w:type="spellEnd"/>
      <w:r w:rsidR="00E02148">
        <w:rPr>
          <w:rFonts w:ascii="Cambria Math" w:eastAsiaTheme="minorEastAsia" w:hAnsi="Cambria Math"/>
          <w:i/>
          <w:sz w:val="16"/>
          <w:szCs w:val="16"/>
          <w:lang w:eastAsia="zh-HK"/>
        </w:rPr>
        <w:t xml:space="preserve"> +</w:t>
      </w:r>
      <w:r w:rsidR="00E02148" w:rsidRPr="005D1060">
        <w:rPr>
          <w:rFonts w:ascii="Cambria Math" w:eastAsiaTheme="minorEastAsia" w:hAnsi="Cambria Math"/>
          <w:i/>
          <w:sz w:val="16"/>
          <w:szCs w:val="16"/>
          <w:lang w:eastAsia="zh-HK"/>
        </w:rPr>
        <w:t xml:space="preserve"> </w:t>
      </w:r>
      <w:r w:rsidR="00E02148">
        <w:rPr>
          <w:rFonts w:ascii="Cambria Math" w:eastAsiaTheme="minorEastAsia" w:hAnsi="Cambria Math"/>
          <w:i/>
          <w:sz w:val="16"/>
          <w:szCs w:val="16"/>
          <w:lang w:eastAsia="zh-HK"/>
        </w:rPr>
        <w:t xml:space="preserve">Foreign sale </w:t>
      </w:r>
      <w:proofErr w:type="spellStart"/>
      <w:r w:rsidR="00E02148">
        <w:rPr>
          <w:rFonts w:ascii="Cambria Math" w:eastAsiaTheme="minorEastAsia" w:hAnsi="Cambria Math"/>
          <w:i/>
          <w:sz w:val="16"/>
          <w:szCs w:val="16"/>
          <w:lang w:eastAsia="zh-HK"/>
        </w:rPr>
        <w:t>indicator</w:t>
      </w:r>
      <w:r w:rsidR="00E02148" w:rsidRPr="00E02148">
        <w:rPr>
          <w:rFonts w:ascii="Cambria Math" w:eastAsiaTheme="minorEastAsia" w:hAnsi="Cambria Math"/>
          <w:i/>
          <w:sz w:val="16"/>
          <w:szCs w:val="16"/>
          <w:vertAlign w:val="subscript"/>
          <w:lang w:eastAsia="zh-HK"/>
        </w:rPr>
        <w:t>it</w:t>
      </w:r>
      <w:proofErr w:type="spellEnd"/>
      <w:r w:rsidR="00E02148">
        <w:rPr>
          <w:rFonts w:ascii="Cambria Math" w:eastAsiaTheme="minorEastAsia" w:hAnsi="Cambria Math"/>
          <w:i/>
          <w:sz w:val="16"/>
          <w:szCs w:val="16"/>
          <w:lang w:eastAsia="zh-HK"/>
        </w:rPr>
        <w:t xml:space="preserve"> +</w:t>
      </w:r>
      <w:r w:rsidR="00E02148" w:rsidRPr="005D1060">
        <w:rPr>
          <w:rFonts w:ascii="Cambria Math" w:eastAsiaTheme="minorEastAsia" w:hAnsi="Cambria Math"/>
          <w:i/>
          <w:sz w:val="16"/>
          <w:szCs w:val="16"/>
          <w:lang w:eastAsia="zh-HK"/>
        </w:rPr>
        <w:t xml:space="preserve"> </w:t>
      </w:r>
      <w:r w:rsidR="00E02148">
        <w:rPr>
          <w:rFonts w:ascii="Cambria Math" w:eastAsiaTheme="minorEastAsia" w:hAnsi="Cambria Math"/>
          <w:i/>
          <w:sz w:val="16"/>
          <w:szCs w:val="16"/>
          <w:lang w:eastAsia="zh-HK"/>
        </w:rPr>
        <w:t xml:space="preserve">Reinsurance </w:t>
      </w:r>
      <w:proofErr w:type="spellStart"/>
      <w:r w:rsidR="00E02148">
        <w:rPr>
          <w:rFonts w:ascii="Cambria Math" w:eastAsiaTheme="minorEastAsia" w:hAnsi="Cambria Math"/>
          <w:i/>
          <w:sz w:val="16"/>
          <w:szCs w:val="16"/>
          <w:lang w:eastAsia="zh-HK"/>
        </w:rPr>
        <w:t>indicator</w:t>
      </w:r>
      <w:r w:rsidR="00E02148" w:rsidRPr="00E02148">
        <w:rPr>
          <w:rFonts w:ascii="Cambria Math" w:eastAsiaTheme="minorEastAsia" w:hAnsi="Cambria Math"/>
          <w:i/>
          <w:sz w:val="16"/>
          <w:szCs w:val="16"/>
          <w:vertAlign w:val="subscript"/>
          <w:lang w:eastAsia="zh-HK"/>
        </w:rPr>
        <w:t>it</w:t>
      </w:r>
      <w:proofErr w:type="spellEnd"/>
      <w:r w:rsidR="00E02148">
        <w:rPr>
          <w:rFonts w:ascii="Cambria Math" w:eastAsiaTheme="minorEastAsia" w:hAnsi="Cambria Math"/>
          <w:i/>
          <w:sz w:val="16"/>
          <w:szCs w:val="16"/>
          <w:lang w:eastAsia="zh-HK"/>
        </w:rPr>
        <w:t xml:space="preserve"> +</w:t>
      </w:r>
      <w:r w:rsidR="00E02148" w:rsidRPr="005D1060">
        <w:rPr>
          <w:rFonts w:ascii="Cambria Math" w:eastAsiaTheme="minorEastAsia" w:hAnsi="Cambria Math"/>
          <w:i/>
          <w:sz w:val="16"/>
          <w:szCs w:val="16"/>
          <w:lang w:eastAsia="zh-HK"/>
        </w:rPr>
        <w:t xml:space="preserve"> </w:t>
      </w:r>
      <w:r w:rsidR="00E02148">
        <w:rPr>
          <w:rFonts w:ascii="Cambria Math" w:eastAsiaTheme="minorEastAsia" w:hAnsi="Cambria Math"/>
          <w:i/>
          <w:sz w:val="16"/>
          <w:szCs w:val="16"/>
          <w:lang w:eastAsia="zh-HK"/>
        </w:rPr>
        <w:t xml:space="preserve">Non-policyholder liabilities </w:t>
      </w:r>
      <w:proofErr w:type="spellStart"/>
      <w:r w:rsidR="00E02148">
        <w:rPr>
          <w:rFonts w:ascii="Cambria Math" w:eastAsiaTheme="minorEastAsia" w:hAnsi="Cambria Math"/>
          <w:i/>
          <w:sz w:val="16"/>
          <w:szCs w:val="16"/>
          <w:lang w:eastAsia="zh-HK"/>
        </w:rPr>
        <w:t>indicator</w:t>
      </w:r>
      <w:r w:rsidR="00E02148" w:rsidRPr="00E02148">
        <w:rPr>
          <w:rFonts w:ascii="Cambria Math" w:eastAsiaTheme="minorEastAsia" w:hAnsi="Cambria Math"/>
          <w:i/>
          <w:sz w:val="16"/>
          <w:szCs w:val="16"/>
          <w:vertAlign w:val="subscript"/>
          <w:lang w:eastAsia="zh-HK"/>
        </w:rPr>
        <w:t>it</w:t>
      </w:r>
      <w:proofErr w:type="spellEnd"/>
      <w:r w:rsidR="00E02148">
        <w:rPr>
          <w:rFonts w:ascii="Cambria Math" w:eastAsiaTheme="minorEastAsia" w:hAnsi="Cambria Math"/>
          <w:i/>
          <w:sz w:val="16"/>
          <w:szCs w:val="16"/>
          <w:lang w:eastAsia="zh-HK"/>
        </w:rPr>
        <w:t xml:space="preserve"> +</w:t>
      </w:r>
      <w:r w:rsidR="00E02148" w:rsidRPr="005D1060">
        <w:rPr>
          <w:rFonts w:ascii="Cambria Math" w:eastAsiaTheme="minorEastAsia" w:hAnsi="Cambria Math"/>
          <w:i/>
          <w:sz w:val="16"/>
          <w:szCs w:val="16"/>
          <w:lang w:eastAsia="zh-HK"/>
        </w:rPr>
        <w:t xml:space="preserve"> </w:t>
      </w:r>
      <w:r w:rsidR="00E02148">
        <w:rPr>
          <w:rFonts w:ascii="Cambria Math" w:eastAsiaTheme="minorEastAsia" w:hAnsi="Cambria Math"/>
          <w:i/>
          <w:sz w:val="16"/>
          <w:szCs w:val="16"/>
          <w:lang w:eastAsia="zh-HK"/>
        </w:rPr>
        <w:t xml:space="preserve">Non-insurance revenue </w:t>
      </w:r>
      <w:proofErr w:type="spellStart"/>
      <w:r w:rsidR="00E02148">
        <w:rPr>
          <w:rFonts w:ascii="Cambria Math" w:eastAsiaTheme="minorEastAsia" w:hAnsi="Cambria Math"/>
          <w:i/>
          <w:sz w:val="16"/>
          <w:szCs w:val="16"/>
          <w:lang w:eastAsia="zh-HK"/>
        </w:rPr>
        <w:t>indicator</w:t>
      </w:r>
      <w:r w:rsidR="00E02148" w:rsidRPr="00E02148">
        <w:rPr>
          <w:rFonts w:ascii="Cambria Math" w:eastAsiaTheme="minorEastAsia" w:hAnsi="Cambria Math"/>
          <w:i/>
          <w:sz w:val="16"/>
          <w:szCs w:val="16"/>
          <w:vertAlign w:val="subscript"/>
          <w:lang w:eastAsia="zh-HK"/>
        </w:rPr>
        <w:t>it</w:t>
      </w:r>
      <w:proofErr w:type="spellEnd"/>
      <w:r w:rsidR="00E02148">
        <w:rPr>
          <w:rFonts w:ascii="Cambria Math" w:eastAsiaTheme="minorEastAsia" w:hAnsi="Cambria Math"/>
          <w:i/>
          <w:sz w:val="16"/>
          <w:szCs w:val="16"/>
          <w:lang w:eastAsia="zh-HK"/>
        </w:rPr>
        <w:t xml:space="preserve"> +</w:t>
      </w:r>
      <w:r w:rsidR="00E02148" w:rsidRPr="005D1060">
        <w:rPr>
          <w:rFonts w:ascii="Cambria Math" w:eastAsiaTheme="minorEastAsia" w:hAnsi="Cambria Math"/>
          <w:i/>
          <w:sz w:val="16"/>
          <w:szCs w:val="16"/>
          <w:lang w:eastAsia="zh-HK"/>
        </w:rPr>
        <w:t xml:space="preserve"> </w:t>
      </w:r>
      <w:r w:rsidR="00E02148">
        <w:rPr>
          <w:rFonts w:ascii="Cambria Math" w:eastAsiaTheme="minorEastAsia" w:hAnsi="Cambria Math"/>
          <w:i/>
          <w:sz w:val="16"/>
          <w:szCs w:val="16"/>
          <w:lang w:eastAsia="zh-HK"/>
        </w:rPr>
        <w:t xml:space="preserve">Short term funding </w:t>
      </w:r>
      <w:proofErr w:type="spellStart"/>
      <w:r w:rsidR="00E02148">
        <w:rPr>
          <w:rFonts w:ascii="Cambria Math" w:eastAsiaTheme="minorEastAsia" w:hAnsi="Cambria Math"/>
          <w:i/>
          <w:sz w:val="16"/>
          <w:szCs w:val="16"/>
          <w:lang w:eastAsia="zh-HK"/>
        </w:rPr>
        <w:t>indicator</w:t>
      </w:r>
      <w:r w:rsidR="00E02148" w:rsidRPr="00E02148">
        <w:rPr>
          <w:rFonts w:ascii="Cambria Math" w:eastAsiaTheme="minorEastAsia" w:hAnsi="Cambria Math"/>
          <w:i/>
          <w:sz w:val="16"/>
          <w:szCs w:val="16"/>
          <w:vertAlign w:val="subscript"/>
          <w:lang w:eastAsia="zh-HK"/>
        </w:rPr>
        <w:t>it</w:t>
      </w:r>
      <w:proofErr w:type="spellEnd"/>
      <w:r w:rsidR="00E02148">
        <w:rPr>
          <w:rFonts w:ascii="Cambria Math" w:eastAsiaTheme="minorEastAsia" w:hAnsi="Cambria Math"/>
          <w:i/>
          <w:sz w:val="16"/>
          <w:szCs w:val="16"/>
          <w:lang w:eastAsia="zh-HK"/>
        </w:rPr>
        <w:t xml:space="preserve"> +</w:t>
      </w:r>
      <w:r w:rsidR="00E02148" w:rsidRPr="005D1060">
        <w:rPr>
          <w:rFonts w:ascii="Cambria Math" w:eastAsiaTheme="minorEastAsia" w:hAnsi="Cambria Math"/>
          <w:i/>
          <w:sz w:val="16"/>
          <w:szCs w:val="16"/>
          <w:lang w:eastAsia="zh-HK"/>
        </w:rPr>
        <w:t xml:space="preserve"> </w:t>
      </w:r>
      <w:r w:rsidR="00E02148">
        <w:rPr>
          <w:rFonts w:ascii="Cambria Math" w:eastAsiaTheme="minorEastAsia" w:hAnsi="Cambria Math"/>
          <w:i/>
          <w:sz w:val="16"/>
          <w:szCs w:val="16"/>
          <w:lang w:eastAsia="zh-HK"/>
        </w:rPr>
        <w:t xml:space="preserve">Investment cash flow </w:t>
      </w:r>
      <w:proofErr w:type="spellStart"/>
      <w:r w:rsidR="00E02148">
        <w:rPr>
          <w:rFonts w:ascii="Cambria Math" w:eastAsiaTheme="minorEastAsia" w:hAnsi="Cambria Math"/>
          <w:i/>
          <w:sz w:val="16"/>
          <w:szCs w:val="16"/>
          <w:lang w:eastAsia="zh-HK"/>
        </w:rPr>
        <w:t>indicator</w:t>
      </w:r>
      <w:r w:rsidR="00E02148" w:rsidRPr="00E02148">
        <w:rPr>
          <w:rFonts w:ascii="Cambria Math" w:eastAsiaTheme="minorEastAsia" w:hAnsi="Cambria Math"/>
          <w:i/>
          <w:sz w:val="16"/>
          <w:szCs w:val="16"/>
          <w:vertAlign w:val="subscript"/>
          <w:lang w:eastAsia="zh-HK"/>
        </w:rPr>
        <w:t>it</w:t>
      </w:r>
      <w:proofErr w:type="spellEnd"/>
      <w:r w:rsidR="00E02148">
        <w:rPr>
          <w:rFonts w:ascii="Cambria Math" w:eastAsiaTheme="minorEastAsia" w:hAnsi="Cambria Math"/>
          <w:i/>
          <w:sz w:val="16"/>
          <w:szCs w:val="16"/>
          <w:lang w:eastAsia="zh-HK"/>
        </w:rPr>
        <w:t xml:space="preserve"> + Financing cash flow </w:t>
      </w:r>
      <w:proofErr w:type="spellStart"/>
      <w:r w:rsidR="00E02148">
        <w:rPr>
          <w:rFonts w:ascii="Cambria Math" w:eastAsiaTheme="minorEastAsia" w:hAnsi="Cambria Math"/>
          <w:i/>
          <w:sz w:val="16"/>
          <w:szCs w:val="16"/>
          <w:lang w:eastAsia="zh-HK"/>
        </w:rPr>
        <w:t>indicator</w:t>
      </w:r>
      <w:r w:rsidR="00E02148" w:rsidRPr="00E02148">
        <w:rPr>
          <w:rFonts w:ascii="Cambria Math" w:eastAsiaTheme="minorEastAsia" w:hAnsi="Cambria Math"/>
          <w:i/>
          <w:sz w:val="16"/>
          <w:szCs w:val="16"/>
          <w:vertAlign w:val="subscript"/>
          <w:lang w:eastAsia="zh-HK"/>
        </w:rPr>
        <w:t>it</w:t>
      </w:r>
      <w:proofErr w:type="spellEnd"/>
      <w:r w:rsidR="00E02148">
        <w:rPr>
          <w:rFonts w:ascii="Cambria Math" w:eastAsiaTheme="minorEastAsia" w:hAnsi="Cambria Math"/>
          <w:i/>
          <w:sz w:val="16"/>
          <w:szCs w:val="16"/>
          <w:lang w:eastAsia="zh-HK"/>
        </w:rPr>
        <w:t xml:space="preserve"> </w:t>
      </w:r>
      <w:r w:rsidR="00E02148">
        <w:rPr>
          <w:rFonts w:ascii="Cambria Math" w:eastAsiaTheme="minorEastAsia" w:hAnsi="Cambria Math"/>
          <w:sz w:val="16"/>
          <w:szCs w:val="16"/>
          <w:lang w:eastAsia="zh-HK"/>
        </w:rPr>
        <w:t xml:space="preserve">    </w:t>
      </w:r>
      <w:r w:rsidRPr="00E02148">
        <w:rPr>
          <w:rFonts w:ascii="Times New Roman" w:hAnsi="Times New Roman"/>
          <w:sz w:val="16"/>
          <w:szCs w:val="16"/>
          <w:lang w:eastAsia="zh-HK"/>
        </w:rPr>
        <w:t>(</w:t>
      </w:r>
      <w:r w:rsidR="00F90949" w:rsidRPr="00E02148">
        <w:rPr>
          <w:rFonts w:ascii="Times New Roman" w:hAnsi="Times New Roman"/>
          <w:sz w:val="16"/>
          <w:szCs w:val="16"/>
          <w:lang w:eastAsia="zh-HK"/>
        </w:rPr>
        <w:t>8</w:t>
      </w:r>
      <w:r w:rsidRPr="00E02148">
        <w:rPr>
          <w:rFonts w:ascii="Times New Roman" w:hAnsi="Times New Roman"/>
          <w:sz w:val="16"/>
          <w:szCs w:val="16"/>
          <w:lang w:eastAsia="zh-HK"/>
        </w:rPr>
        <w:t>)</w:t>
      </w:r>
    </w:p>
    <w:p w14:paraId="29914722" w14:textId="341300BA" w:rsidR="00E90DC2" w:rsidRPr="00E02148" w:rsidRDefault="00E90DC2" w:rsidP="00BB3843">
      <w:pPr>
        <w:spacing w:after="0" w:line="260" w:lineRule="exact"/>
        <w:jc w:val="both"/>
        <w:rPr>
          <w:rFonts w:ascii="Times New Roman" w:eastAsiaTheme="minorEastAsia" w:hAnsi="Times New Roman"/>
          <w:sz w:val="20"/>
          <w:szCs w:val="20"/>
          <w:lang w:eastAsia="zh-HK"/>
        </w:rPr>
      </w:pPr>
    </w:p>
    <w:p w14:paraId="580FA2A1" w14:textId="2D287426" w:rsidR="00E02148" w:rsidRPr="00E02148" w:rsidRDefault="00E02148" w:rsidP="00E02148">
      <w:pPr>
        <w:spacing w:after="0" w:line="260" w:lineRule="exact"/>
        <w:ind w:rightChars="-15" w:right="-33"/>
        <w:jc w:val="both"/>
        <w:rPr>
          <w:rFonts w:ascii="Cambria Math" w:eastAsiaTheme="minorEastAsia" w:hAnsi="Cambria Math"/>
          <w:sz w:val="16"/>
          <w:szCs w:val="16"/>
          <w:lang w:eastAsia="zh-HK"/>
        </w:rPr>
      </w:pPr>
      <w:r>
        <w:rPr>
          <w:rFonts w:ascii="Cambria Math" w:eastAsiaTheme="minorEastAsia" w:hAnsi="Cambria Math"/>
          <w:i/>
          <w:sz w:val="16"/>
          <w:szCs w:val="16"/>
          <w:lang w:eastAsia="zh-HK"/>
        </w:rPr>
        <w:t xml:space="preserve">Variable </w:t>
      </w:r>
      <w:proofErr w:type="spellStart"/>
      <w:r>
        <w:rPr>
          <w:rFonts w:ascii="Cambria Math" w:eastAsiaTheme="minorEastAsia" w:hAnsi="Cambria Math"/>
          <w:i/>
          <w:sz w:val="16"/>
          <w:szCs w:val="16"/>
          <w:lang w:eastAsia="zh-HK"/>
        </w:rPr>
        <w:t>Indicator</w:t>
      </w:r>
      <w:r>
        <w:rPr>
          <w:rFonts w:ascii="Cambria Math" w:eastAsiaTheme="minorEastAsia" w:hAnsi="Cambria Math"/>
          <w:i/>
          <w:sz w:val="16"/>
          <w:szCs w:val="16"/>
          <w:vertAlign w:val="subscript"/>
          <w:lang w:eastAsia="zh-HK"/>
        </w:rPr>
        <w:t>it</w:t>
      </w:r>
      <w:proofErr w:type="spellEnd"/>
      <w:r w:rsidRPr="005D1060">
        <w:rPr>
          <w:rFonts w:ascii="Cambria Math" w:eastAsiaTheme="minorEastAsia" w:hAnsi="Cambria Math"/>
          <w:i/>
          <w:sz w:val="16"/>
          <w:szCs w:val="16"/>
          <w:lang w:eastAsia="zh-HK"/>
        </w:rPr>
        <w:t xml:space="preserve"> = </w:t>
      </w:r>
      <w:proofErr w:type="spellStart"/>
      <w:r>
        <w:rPr>
          <w:rFonts w:ascii="Cambria Math" w:eastAsiaTheme="minorEastAsia" w:hAnsi="Cambria Math"/>
          <w:i/>
          <w:sz w:val="16"/>
          <w:szCs w:val="16"/>
          <w:lang w:eastAsia="zh-HK"/>
        </w:rPr>
        <w:t>Variable</w:t>
      </w:r>
      <w:r w:rsidRPr="005D1060">
        <w:rPr>
          <w:rFonts w:ascii="Cambria Math" w:eastAsiaTheme="minorEastAsia" w:hAnsi="Cambria Math"/>
          <w:i/>
          <w:sz w:val="16"/>
          <w:szCs w:val="16"/>
          <w:vertAlign w:val="subscript"/>
          <w:lang w:eastAsia="zh-HK"/>
        </w:rPr>
        <w:t>it</w:t>
      </w:r>
      <w:proofErr w:type="spellEnd"/>
      <w:r w:rsidRPr="005D1060">
        <w:rPr>
          <w:rFonts w:ascii="Cambria Math" w:eastAsiaTheme="minorEastAsia" w:hAnsi="Cambria Math"/>
          <w:i/>
          <w:sz w:val="16"/>
          <w:szCs w:val="16"/>
          <w:lang w:eastAsia="zh-HK"/>
        </w:rPr>
        <w:t xml:space="preserve"> / </w:t>
      </w:r>
      <m:oMath>
        <m:nary>
          <m:naryPr>
            <m:chr m:val="∑"/>
            <m:limLoc m:val="undOvr"/>
            <m:ctrlPr>
              <w:rPr>
                <w:rFonts w:ascii="Cambria Math" w:eastAsiaTheme="minorEastAsia" w:hAnsi="Cambria Math"/>
                <w:sz w:val="16"/>
                <w:szCs w:val="16"/>
                <w:lang w:eastAsia="zh-HK"/>
              </w:rPr>
            </m:ctrlPr>
          </m:naryPr>
          <m:sub>
            <m:r>
              <w:rPr>
                <w:rFonts w:ascii="Cambria Math" w:eastAsiaTheme="minorEastAsia" w:hAnsi="Cambria Math"/>
                <w:sz w:val="16"/>
                <w:szCs w:val="16"/>
                <w:lang w:eastAsia="zh-HK"/>
              </w:rPr>
              <m:t>i</m:t>
            </m:r>
          </m:sub>
          <m:sup>
            <m:r>
              <w:rPr>
                <w:rFonts w:ascii="Cambria Math" w:eastAsiaTheme="minorEastAsia" w:hAnsi="Cambria Math"/>
                <w:sz w:val="16"/>
                <w:szCs w:val="16"/>
                <w:lang w:eastAsia="zh-HK"/>
              </w:rPr>
              <m:t>n</m:t>
            </m:r>
          </m:sup>
          <m:e>
            <m:r>
              <w:rPr>
                <w:rFonts w:ascii="Cambria Math" w:eastAsiaTheme="minorEastAsia" w:hAnsi="Cambria Math"/>
                <w:sz w:val="16"/>
                <w:szCs w:val="16"/>
                <w:lang w:eastAsia="zh-HK"/>
              </w:rPr>
              <m:t>Variable</m:t>
            </m:r>
          </m:e>
        </m:nary>
      </m:oMath>
      <w:r w:rsidRPr="005D1060">
        <w:rPr>
          <w:rFonts w:ascii="Cambria Math" w:eastAsiaTheme="minorEastAsia" w:hAnsi="Cambria Math"/>
          <w:i/>
          <w:sz w:val="16"/>
          <w:szCs w:val="16"/>
          <w:vertAlign w:val="subscript"/>
          <w:lang w:eastAsia="zh-HK"/>
        </w:rPr>
        <w:t>it</w:t>
      </w:r>
      <w:r>
        <w:rPr>
          <w:rFonts w:ascii="Cambria Math" w:eastAsiaTheme="minorEastAsia" w:hAnsi="Cambria Math"/>
          <w:i/>
          <w:sz w:val="16"/>
          <w:szCs w:val="16"/>
          <w:lang w:eastAsia="zh-HK"/>
        </w:rPr>
        <w:t xml:space="preserve">                                     </w:t>
      </w:r>
      <w:r>
        <w:rPr>
          <w:rFonts w:ascii="Cambria Math" w:eastAsiaTheme="minorEastAsia" w:hAnsi="Cambria Math"/>
          <w:sz w:val="16"/>
          <w:szCs w:val="16"/>
          <w:lang w:eastAsia="zh-HK"/>
        </w:rPr>
        <w:t xml:space="preserve">          (9)</w:t>
      </w:r>
    </w:p>
    <w:p w14:paraId="7AA1176F" w14:textId="77777777" w:rsidR="00E02148" w:rsidRPr="00E02148" w:rsidRDefault="00E02148" w:rsidP="00BB3843">
      <w:pPr>
        <w:spacing w:after="0" w:line="260" w:lineRule="exact"/>
        <w:jc w:val="both"/>
        <w:rPr>
          <w:rFonts w:ascii="Times New Roman" w:eastAsiaTheme="minorEastAsia" w:hAnsi="Times New Roman"/>
          <w:sz w:val="20"/>
          <w:szCs w:val="20"/>
          <w:lang w:eastAsia="zh-HK"/>
        </w:rPr>
      </w:pPr>
    </w:p>
    <w:p w14:paraId="3C636423" w14:textId="6B3E3FD0" w:rsidR="00E90DC2" w:rsidRDefault="009F2E1E" w:rsidP="00BB3843">
      <w:pPr>
        <w:spacing w:after="0" w:line="260" w:lineRule="exact"/>
        <w:jc w:val="both"/>
        <w:rPr>
          <w:rFonts w:ascii="Times New Roman" w:eastAsia="PMingLiU" w:hAnsi="Times New Roman"/>
          <w:sz w:val="20"/>
          <w:szCs w:val="20"/>
          <w:lang w:eastAsia="zh-HK"/>
        </w:rPr>
      </w:pPr>
      <w:r>
        <w:rPr>
          <w:rFonts w:ascii="Times New Roman" w:eastAsia="PMingLiU" w:hAnsi="Times New Roman"/>
          <w:sz w:val="20"/>
          <w:szCs w:val="20"/>
          <w:lang w:eastAsia="zh-HK"/>
        </w:rPr>
        <w:t xml:space="preserve">where n is the total number of insurers at time t. </w:t>
      </w:r>
      <w:r w:rsidR="00774D40">
        <w:rPr>
          <w:rFonts w:ascii="Times New Roman" w:eastAsia="PMingLiU" w:hAnsi="Times New Roman"/>
          <w:sz w:val="20"/>
          <w:szCs w:val="20"/>
          <w:lang w:eastAsia="zh-HK"/>
        </w:rPr>
        <w:t>An insurer having higher score value is more systemically important.</w:t>
      </w:r>
    </w:p>
    <w:p w14:paraId="4E230207" w14:textId="689DEE87" w:rsidR="009F2E1E" w:rsidRDefault="009F2E1E" w:rsidP="00BB3843">
      <w:pPr>
        <w:spacing w:after="0" w:line="260" w:lineRule="exact"/>
        <w:jc w:val="both"/>
        <w:rPr>
          <w:rFonts w:ascii="Times New Roman" w:eastAsia="PMingLiU" w:hAnsi="Times New Roman"/>
          <w:sz w:val="20"/>
          <w:szCs w:val="20"/>
          <w:lang w:eastAsia="zh-HK"/>
        </w:rPr>
      </w:pPr>
    </w:p>
    <w:p w14:paraId="0DD4AB54" w14:textId="5D6F15FC" w:rsidR="009F2E1E" w:rsidRPr="00774D40" w:rsidRDefault="009F2E1E" w:rsidP="00BB3843">
      <w:pPr>
        <w:spacing w:after="0" w:line="260" w:lineRule="exact"/>
        <w:jc w:val="both"/>
        <w:rPr>
          <w:rFonts w:ascii="Times New Roman" w:hAnsi="Times New Roman"/>
          <w:sz w:val="20"/>
          <w:szCs w:val="20"/>
          <w:lang w:eastAsia="zh-HK"/>
        </w:rPr>
      </w:pPr>
      <w:r>
        <w:rPr>
          <w:rFonts w:ascii="Times New Roman" w:eastAsia="PMingLiU" w:hAnsi="Times New Roman"/>
          <w:sz w:val="20"/>
          <w:szCs w:val="20"/>
          <w:lang w:eastAsia="zh-HK"/>
        </w:rPr>
        <w:t xml:space="preserve">To investigate the effect of the new regulation on insurers’ characteristics, we perform </w:t>
      </w:r>
      <w:r w:rsidR="004C240F">
        <w:rPr>
          <w:rFonts w:ascii="Times New Roman" w:eastAsia="PMingLiU" w:hAnsi="Times New Roman"/>
          <w:sz w:val="20"/>
          <w:szCs w:val="20"/>
          <w:lang w:eastAsia="zh-HK"/>
        </w:rPr>
        <w:t xml:space="preserve">a univariate analysis </w:t>
      </w:r>
      <w:r w:rsidR="00637377">
        <w:rPr>
          <w:rFonts w:ascii="Times New Roman" w:eastAsia="PMingLiU" w:hAnsi="Times New Roman"/>
          <w:sz w:val="20"/>
          <w:szCs w:val="20"/>
          <w:lang w:eastAsia="zh-HK"/>
        </w:rPr>
        <w:t xml:space="preserve">on G-SIIs and </w:t>
      </w:r>
      <w:r w:rsidR="004C240F">
        <w:rPr>
          <w:rFonts w:ascii="Times New Roman" w:eastAsia="PMingLiU" w:hAnsi="Times New Roman"/>
          <w:sz w:val="20"/>
          <w:szCs w:val="20"/>
          <w:lang w:eastAsia="zh-HK"/>
        </w:rPr>
        <w:t>compare the</w:t>
      </w:r>
      <w:r w:rsidR="006674EA">
        <w:rPr>
          <w:rFonts w:ascii="Times New Roman" w:eastAsia="PMingLiU" w:hAnsi="Times New Roman"/>
          <w:sz w:val="20"/>
          <w:szCs w:val="20"/>
          <w:lang w:eastAsia="zh-HK"/>
        </w:rPr>
        <w:t>ir</w:t>
      </w:r>
      <w:r w:rsidR="004C240F">
        <w:rPr>
          <w:rFonts w:ascii="Times New Roman" w:eastAsia="PMingLiU" w:hAnsi="Times New Roman"/>
          <w:sz w:val="20"/>
          <w:szCs w:val="20"/>
          <w:lang w:eastAsia="zh-HK"/>
        </w:rPr>
        <w:t xml:space="preserve"> systemic importance score </w:t>
      </w:r>
      <w:r w:rsidR="00FE41FF">
        <w:rPr>
          <w:rFonts w:ascii="Times New Roman" w:eastAsia="PMingLiU" w:hAnsi="Times New Roman"/>
          <w:sz w:val="20"/>
          <w:szCs w:val="20"/>
          <w:lang w:eastAsia="zh-HK"/>
        </w:rPr>
        <w:t>as well as</w:t>
      </w:r>
      <w:r w:rsidR="004C240F">
        <w:rPr>
          <w:rFonts w:ascii="Times New Roman" w:eastAsia="PMingLiU" w:hAnsi="Times New Roman"/>
          <w:sz w:val="20"/>
          <w:szCs w:val="20"/>
          <w:lang w:eastAsia="zh-HK"/>
        </w:rPr>
        <w:t xml:space="preserve"> </w:t>
      </w:r>
      <w:r w:rsidR="0036153E">
        <w:rPr>
          <w:rFonts w:ascii="Times New Roman" w:eastAsia="PMingLiU" w:hAnsi="Times New Roman"/>
          <w:sz w:val="20"/>
          <w:szCs w:val="20"/>
          <w:lang w:eastAsia="zh-HK"/>
        </w:rPr>
        <w:t>the</w:t>
      </w:r>
      <w:r w:rsidR="004C240F">
        <w:rPr>
          <w:rFonts w:ascii="Times New Roman" w:eastAsia="PMingLiU" w:hAnsi="Times New Roman"/>
          <w:sz w:val="20"/>
          <w:szCs w:val="20"/>
          <w:lang w:eastAsia="zh-HK"/>
        </w:rPr>
        <w:t xml:space="preserve"> constituent indicators before and after the new regulation. </w:t>
      </w:r>
      <w:r w:rsidR="005F4B15">
        <w:rPr>
          <w:rFonts w:ascii="Times New Roman" w:eastAsia="PMingLiU" w:hAnsi="Times New Roman"/>
          <w:sz w:val="20"/>
          <w:szCs w:val="20"/>
          <w:lang w:eastAsia="zh-HK"/>
        </w:rPr>
        <w:t>The results are documented in Table XII.</w:t>
      </w:r>
    </w:p>
    <w:p w14:paraId="1FAB6CBF" w14:textId="77777777" w:rsidR="005F4B15" w:rsidRDefault="005F4B15" w:rsidP="005F4B15">
      <w:pPr>
        <w:spacing w:after="0" w:line="260" w:lineRule="exact"/>
        <w:jc w:val="both"/>
        <w:rPr>
          <w:rFonts w:ascii="Times New Roman" w:eastAsiaTheme="minorEastAsia" w:hAnsi="Times New Roman"/>
          <w:sz w:val="16"/>
          <w:szCs w:val="16"/>
          <w:lang w:eastAsia="zh-HK"/>
        </w:rPr>
      </w:pPr>
    </w:p>
    <w:p w14:paraId="0E77A6EB" w14:textId="11CBEA43" w:rsidR="005F4B15" w:rsidRPr="00736DE5" w:rsidRDefault="005F4B15" w:rsidP="005F4B15">
      <w:pPr>
        <w:spacing w:after="0" w:line="260" w:lineRule="exact"/>
        <w:jc w:val="center"/>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t>[</w:t>
      </w:r>
      <w:r>
        <w:rPr>
          <w:rFonts w:ascii="Times New Roman" w:eastAsiaTheme="minorEastAsia" w:hAnsi="Times New Roman"/>
          <w:b/>
          <w:sz w:val="20"/>
          <w:szCs w:val="20"/>
          <w:lang w:eastAsia="zh-HK"/>
        </w:rPr>
        <w:t>Table XI</w:t>
      </w:r>
      <w:r w:rsidR="00D5330C">
        <w:rPr>
          <w:rFonts w:ascii="Times New Roman" w:eastAsiaTheme="minorEastAsia" w:hAnsi="Times New Roman"/>
          <w:b/>
          <w:sz w:val="20"/>
          <w:szCs w:val="20"/>
          <w:lang w:eastAsia="zh-HK"/>
        </w:rPr>
        <w:t>I</w:t>
      </w:r>
      <w:r w:rsidRPr="00B86E32">
        <w:rPr>
          <w:rFonts w:ascii="Times New Roman" w:eastAsiaTheme="minorEastAsia" w:hAnsi="Times New Roman"/>
          <w:b/>
          <w:sz w:val="20"/>
          <w:szCs w:val="20"/>
          <w:lang w:eastAsia="zh-HK"/>
        </w:rPr>
        <w:t xml:space="preserve"> inserted here]</w:t>
      </w:r>
    </w:p>
    <w:p w14:paraId="1F4B3C72" w14:textId="77777777" w:rsidR="005F4B15" w:rsidRPr="00B86E32" w:rsidRDefault="005F4B15" w:rsidP="005F4B15">
      <w:pPr>
        <w:spacing w:after="0" w:line="260" w:lineRule="exact"/>
        <w:jc w:val="both"/>
        <w:rPr>
          <w:rFonts w:ascii="Times New Roman" w:eastAsiaTheme="minorEastAsia" w:hAnsi="Times New Roman"/>
          <w:sz w:val="20"/>
          <w:szCs w:val="20"/>
          <w:lang w:eastAsia="zh-HK"/>
        </w:rPr>
      </w:pPr>
    </w:p>
    <w:p w14:paraId="77B27E83" w14:textId="021A2345" w:rsidR="00BB3843" w:rsidRPr="009F2E1E" w:rsidRDefault="00915DD5" w:rsidP="00F75CED">
      <w:pPr>
        <w:spacing w:after="0" w:line="260" w:lineRule="exact"/>
        <w:jc w:val="both"/>
        <w:rPr>
          <w:rFonts w:ascii="Times New Roman" w:hAnsi="Times New Roman"/>
          <w:sz w:val="20"/>
          <w:szCs w:val="20"/>
          <w:lang w:eastAsia="zh-HK"/>
        </w:rPr>
      </w:pPr>
      <w:r>
        <w:rPr>
          <w:rFonts w:ascii="Times New Roman" w:hAnsi="Times New Roman" w:hint="eastAsia"/>
          <w:sz w:val="20"/>
          <w:szCs w:val="20"/>
          <w:lang w:eastAsia="zh-HK"/>
        </w:rPr>
        <w:t>As noted</w:t>
      </w:r>
      <w:r>
        <w:rPr>
          <w:rFonts w:ascii="Times New Roman" w:hAnsi="Times New Roman"/>
          <w:sz w:val="20"/>
          <w:szCs w:val="20"/>
          <w:lang w:eastAsia="zh-HK"/>
        </w:rPr>
        <w:t xml:space="preserve"> in Table XII, the average systemic importance score for G-SIIs decreases significantly after the new regulation. A closer investigation at the constituent indicators reveals that most of the constituent indicators decrease after the new regulation, suggesting that </w:t>
      </w:r>
      <w:r w:rsidR="007A4331">
        <w:rPr>
          <w:rFonts w:ascii="Times New Roman" w:hAnsi="Times New Roman"/>
          <w:sz w:val="20"/>
          <w:szCs w:val="20"/>
          <w:lang w:eastAsia="zh-HK"/>
        </w:rPr>
        <w:t>G-SIIs change their risk-taking behaviors and firm characteristics to decrease their systemic importance.</w:t>
      </w:r>
    </w:p>
    <w:p w14:paraId="12AA43EE" w14:textId="77777777" w:rsidR="00252E7A" w:rsidRPr="00B86E32" w:rsidRDefault="00252E7A" w:rsidP="007C0A8B">
      <w:pPr>
        <w:pStyle w:val="ListParagraph"/>
        <w:numPr>
          <w:ilvl w:val="0"/>
          <w:numId w:val="1"/>
        </w:numPr>
        <w:spacing w:after="0" w:line="240" w:lineRule="auto"/>
        <w:ind w:leftChars="0" w:left="0" w:firstLine="0"/>
        <w:rPr>
          <w:rFonts w:ascii="Times New Roman" w:eastAsiaTheme="minorEastAsia" w:hAnsi="Times New Roman"/>
          <w:b/>
          <w:sz w:val="20"/>
          <w:szCs w:val="20"/>
          <w:lang w:eastAsia="zh-HK"/>
        </w:rPr>
      </w:pPr>
      <w:r w:rsidRPr="00B86E32">
        <w:rPr>
          <w:rFonts w:ascii="Times New Roman" w:eastAsiaTheme="minorEastAsia" w:hAnsi="Times New Roman"/>
          <w:b/>
          <w:sz w:val="20"/>
          <w:szCs w:val="20"/>
          <w:lang w:eastAsia="zh-HK"/>
        </w:rPr>
        <w:lastRenderedPageBreak/>
        <w:t>Conclusion</w:t>
      </w:r>
    </w:p>
    <w:p w14:paraId="0F157FAE" w14:textId="699964AD" w:rsidR="005135F2" w:rsidRDefault="005135F2"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hint="eastAsia"/>
          <w:sz w:val="20"/>
          <w:szCs w:val="20"/>
          <w:lang w:eastAsia="zh-HK"/>
        </w:rPr>
        <w:t>The issue of whether the recent regulators</w:t>
      </w:r>
      <w:r>
        <w:rPr>
          <w:rFonts w:ascii="Times New Roman" w:eastAsiaTheme="minorEastAsia" w:hAnsi="Times New Roman"/>
          <w:sz w:val="20"/>
          <w:szCs w:val="20"/>
          <w:lang w:eastAsia="zh-HK"/>
        </w:rPr>
        <w:t xml:space="preserve">’ focus on tightening </w:t>
      </w:r>
      <w:r w:rsidR="005F6CEA">
        <w:rPr>
          <w:rFonts w:ascii="Times New Roman" w:eastAsiaTheme="minorEastAsia" w:hAnsi="Times New Roman"/>
          <w:sz w:val="20"/>
          <w:szCs w:val="20"/>
          <w:lang w:eastAsia="zh-HK"/>
        </w:rPr>
        <w:t xml:space="preserve">up </w:t>
      </w:r>
      <w:r>
        <w:rPr>
          <w:rFonts w:ascii="Times New Roman" w:eastAsiaTheme="minorEastAsia" w:hAnsi="Times New Roman"/>
          <w:sz w:val="20"/>
          <w:szCs w:val="20"/>
          <w:lang w:eastAsia="zh-HK"/>
        </w:rPr>
        <w:t xml:space="preserve">supervision of G-SIIs and the subsequent policy measures are effective in reducing the systemic risks of G-SIIs is controversial. </w:t>
      </w:r>
      <w:r w:rsidR="00270418">
        <w:rPr>
          <w:rFonts w:ascii="Times New Roman" w:eastAsiaTheme="minorEastAsia" w:hAnsi="Times New Roman"/>
          <w:sz w:val="20"/>
          <w:szCs w:val="20"/>
          <w:lang w:eastAsia="zh-HK"/>
        </w:rPr>
        <w:t>On the one hand,</w:t>
      </w:r>
      <w:r w:rsidR="00696F2C">
        <w:rPr>
          <w:rFonts w:ascii="Times New Roman" w:eastAsiaTheme="minorEastAsia" w:hAnsi="Times New Roman"/>
          <w:sz w:val="20"/>
          <w:szCs w:val="20"/>
          <w:lang w:eastAsia="zh-HK"/>
        </w:rPr>
        <w:t xml:space="preserve"> some insurers</w:t>
      </w:r>
      <w:r w:rsidR="0079783F">
        <w:rPr>
          <w:rFonts w:ascii="Times New Roman" w:eastAsiaTheme="minorEastAsia" w:hAnsi="Times New Roman"/>
          <w:sz w:val="20"/>
          <w:szCs w:val="20"/>
          <w:lang w:eastAsia="zh-HK"/>
        </w:rPr>
        <w:t xml:space="preserve"> fought hard to get rid of the G-SII designations</w:t>
      </w:r>
      <w:r w:rsidR="00496D95">
        <w:rPr>
          <w:rFonts w:ascii="Times New Roman" w:eastAsiaTheme="minorEastAsia" w:hAnsi="Times New Roman"/>
          <w:sz w:val="20"/>
          <w:szCs w:val="20"/>
          <w:lang w:eastAsia="zh-HK"/>
        </w:rPr>
        <w:t>, reflecting insurers’ incentive to avoid the heavy compliance cost with the new regulation</w:t>
      </w:r>
      <w:r w:rsidR="005E623E">
        <w:rPr>
          <w:rFonts w:ascii="Times New Roman" w:eastAsiaTheme="minorEastAsia" w:hAnsi="Times New Roman"/>
          <w:sz w:val="20"/>
          <w:szCs w:val="20"/>
          <w:lang w:eastAsia="zh-HK"/>
        </w:rPr>
        <w:t>.</w:t>
      </w:r>
      <w:r w:rsidR="0079783F">
        <w:rPr>
          <w:rFonts w:ascii="Times New Roman" w:eastAsiaTheme="minorEastAsia" w:hAnsi="Times New Roman"/>
          <w:sz w:val="20"/>
          <w:szCs w:val="20"/>
          <w:lang w:eastAsia="zh-HK"/>
        </w:rPr>
        <w:t xml:space="preserve"> </w:t>
      </w:r>
      <w:r w:rsidR="003F4E14">
        <w:rPr>
          <w:rFonts w:ascii="Times New Roman" w:eastAsiaTheme="minorEastAsia" w:hAnsi="Times New Roman"/>
          <w:sz w:val="20"/>
          <w:szCs w:val="20"/>
          <w:lang w:eastAsia="zh-HK"/>
        </w:rPr>
        <w:t xml:space="preserve">For example, </w:t>
      </w:r>
      <w:r w:rsidR="003F4E14" w:rsidRPr="003F4E14">
        <w:rPr>
          <w:rFonts w:ascii="Times New Roman" w:eastAsiaTheme="minorEastAsia" w:hAnsi="Times New Roman"/>
          <w:sz w:val="20"/>
          <w:szCs w:val="20"/>
          <w:lang w:eastAsia="zh-HK"/>
        </w:rPr>
        <w:t xml:space="preserve">MetLife appealed to the U.S. court attempting to overturn the decision made by the FSOC earlier designating MetLife as a systemically important financial institution. </w:t>
      </w:r>
      <w:r w:rsidR="00423A47">
        <w:rPr>
          <w:rFonts w:ascii="Times New Roman" w:eastAsiaTheme="minorEastAsia" w:hAnsi="Times New Roman"/>
          <w:sz w:val="20"/>
          <w:szCs w:val="20"/>
          <w:lang w:eastAsia="zh-HK"/>
        </w:rPr>
        <w:t>(Tracy, 2016</w:t>
      </w:r>
      <w:r w:rsidR="00712725">
        <w:rPr>
          <w:rFonts w:ascii="Times New Roman" w:eastAsiaTheme="minorEastAsia" w:hAnsi="Times New Roman"/>
          <w:sz w:val="20"/>
          <w:szCs w:val="20"/>
          <w:lang w:eastAsia="zh-HK"/>
        </w:rPr>
        <w:t xml:space="preserve">). </w:t>
      </w:r>
      <w:r w:rsidR="003F4E14" w:rsidRPr="003F4E14">
        <w:rPr>
          <w:rFonts w:ascii="Times New Roman" w:eastAsiaTheme="minorEastAsia" w:hAnsi="Times New Roman"/>
          <w:sz w:val="20"/>
          <w:szCs w:val="20"/>
          <w:lang w:eastAsia="zh-HK"/>
        </w:rPr>
        <w:t>The final court ruling is not available at the time of writing.</w:t>
      </w:r>
      <w:r w:rsidR="003F4E14">
        <w:rPr>
          <w:rFonts w:ascii="Times New Roman" w:eastAsiaTheme="minorEastAsia" w:hAnsi="Times New Roman"/>
          <w:sz w:val="20"/>
          <w:szCs w:val="20"/>
          <w:lang w:eastAsia="zh-HK"/>
        </w:rPr>
        <w:t xml:space="preserve"> </w:t>
      </w:r>
      <w:proofErr w:type="spellStart"/>
      <w:r w:rsidR="003F4E14" w:rsidRPr="003F4E14">
        <w:rPr>
          <w:rFonts w:ascii="Times New Roman" w:eastAsiaTheme="minorEastAsia" w:hAnsi="Times New Roman"/>
          <w:sz w:val="20"/>
          <w:szCs w:val="20"/>
          <w:lang w:eastAsia="zh-HK"/>
        </w:rPr>
        <w:t>Assicurazioni</w:t>
      </w:r>
      <w:proofErr w:type="spellEnd"/>
      <w:r w:rsidR="003F4E14" w:rsidRPr="003F4E14">
        <w:rPr>
          <w:rFonts w:ascii="Times New Roman" w:eastAsiaTheme="minorEastAsia" w:hAnsi="Times New Roman"/>
          <w:sz w:val="20"/>
          <w:szCs w:val="20"/>
          <w:lang w:eastAsia="zh-HK"/>
        </w:rPr>
        <w:t xml:space="preserve"> Generali S.p.A. </w:t>
      </w:r>
      <w:r w:rsidR="003F4E14">
        <w:rPr>
          <w:rFonts w:ascii="Times New Roman" w:eastAsiaTheme="minorEastAsia" w:hAnsi="Times New Roman"/>
          <w:sz w:val="20"/>
          <w:szCs w:val="20"/>
          <w:lang w:eastAsia="zh-HK"/>
        </w:rPr>
        <w:t>was also successfully removed from the list of G-SIIs in November 2015 by shrinking its business and selling its reinsurance and banking operations (</w:t>
      </w:r>
      <w:r w:rsidR="00423A47">
        <w:rPr>
          <w:rFonts w:ascii="Times New Roman" w:eastAsiaTheme="minorEastAsia" w:hAnsi="Times New Roman"/>
          <w:sz w:val="20"/>
          <w:szCs w:val="20"/>
          <w:lang w:eastAsia="zh-HK"/>
        </w:rPr>
        <w:t>Jenkins</w:t>
      </w:r>
      <w:r w:rsidR="003F4E14">
        <w:rPr>
          <w:rFonts w:ascii="Times New Roman" w:eastAsiaTheme="minorEastAsia" w:hAnsi="Times New Roman"/>
          <w:sz w:val="20"/>
          <w:szCs w:val="20"/>
          <w:lang w:eastAsia="zh-HK"/>
        </w:rPr>
        <w:t xml:space="preserve">, 2016). </w:t>
      </w:r>
      <w:r w:rsidR="005E623E">
        <w:rPr>
          <w:rFonts w:ascii="Times New Roman" w:eastAsiaTheme="minorEastAsia" w:hAnsi="Times New Roman"/>
          <w:sz w:val="20"/>
          <w:szCs w:val="20"/>
          <w:lang w:eastAsia="zh-HK"/>
        </w:rPr>
        <w:t xml:space="preserve">On the other hand, </w:t>
      </w:r>
      <w:r w:rsidR="002C7F2E">
        <w:rPr>
          <w:rFonts w:ascii="Times New Roman" w:eastAsiaTheme="minorEastAsia" w:hAnsi="Times New Roman"/>
          <w:sz w:val="20"/>
          <w:szCs w:val="20"/>
          <w:lang w:eastAsia="zh-HK"/>
        </w:rPr>
        <w:t>there is wide consensus among researchers that systemic important institutions enjoy the benefit</w:t>
      </w:r>
      <w:r w:rsidR="006D2DF0">
        <w:rPr>
          <w:rFonts w:ascii="Times New Roman" w:eastAsiaTheme="minorEastAsia" w:hAnsi="Times New Roman"/>
          <w:sz w:val="20"/>
          <w:szCs w:val="20"/>
          <w:lang w:eastAsia="zh-HK"/>
        </w:rPr>
        <w:t>s</w:t>
      </w:r>
      <w:r w:rsidR="002C7F2E">
        <w:rPr>
          <w:rFonts w:ascii="Times New Roman" w:eastAsiaTheme="minorEastAsia" w:hAnsi="Times New Roman"/>
          <w:sz w:val="20"/>
          <w:szCs w:val="20"/>
          <w:lang w:eastAsia="zh-HK"/>
        </w:rPr>
        <w:t xml:space="preserve"> of lower funding cost</w:t>
      </w:r>
      <w:r w:rsidR="006D2DF0">
        <w:rPr>
          <w:rFonts w:ascii="Times New Roman" w:eastAsiaTheme="minorEastAsia" w:hAnsi="Times New Roman"/>
          <w:sz w:val="20"/>
          <w:szCs w:val="20"/>
          <w:lang w:eastAsia="zh-HK"/>
        </w:rPr>
        <w:t>s</w:t>
      </w:r>
      <w:r w:rsidR="002C7F2E">
        <w:rPr>
          <w:rFonts w:ascii="Times New Roman" w:eastAsiaTheme="minorEastAsia" w:hAnsi="Times New Roman"/>
          <w:sz w:val="20"/>
          <w:szCs w:val="20"/>
          <w:lang w:eastAsia="zh-HK"/>
        </w:rPr>
        <w:t xml:space="preserve"> </w:t>
      </w:r>
      <w:r w:rsidR="002C7F2E" w:rsidRPr="002C7F2E">
        <w:rPr>
          <w:rFonts w:ascii="Times New Roman" w:eastAsiaTheme="minorEastAsia" w:hAnsi="Times New Roman"/>
          <w:sz w:val="20"/>
          <w:szCs w:val="20"/>
          <w:lang w:eastAsia="zh-HK"/>
        </w:rPr>
        <w:t>(</w:t>
      </w:r>
      <w:proofErr w:type="spellStart"/>
      <w:r w:rsidR="002C7F2E" w:rsidRPr="002C7F2E">
        <w:rPr>
          <w:rFonts w:ascii="Times New Roman" w:hAnsi="Times New Roman"/>
          <w:sz w:val="20"/>
          <w:szCs w:val="20"/>
        </w:rPr>
        <w:t>Araten</w:t>
      </w:r>
      <w:proofErr w:type="spellEnd"/>
      <w:r w:rsidR="002C7F2E" w:rsidRPr="002C7F2E">
        <w:rPr>
          <w:rFonts w:ascii="Times New Roman" w:hAnsi="Times New Roman"/>
          <w:sz w:val="20"/>
          <w:szCs w:val="20"/>
        </w:rPr>
        <w:t xml:space="preserve">, M., &amp; Turner, C. M., 2013; </w:t>
      </w:r>
      <w:r w:rsidR="002C7F2E" w:rsidRPr="002C7F2E">
        <w:rPr>
          <w:rFonts w:ascii="Times New Roman" w:eastAsiaTheme="minorEastAsia" w:hAnsi="Times New Roman"/>
          <w:sz w:val="20"/>
          <w:szCs w:val="20"/>
          <w:lang w:eastAsia="zh-HK"/>
        </w:rPr>
        <w:t xml:space="preserve">Ueda and Di Mauro, 2013; </w:t>
      </w:r>
      <w:proofErr w:type="spellStart"/>
      <w:r w:rsidR="002C7F2E" w:rsidRPr="002C7F2E">
        <w:rPr>
          <w:rFonts w:ascii="Times New Roman" w:hAnsi="Times New Roman"/>
          <w:sz w:val="20"/>
          <w:szCs w:val="20"/>
        </w:rPr>
        <w:t>Moenninghoff</w:t>
      </w:r>
      <w:proofErr w:type="spellEnd"/>
      <w:r w:rsidR="002C7F2E" w:rsidRPr="002C7F2E">
        <w:rPr>
          <w:rFonts w:ascii="Times New Roman" w:hAnsi="Times New Roman"/>
          <w:sz w:val="20"/>
          <w:szCs w:val="20"/>
        </w:rPr>
        <w:t xml:space="preserve"> </w:t>
      </w:r>
      <w:r w:rsidR="002C7F2E" w:rsidRPr="002C7F2E">
        <w:rPr>
          <w:rFonts w:ascii="Times New Roman" w:hAnsi="Times New Roman"/>
          <w:i/>
          <w:sz w:val="20"/>
          <w:szCs w:val="20"/>
        </w:rPr>
        <w:t>et al.</w:t>
      </w:r>
      <w:r w:rsidR="002C7F2E" w:rsidRPr="002C7F2E">
        <w:rPr>
          <w:rFonts w:ascii="Times New Roman" w:hAnsi="Times New Roman"/>
          <w:sz w:val="20"/>
          <w:szCs w:val="20"/>
        </w:rPr>
        <w:t>, 2015</w:t>
      </w:r>
      <w:r w:rsidR="002C7F2E" w:rsidRPr="002C7F2E">
        <w:rPr>
          <w:rFonts w:ascii="Times New Roman" w:eastAsiaTheme="minorEastAsia" w:hAnsi="Times New Roman"/>
          <w:sz w:val="20"/>
          <w:szCs w:val="20"/>
          <w:lang w:eastAsia="zh-HK"/>
        </w:rPr>
        <w:t>)</w:t>
      </w:r>
      <w:r w:rsidR="002C7F2E">
        <w:rPr>
          <w:rFonts w:ascii="Times New Roman" w:eastAsiaTheme="minorEastAsia" w:hAnsi="Times New Roman"/>
          <w:sz w:val="20"/>
          <w:szCs w:val="20"/>
          <w:lang w:eastAsia="zh-HK"/>
        </w:rPr>
        <w:t>. If the benefit</w:t>
      </w:r>
      <w:r w:rsidR="006D2DF0">
        <w:rPr>
          <w:rFonts w:ascii="Times New Roman" w:eastAsiaTheme="minorEastAsia" w:hAnsi="Times New Roman"/>
          <w:sz w:val="20"/>
          <w:szCs w:val="20"/>
          <w:lang w:eastAsia="zh-HK"/>
        </w:rPr>
        <w:t>s of G-SII designation exceed</w:t>
      </w:r>
      <w:r w:rsidR="002C7F2E">
        <w:rPr>
          <w:rFonts w:ascii="Times New Roman" w:eastAsiaTheme="minorEastAsia" w:hAnsi="Times New Roman"/>
          <w:sz w:val="20"/>
          <w:szCs w:val="20"/>
          <w:lang w:eastAsia="zh-HK"/>
        </w:rPr>
        <w:t xml:space="preserve"> the compliance cost</w:t>
      </w:r>
      <w:r w:rsidR="006D2DF0">
        <w:rPr>
          <w:rFonts w:ascii="Times New Roman" w:eastAsiaTheme="minorEastAsia" w:hAnsi="Times New Roman"/>
          <w:sz w:val="20"/>
          <w:szCs w:val="20"/>
          <w:lang w:eastAsia="zh-HK"/>
        </w:rPr>
        <w:t>s</w:t>
      </w:r>
      <w:r w:rsidR="002C7F2E">
        <w:rPr>
          <w:rFonts w:ascii="Times New Roman" w:eastAsiaTheme="minorEastAsia" w:hAnsi="Times New Roman"/>
          <w:sz w:val="20"/>
          <w:szCs w:val="20"/>
          <w:lang w:eastAsia="zh-HK"/>
        </w:rPr>
        <w:t>, the new regulation may unintentionally encourage insurers to take on more risks.</w:t>
      </w:r>
    </w:p>
    <w:p w14:paraId="4435C1B3" w14:textId="1066A0B0" w:rsidR="00801EF1" w:rsidRDefault="00801EF1" w:rsidP="00BA3FFD">
      <w:pPr>
        <w:spacing w:after="0" w:line="260" w:lineRule="exact"/>
        <w:jc w:val="both"/>
        <w:rPr>
          <w:rFonts w:ascii="Times New Roman" w:eastAsiaTheme="minorEastAsia" w:hAnsi="Times New Roman"/>
          <w:sz w:val="20"/>
          <w:szCs w:val="20"/>
          <w:lang w:eastAsia="zh-HK"/>
        </w:rPr>
      </w:pPr>
    </w:p>
    <w:p w14:paraId="4C2F3510" w14:textId="58780D31" w:rsidR="00801EF1" w:rsidRDefault="00801EF1" w:rsidP="00BA3FFD">
      <w:pPr>
        <w:spacing w:after="0" w:line="260" w:lineRule="exact"/>
        <w:jc w:val="both"/>
        <w:rPr>
          <w:rFonts w:ascii="Times New Roman" w:eastAsiaTheme="minorEastAsia" w:hAnsi="Times New Roman"/>
          <w:sz w:val="20"/>
          <w:szCs w:val="20"/>
          <w:lang w:eastAsia="zh-HK"/>
        </w:rPr>
      </w:pPr>
      <w:r>
        <w:rPr>
          <w:rFonts w:ascii="Times New Roman" w:eastAsiaTheme="minorEastAsia" w:hAnsi="Times New Roman"/>
          <w:sz w:val="20"/>
          <w:szCs w:val="20"/>
          <w:lang w:eastAsia="zh-HK"/>
        </w:rPr>
        <w:t xml:space="preserve">We shed light on the literature on systemic risks and insurance regulation by addressing the question of whether the new regulation is effective in reducing </w:t>
      </w:r>
      <w:r w:rsidR="0060065B">
        <w:rPr>
          <w:rFonts w:ascii="Times New Roman" w:eastAsiaTheme="minorEastAsia" w:hAnsi="Times New Roman"/>
          <w:sz w:val="20"/>
          <w:szCs w:val="20"/>
          <w:lang w:eastAsia="zh-HK"/>
        </w:rPr>
        <w:t>G-SIIs’</w:t>
      </w:r>
      <w:r>
        <w:rPr>
          <w:rFonts w:ascii="Times New Roman" w:eastAsiaTheme="minorEastAsia" w:hAnsi="Times New Roman"/>
          <w:sz w:val="20"/>
          <w:szCs w:val="20"/>
          <w:lang w:eastAsia="zh-HK"/>
        </w:rPr>
        <w:t xml:space="preserve"> systemic risks. </w:t>
      </w:r>
      <w:r w:rsidR="0060065B">
        <w:rPr>
          <w:rFonts w:ascii="Times New Roman" w:eastAsiaTheme="minorEastAsia" w:hAnsi="Times New Roman"/>
          <w:sz w:val="20"/>
          <w:szCs w:val="20"/>
          <w:lang w:eastAsia="zh-HK"/>
        </w:rPr>
        <w:t xml:space="preserve">By analyzing a panel dataset covering 174 international insurers from 33 countries, we provide empirical evidence supporting the effectiveness of the new regulation. In particular, </w:t>
      </w:r>
      <w:r w:rsidR="00315B17">
        <w:rPr>
          <w:rFonts w:ascii="Times New Roman" w:eastAsiaTheme="minorEastAsia" w:hAnsi="Times New Roman"/>
          <w:sz w:val="20"/>
          <w:szCs w:val="20"/>
          <w:lang w:eastAsia="zh-HK"/>
        </w:rPr>
        <w:t>after controlli</w:t>
      </w:r>
      <w:r w:rsidR="006D2DF0">
        <w:rPr>
          <w:rFonts w:ascii="Times New Roman" w:eastAsiaTheme="minorEastAsia" w:hAnsi="Times New Roman"/>
          <w:sz w:val="20"/>
          <w:szCs w:val="20"/>
          <w:lang w:eastAsia="zh-HK"/>
        </w:rPr>
        <w:t xml:space="preserve">ng for insurer characteristics and country-specific </w:t>
      </w:r>
      <w:r w:rsidR="00315B17">
        <w:rPr>
          <w:rFonts w:ascii="Times New Roman" w:eastAsiaTheme="minorEastAsia" w:hAnsi="Times New Roman"/>
          <w:sz w:val="20"/>
          <w:szCs w:val="20"/>
          <w:lang w:eastAsia="zh-HK"/>
        </w:rPr>
        <w:t xml:space="preserve">macroeconomic characteristics, </w:t>
      </w:r>
      <w:r w:rsidR="0060065B">
        <w:rPr>
          <w:rFonts w:ascii="Times New Roman" w:eastAsiaTheme="minorEastAsia" w:hAnsi="Times New Roman"/>
          <w:sz w:val="20"/>
          <w:szCs w:val="20"/>
          <w:lang w:eastAsia="zh-HK"/>
        </w:rPr>
        <w:t xml:space="preserve">we find that the new regulation decreases the average systemic risks of G-SIIs by around </w:t>
      </w:r>
      <w:r w:rsidR="00727D2A">
        <w:rPr>
          <w:rFonts w:ascii="Times New Roman" w:eastAsiaTheme="minorEastAsia" w:hAnsi="Times New Roman"/>
          <w:sz w:val="20"/>
          <w:szCs w:val="20"/>
          <w:lang w:eastAsia="zh-HK"/>
        </w:rPr>
        <w:t>13</w:t>
      </w:r>
      <w:r w:rsidR="0060065B">
        <w:rPr>
          <w:rFonts w:ascii="Times New Roman" w:eastAsiaTheme="minorEastAsia" w:hAnsi="Times New Roman"/>
          <w:sz w:val="20"/>
          <w:szCs w:val="20"/>
          <w:lang w:eastAsia="zh-HK"/>
        </w:rPr>
        <w:t>% to 2</w:t>
      </w:r>
      <w:r w:rsidR="00727D2A">
        <w:rPr>
          <w:rFonts w:ascii="Times New Roman" w:eastAsiaTheme="minorEastAsia" w:hAnsi="Times New Roman"/>
          <w:sz w:val="20"/>
          <w:szCs w:val="20"/>
          <w:lang w:eastAsia="zh-HK"/>
        </w:rPr>
        <w:t>7</w:t>
      </w:r>
      <w:r w:rsidR="0060065B">
        <w:rPr>
          <w:rFonts w:ascii="Times New Roman" w:eastAsiaTheme="minorEastAsia" w:hAnsi="Times New Roman"/>
          <w:sz w:val="20"/>
          <w:szCs w:val="20"/>
          <w:lang w:eastAsia="zh-HK"/>
        </w:rPr>
        <w:t>%.</w:t>
      </w:r>
      <w:r w:rsidR="00E57806">
        <w:rPr>
          <w:rFonts w:ascii="Times New Roman" w:eastAsiaTheme="minorEastAsia" w:hAnsi="Times New Roman"/>
          <w:sz w:val="20"/>
          <w:szCs w:val="20"/>
          <w:lang w:eastAsia="zh-HK"/>
        </w:rPr>
        <w:t xml:space="preserve"> The f</w:t>
      </w:r>
      <w:r w:rsidR="00C03D9B">
        <w:rPr>
          <w:rFonts w:ascii="Times New Roman" w:eastAsiaTheme="minorEastAsia" w:hAnsi="Times New Roman"/>
          <w:sz w:val="20"/>
          <w:szCs w:val="20"/>
          <w:lang w:eastAsia="zh-HK"/>
        </w:rPr>
        <w:t xml:space="preserve">inding is robust to various systemic risk measures, alternative </w:t>
      </w:r>
      <w:r w:rsidR="00E57806">
        <w:rPr>
          <w:rFonts w:ascii="Times New Roman" w:eastAsiaTheme="minorEastAsia" w:hAnsi="Times New Roman"/>
          <w:sz w:val="20"/>
          <w:szCs w:val="20"/>
          <w:lang w:eastAsia="zh-HK"/>
        </w:rPr>
        <w:t>proxies for market index</w:t>
      </w:r>
      <w:r w:rsidR="00021CD2">
        <w:rPr>
          <w:rFonts w:ascii="Times New Roman" w:eastAsiaTheme="minorEastAsia" w:hAnsi="Times New Roman"/>
          <w:sz w:val="20"/>
          <w:szCs w:val="20"/>
          <w:lang w:eastAsia="zh-HK"/>
        </w:rPr>
        <w:t>, different time period of the treatment effect,</w:t>
      </w:r>
      <w:r w:rsidR="00E57806">
        <w:rPr>
          <w:rFonts w:ascii="Times New Roman" w:eastAsiaTheme="minorEastAsia" w:hAnsi="Times New Roman"/>
          <w:sz w:val="20"/>
          <w:szCs w:val="20"/>
          <w:lang w:eastAsia="zh-HK"/>
        </w:rPr>
        <w:t xml:space="preserve"> and </w:t>
      </w:r>
      <w:r w:rsidR="00C03D9B">
        <w:rPr>
          <w:rFonts w:ascii="Times New Roman" w:hAnsi="Times New Roman"/>
          <w:sz w:val="20"/>
          <w:szCs w:val="20"/>
          <w:lang w:eastAsia="zh-HK"/>
        </w:rPr>
        <w:t>the multiple imputation method addressing the missing data problem</w:t>
      </w:r>
      <w:r w:rsidR="00E57806">
        <w:rPr>
          <w:rFonts w:ascii="Times New Roman" w:hAnsi="Times New Roman"/>
          <w:sz w:val="20"/>
          <w:szCs w:val="20"/>
          <w:lang w:eastAsia="zh-HK"/>
        </w:rPr>
        <w:t xml:space="preserve">. The regression results are also similar no matter we include the data from the financial crisis or not. </w:t>
      </w:r>
      <w:r w:rsidR="00045FD3">
        <w:rPr>
          <w:rFonts w:ascii="Times New Roman" w:hAnsi="Times New Roman"/>
          <w:sz w:val="20"/>
          <w:szCs w:val="20"/>
          <w:lang w:eastAsia="zh-HK"/>
        </w:rPr>
        <w:t xml:space="preserve">Further investigation reveals that G-SIIs change their characteristics to decrease their systemic importance after the new regulation. </w:t>
      </w:r>
      <w:r w:rsidR="00E57806">
        <w:rPr>
          <w:rFonts w:ascii="Times New Roman" w:hAnsi="Times New Roman"/>
          <w:sz w:val="20"/>
          <w:szCs w:val="20"/>
          <w:lang w:eastAsia="zh-HK"/>
        </w:rPr>
        <w:t>Interestingly, we find that the effect of the new regulation is on a worldwide basis, although t</w:t>
      </w:r>
      <w:r w:rsidR="0098262F">
        <w:rPr>
          <w:rFonts w:ascii="Times New Roman" w:hAnsi="Times New Roman"/>
          <w:sz w:val="20"/>
          <w:szCs w:val="20"/>
          <w:lang w:eastAsia="zh-HK"/>
        </w:rPr>
        <w:t>he U.S. regulation on G-SIIs is</w:t>
      </w:r>
      <w:r w:rsidR="00E57806">
        <w:rPr>
          <w:rFonts w:ascii="Times New Roman" w:hAnsi="Times New Roman"/>
          <w:sz w:val="20"/>
          <w:szCs w:val="20"/>
          <w:lang w:eastAsia="zh-HK"/>
        </w:rPr>
        <w:t xml:space="preserve"> </w:t>
      </w:r>
      <w:r w:rsidR="0098262F">
        <w:rPr>
          <w:rFonts w:ascii="Times New Roman" w:hAnsi="Times New Roman"/>
          <w:sz w:val="20"/>
          <w:szCs w:val="20"/>
          <w:lang w:eastAsia="zh-HK"/>
        </w:rPr>
        <w:t>one step</w:t>
      </w:r>
      <w:r w:rsidR="00E57806">
        <w:rPr>
          <w:rFonts w:ascii="Times New Roman" w:hAnsi="Times New Roman"/>
          <w:sz w:val="20"/>
          <w:szCs w:val="20"/>
          <w:lang w:eastAsia="zh-HK"/>
        </w:rPr>
        <w:t xml:space="preserve"> ahead of other countries. </w:t>
      </w:r>
      <w:r w:rsidR="0098262F">
        <w:rPr>
          <w:rFonts w:ascii="Times New Roman" w:hAnsi="Times New Roman"/>
          <w:sz w:val="20"/>
          <w:szCs w:val="20"/>
          <w:lang w:eastAsia="zh-HK"/>
        </w:rPr>
        <w:t xml:space="preserve">We also find that the new regulation reduces the systemic risks of large insurers regardless of their G-SII status, suggesting that the threat of being designated as G-SII motivates large insurers to </w:t>
      </w:r>
      <w:r w:rsidR="005764AE">
        <w:rPr>
          <w:rFonts w:ascii="Times New Roman" w:hAnsi="Times New Roman"/>
          <w:sz w:val="20"/>
          <w:szCs w:val="20"/>
          <w:lang w:eastAsia="zh-HK"/>
        </w:rPr>
        <w:t>change their risk-taking behaviors</w:t>
      </w:r>
      <w:r w:rsidR="0098262F">
        <w:rPr>
          <w:rFonts w:ascii="Times New Roman" w:hAnsi="Times New Roman"/>
          <w:sz w:val="20"/>
          <w:szCs w:val="20"/>
          <w:lang w:eastAsia="zh-HK"/>
        </w:rPr>
        <w:t>.</w:t>
      </w:r>
    </w:p>
    <w:p w14:paraId="0316DC8C" w14:textId="3CFA033D" w:rsidR="005135F2" w:rsidRPr="005764AE" w:rsidRDefault="005135F2" w:rsidP="00BA3FFD">
      <w:pPr>
        <w:spacing w:after="0" w:line="260" w:lineRule="exact"/>
        <w:jc w:val="both"/>
        <w:rPr>
          <w:rFonts w:ascii="Times New Roman" w:eastAsiaTheme="minorEastAsia" w:hAnsi="Times New Roman"/>
          <w:sz w:val="20"/>
          <w:szCs w:val="20"/>
          <w:lang w:eastAsia="zh-HK"/>
        </w:rPr>
      </w:pPr>
    </w:p>
    <w:p w14:paraId="3F145592" w14:textId="77777777" w:rsidR="00D73AB1" w:rsidRDefault="0018142D" w:rsidP="00C45F3A">
      <w:pPr>
        <w:spacing w:after="0" w:line="260" w:lineRule="exact"/>
        <w:jc w:val="both"/>
        <w:rPr>
          <w:rFonts w:ascii="Times New Roman" w:hAnsi="Times New Roman"/>
          <w:sz w:val="20"/>
          <w:szCs w:val="20"/>
          <w:lang w:eastAsia="zh-HK"/>
        </w:rPr>
      </w:pPr>
      <w:r>
        <w:rPr>
          <w:rFonts w:ascii="Times New Roman" w:eastAsiaTheme="minorEastAsia" w:hAnsi="Times New Roman" w:hint="eastAsia"/>
          <w:sz w:val="20"/>
          <w:szCs w:val="20"/>
          <w:lang w:eastAsia="zh-HK"/>
        </w:rPr>
        <w:t xml:space="preserve">From a public policy standpoint, our findings have </w:t>
      </w:r>
      <w:r>
        <w:rPr>
          <w:rFonts w:ascii="Times New Roman" w:eastAsiaTheme="minorEastAsia" w:hAnsi="Times New Roman"/>
          <w:sz w:val="20"/>
          <w:szCs w:val="20"/>
          <w:lang w:eastAsia="zh-HK"/>
        </w:rPr>
        <w:t>important</w:t>
      </w:r>
      <w:r>
        <w:rPr>
          <w:rFonts w:ascii="Times New Roman" w:eastAsiaTheme="minorEastAsia" w:hAnsi="Times New Roman" w:hint="eastAsia"/>
          <w:sz w:val="20"/>
          <w:szCs w:val="20"/>
          <w:lang w:eastAsia="zh-HK"/>
        </w:rPr>
        <w:t xml:space="preserve"> implications for the regulation of G-SIIs and reduction of systemic risks in the insurance sector. </w:t>
      </w:r>
      <w:r w:rsidR="00866FEA">
        <w:rPr>
          <w:rFonts w:ascii="Times New Roman" w:eastAsiaTheme="minorEastAsia" w:hAnsi="Times New Roman"/>
          <w:sz w:val="20"/>
          <w:szCs w:val="20"/>
          <w:lang w:eastAsia="zh-HK"/>
        </w:rPr>
        <w:t>Our results show that the recent policy measures proposed by the IAIS are heading to the right direction and have achieved the intended objective</w:t>
      </w:r>
      <w:r w:rsidR="0014753A">
        <w:rPr>
          <w:rFonts w:ascii="Times New Roman" w:eastAsiaTheme="minorEastAsia" w:hAnsi="Times New Roman"/>
          <w:sz w:val="20"/>
          <w:szCs w:val="20"/>
          <w:lang w:eastAsia="zh-HK"/>
        </w:rPr>
        <w:t xml:space="preserve"> of</w:t>
      </w:r>
      <w:r w:rsidR="00866FEA">
        <w:rPr>
          <w:rFonts w:ascii="Times New Roman" w:eastAsiaTheme="minorEastAsia" w:hAnsi="Times New Roman"/>
          <w:sz w:val="20"/>
          <w:szCs w:val="20"/>
          <w:lang w:eastAsia="zh-HK"/>
        </w:rPr>
        <w:t xml:space="preserve"> reducing the </w:t>
      </w:r>
      <w:r w:rsidR="0014753A">
        <w:rPr>
          <w:rFonts w:ascii="Times New Roman" w:eastAsiaTheme="minorEastAsia" w:hAnsi="Times New Roman"/>
          <w:sz w:val="20"/>
          <w:szCs w:val="20"/>
          <w:lang w:eastAsia="zh-HK"/>
        </w:rPr>
        <w:t xml:space="preserve">systemic risks of G-SIIs. The new policy measures have also resulted in unintended consequences of reducing systemic risks of large insurers. </w:t>
      </w:r>
      <w:r w:rsidR="004705A5">
        <w:rPr>
          <w:rFonts w:ascii="Times New Roman" w:eastAsiaTheme="minorEastAsia" w:hAnsi="Times New Roman"/>
          <w:sz w:val="20"/>
          <w:szCs w:val="20"/>
          <w:lang w:eastAsia="zh-HK"/>
        </w:rPr>
        <w:t xml:space="preserve">Despite the numerous criticisms on the IAIS’s proposed supervisory framework on </w:t>
      </w:r>
      <w:r w:rsidR="004705A5">
        <w:rPr>
          <w:rFonts w:ascii="Times New Roman" w:eastAsiaTheme="minorEastAsia" w:hAnsi="Times New Roman" w:hint="eastAsia"/>
          <w:sz w:val="20"/>
          <w:szCs w:val="20"/>
          <w:lang w:eastAsia="zh-TW"/>
        </w:rPr>
        <w:t>G-SII</w:t>
      </w:r>
      <w:r w:rsidR="004705A5">
        <w:rPr>
          <w:rFonts w:ascii="Times New Roman" w:eastAsiaTheme="minorEastAsia" w:hAnsi="Times New Roman" w:hint="eastAsia"/>
          <w:sz w:val="20"/>
          <w:szCs w:val="20"/>
          <w:lang w:eastAsia="zh-HK"/>
        </w:rPr>
        <w:t>s</w:t>
      </w:r>
      <w:r w:rsidR="004705A5">
        <w:rPr>
          <w:rFonts w:ascii="Times New Roman" w:eastAsiaTheme="minorEastAsia" w:hAnsi="Times New Roman"/>
          <w:sz w:val="20"/>
          <w:szCs w:val="20"/>
          <w:lang w:eastAsia="zh-HK"/>
        </w:rPr>
        <w:t xml:space="preserve"> (</w:t>
      </w:r>
      <w:r w:rsidR="001B2FA7">
        <w:rPr>
          <w:rFonts w:ascii="Times New Roman" w:eastAsiaTheme="minorEastAsia" w:hAnsi="Times New Roman"/>
          <w:sz w:val="20"/>
          <w:szCs w:val="20"/>
          <w:lang w:eastAsia="zh-HK"/>
        </w:rPr>
        <w:t xml:space="preserve">e.g. Jobst, 2014; </w:t>
      </w:r>
      <w:r w:rsidR="001B2FA7" w:rsidRPr="001B2FA7">
        <w:rPr>
          <w:rFonts w:ascii="Times New Roman" w:eastAsiaTheme="minorEastAsia" w:hAnsi="Times New Roman"/>
          <w:sz w:val="20"/>
          <w:szCs w:val="20"/>
          <w:lang w:eastAsia="zh-HK"/>
        </w:rPr>
        <w:t>Weiβ</w:t>
      </w:r>
      <w:r w:rsidR="001B2FA7">
        <w:rPr>
          <w:rFonts w:ascii="Times New Roman" w:eastAsiaTheme="minorEastAsia" w:hAnsi="Times New Roman"/>
          <w:sz w:val="20"/>
          <w:szCs w:val="20"/>
          <w:lang w:eastAsia="zh-HK"/>
        </w:rPr>
        <w:t xml:space="preserve"> </w:t>
      </w:r>
      <w:r w:rsidR="001B2FA7" w:rsidRPr="001B2FA7">
        <w:rPr>
          <w:rFonts w:ascii="Times New Roman" w:eastAsiaTheme="minorEastAsia" w:hAnsi="Times New Roman"/>
          <w:i/>
          <w:sz w:val="20"/>
          <w:szCs w:val="20"/>
          <w:lang w:eastAsia="zh-HK"/>
        </w:rPr>
        <w:t>et al.</w:t>
      </w:r>
      <w:r w:rsidR="001B2FA7">
        <w:rPr>
          <w:rFonts w:ascii="Times New Roman" w:eastAsiaTheme="minorEastAsia" w:hAnsi="Times New Roman"/>
          <w:sz w:val="20"/>
          <w:szCs w:val="20"/>
          <w:lang w:eastAsia="zh-HK"/>
        </w:rPr>
        <w:t xml:space="preserve">, 2014; </w:t>
      </w:r>
      <w:proofErr w:type="spellStart"/>
      <w:r w:rsidR="001B2FA7">
        <w:rPr>
          <w:rFonts w:ascii="Times New Roman" w:eastAsiaTheme="minorEastAsia" w:hAnsi="Times New Roman"/>
          <w:sz w:val="20"/>
          <w:szCs w:val="20"/>
          <w:lang w:eastAsia="zh-HK"/>
        </w:rPr>
        <w:t>Bierth</w:t>
      </w:r>
      <w:proofErr w:type="spellEnd"/>
      <w:r w:rsidR="001B2FA7">
        <w:rPr>
          <w:rFonts w:ascii="Times New Roman" w:eastAsiaTheme="minorEastAsia" w:hAnsi="Times New Roman"/>
          <w:sz w:val="20"/>
          <w:szCs w:val="20"/>
          <w:lang w:eastAsia="zh-HK"/>
        </w:rPr>
        <w:t xml:space="preserve"> </w:t>
      </w:r>
      <w:r w:rsidR="001B2FA7" w:rsidRPr="001B2FA7">
        <w:rPr>
          <w:rFonts w:ascii="Times New Roman" w:eastAsiaTheme="minorEastAsia" w:hAnsi="Times New Roman"/>
          <w:i/>
          <w:sz w:val="20"/>
          <w:szCs w:val="20"/>
          <w:lang w:eastAsia="zh-HK"/>
        </w:rPr>
        <w:t>et al.</w:t>
      </w:r>
      <w:r w:rsidR="001B2FA7">
        <w:rPr>
          <w:rFonts w:ascii="Times New Roman" w:eastAsiaTheme="minorEastAsia" w:hAnsi="Times New Roman"/>
          <w:sz w:val="20"/>
          <w:szCs w:val="20"/>
          <w:lang w:eastAsia="zh-HK"/>
        </w:rPr>
        <w:t xml:space="preserve">, 2015), the empirical evidence in this study suggests that the new regulation </w:t>
      </w:r>
      <w:r w:rsidR="00945E40">
        <w:rPr>
          <w:rFonts w:ascii="Times New Roman" w:eastAsiaTheme="minorEastAsia" w:hAnsi="Times New Roman"/>
          <w:sz w:val="20"/>
          <w:szCs w:val="20"/>
          <w:lang w:eastAsia="zh-HK"/>
        </w:rPr>
        <w:t xml:space="preserve">at least </w:t>
      </w:r>
      <w:r w:rsidR="001B2FA7">
        <w:rPr>
          <w:rFonts w:ascii="Times New Roman" w:eastAsiaTheme="minorEastAsia" w:hAnsi="Times New Roman"/>
          <w:sz w:val="20"/>
          <w:szCs w:val="20"/>
          <w:lang w:eastAsia="zh-HK"/>
        </w:rPr>
        <w:t>deserves some credit in reducing</w:t>
      </w:r>
      <w:r w:rsidR="00A00F43">
        <w:rPr>
          <w:rFonts w:ascii="Times New Roman" w:eastAsiaTheme="minorEastAsia" w:hAnsi="Times New Roman"/>
          <w:sz w:val="20"/>
          <w:szCs w:val="20"/>
          <w:lang w:eastAsia="zh-HK"/>
        </w:rPr>
        <w:t xml:space="preserve"> the systemic risks of the insurance industry.</w:t>
      </w:r>
      <w:r w:rsidR="00930699" w:rsidRPr="00930699">
        <w:rPr>
          <w:rFonts w:ascii="Times New Roman" w:hAnsi="Times New Roman"/>
          <w:sz w:val="20"/>
          <w:szCs w:val="20"/>
          <w:lang w:eastAsia="zh-HK"/>
        </w:rPr>
        <w:t xml:space="preserve"> </w:t>
      </w:r>
    </w:p>
    <w:p w14:paraId="32866BC1" w14:textId="77777777" w:rsidR="00C35076" w:rsidRDefault="00C35076" w:rsidP="00D73AB1">
      <w:pPr>
        <w:spacing w:after="0" w:line="260" w:lineRule="exact"/>
        <w:rPr>
          <w:rFonts w:ascii="Times New Roman" w:eastAsiaTheme="minorEastAsia" w:hAnsi="Times New Roman"/>
          <w:b/>
          <w:sz w:val="20"/>
          <w:szCs w:val="20"/>
          <w:lang w:eastAsia="zh-HK"/>
        </w:rPr>
      </w:pPr>
    </w:p>
    <w:p w14:paraId="6524B866" w14:textId="0032A8E8" w:rsidR="00D73AB1" w:rsidRPr="00213F22" w:rsidRDefault="00D73AB1" w:rsidP="00D73AB1">
      <w:pPr>
        <w:spacing w:after="0" w:line="260" w:lineRule="exact"/>
        <w:rPr>
          <w:rFonts w:ascii="Times New Roman" w:eastAsiaTheme="minorEastAsia" w:hAnsi="Times New Roman"/>
          <w:b/>
          <w:sz w:val="20"/>
          <w:szCs w:val="20"/>
          <w:lang w:eastAsia="zh-HK"/>
        </w:rPr>
      </w:pPr>
      <w:r w:rsidRPr="00213F22">
        <w:rPr>
          <w:rFonts w:ascii="Times New Roman" w:eastAsiaTheme="minorEastAsia" w:hAnsi="Times New Roman"/>
          <w:b/>
          <w:sz w:val="20"/>
          <w:szCs w:val="20"/>
          <w:lang w:eastAsia="zh-HK"/>
        </w:rPr>
        <w:lastRenderedPageBreak/>
        <w:t>References</w:t>
      </w:r>
    </w:p>
    <w:p w14:paraId="4CC3151E" w14:textId="77777777" w:rsidR="00D73AB1" w:rsidRPr="00213F22" w:rsidRDefault="00D73AB1" w:rsidP="00D73AB1">
      <w:pPr>
        <w:pStyle w:val="NormalWeb"/>
        <w:spacing w:before="0" w:beforeAutospacing="0" w:after="0" w:afterAutospacing="0" w:line="260" w:lineRule="exact"/>
        <w:ind w:left="448" w:hanging="448"/>
        <w:jc w:val="both"/>
        <w:rPr>
          <w:rFonts w:eastAsiaTheme="minorEastAsia"/>
          <w:sz w:val="20"/>
          <w:szCs w:val="20"/>
          <w:lang w:eastAsia="zh-TW"/>
        </w:rPr>
      </w:pPr>
      <w:r w:rsidRPr="00213F22">
        <w:rPr>
          <w:rFonts w:eastAsiaTheme="minorEastAsia"/>
          <w:sz w:val="20"/>
          <w:szCs w:val="20"/>
          <w:lang w:eastAsia="zh-TW"/>
        </w:rPr>
        <w:t xml:space="preserve">Acharya, V. V., Engle, R. F., &amp; Richardson, M. (2012). Capital shortfall: A new approach to ranking and regulating systemic risks. </w:t>
      </w:r>
      <w:r w:rsidRPr="00213F22">
        <w:rPr>
          <w:rFonts w:eastAsiaTheme="minorEastAsia"/>
          <w:i/>
          <w:sz w:val="20"/>
          <w:szCs w:val="20"/>
          <w:lang w:eastAsia="zh-TW"/>
        </w:rPr>
        <w:t>American Economic Review, 102</w:t>
      </w:r>
      <w:r w:rsidRPr="00213F22">
        <w:rPr>
          <w:rFonts w:eastAsiaTheme="minorEastAsia"/>
          <w:sz w:val="20"/>
          <w:szCs w:val="20"/>
          <w:lang w:eastAsia="zh-TW"/>
        </w:rPr>
        <w:t>(3), 59-64.</w:t>
      </w:r>
    </w:p>
    <w:p w14:paraId="730E0799" w14:textId="77777777" w:rsidR="00D73AB1" w:rsidRPr="00213F22" w:rsidRDefault="00D73AB1" w:rsidP="00D73AB1">
      <w:pPr>
        <w:pStyle w:val="NormalWeb"/>
        <w:spacing w:before="0" w:beforeAutospacing="0" w:after="0" w:afterAutospacing="0" w:line="260" w:lineRule="exact"/>
        <w:ind w:left="448" w:hanging="448"/>
        <w:jc w:val="both"/>
        <w:rPr>
          <w:rFonts w:eastAsiaTheme="minorEastAsia"/>
          <w:sz w:val="20"/>
          <w:szCs w:val="20"/>
          <w:lang w:eastAsia="zh-TW"/>
        </w:rPr>
      </w:pPr>
      <w:r w:rsidRPr="00213F22">
        <w:rPr>
          <w:rFonts w:eastAsiaTheme="minorEastAsia"/>
          <w:sz w:val="20"/>
          <w:szCs w:val="20"/>
          <w:lang w:eastAsia="zh-TW"/>
        </w:rPr>
        <w:t xml:space="preserve">Acharya, V. V., Pedersen, L. H., </w:t>
      </w:r>
      <w:proofErr w:type="spellStart"/>
      <w:r w:rsidRPr="00213F22">
        <w:rPr>
          <w:rFonts w:eastAsiaTheme="minorEastAsia"/>
          <w:sz w:val="20"/>
          <w:szCs w:val="20"/>
          <w:lang w:eastAsia="zh-TW"/>
        </w:rPr>
        <w:t>Philippon</w:t>
      </w:r>
      <w:proofErr w:type="spellEnd"/>
      <w:r w:rsidRPr="00213F22">
        <w:rPr>
          <w:rFonts w:eastAsiaTheme="minorEastAsia"/>
          <w:sz w:val="20"/>
          <w:szCs w:val="20"/>
          <w:lang w:eastAsia="zh-TW"/>
        </w:rPr>
        <w:t xml:space="preserve">, T., &amp; Richardson, M. (2010). Measuring systemic risk. Working paper, New York </w:t>
      </w:r>
      <w:proofErr w:type="spellStart"/>
      <w:r w:rsidRPr="00213F22">
        <w:rPr>
          <w:rFonts w:eastAsiaTheme="minorEastAsia"/>
          <w:sz w:val="20"/>
          <w:szCs w:val="20"/>
          <w:lang w:eastAsia="zh-TW"/>
        </w:rPr>
        <w:t>Univeristy</w:t>
      </w:r>
      <w:proofErr w:type="spellEnd"/>
      <w:r w:rsidRPr="00213F22">
        <w:rPr>
          <w:rFonts w:eastAsiaTheme="minorEastAsia"/>
          <w:sz w:val="20"/>
          <w:szCs w:val="20"/>
          <w:lang w:eastAsia="zh-TW"/>
        </w:rPr>
        <w:t>.</w:t>
      </w:r>
    </w:p>
    <w:p w14:paraId="7C466167" w14:textId="77777777" w:rsidR="00D73AB1" w:rsidRPr="00213F22" w:rsidRDefault="00D73AB1" w:rsidP="00D73AB1">
      <w:pPr>
        <w:pStyle w:val="NormalWeb"/>
        <w:spacing w:before="0" w:beforeAutospacing="0" w:after="0" w:afterAutospacing="0" w:line="260" w:lineRule="exact"/>
        <w:ind w:left="448" w:hanging="448"/>
        <w:jc w:val="both"/>
        <w:rPr>
          <w:rFonts w:eastAsiaTheme="minorEastAsia"/>
          <w:sz w:val="20"/>
          <w:szCs w:val="20"/>
          <w:lang w:eastAsia="zh-TW"/>
        </w:rPr>
      </w:pPr>
      <w:r w:rsidRPr="00213F22">
        <w:rPr>
          <w:rFonts w:eastAsiaTheme="minorEastAsia"/>
          <w:sz w:val="20"/>
          <w:szCs w:val="20"/>
          <w:lang w:eastAsia="zh-TW"/>
        </w:rPr>
        <w:t xml:space="preserve">Adrian, T., &amp; </w:t>
      </w:r>
      <w:proofErr w:type="spellStart"/>
      <w:r w:rsidRPr="00213F22">
        <w:rPr>
          <w:rFonts w:eastAsiaTheme="minorEastAsia"/>
          <w:sz w:val="20"/>
          <w:szCs w:val="20"/>
          <w:lang w:eastAsia="zh-TW"/>
        </w:rPr>
        <w:t>Brunnermeier</w:t>
      </w:r>
      <w:proofErr w:type="spellEnd"/>
      <w:r w:rsidRPr="00213F22">
        <w:rPr>
          <w:rFonts w:eastAsiaTheme="minorEastAsia"/>
          <w:sz w:val="20"/>
          <w:szCs w:val="20"/>
          <w:lang w:eastAsia="zh-TW"/>
        </w:rPr>
        <w:t xml:space="preserve">, M. K. (2014). </w:t>
      </w:r>
      <w:proofErr w:type="spellStart"/>
      <w:r w:rsidRPr="00213F22">
        <w:rPr>
          <w:rFonts w:eastAsiaTheme="minorEastAsia"/>
          <w:sz w:val="20"/>
          <w:szCs w:val="20"/>
          <w:lang w:eastAsia="zh-TW"/>
        </w:rPr>
        <w:t>CoVar</w:t>
      </w:r>
      <w:proofErr w:type="spellEnd"/>
      <w:r w:rsidRPr="00213F22">
        <w:rPr>
          <w:rFonts w:eastAsiaTheme="minorEastAsia"/>
          <w:sz w:val="20"/>
          <w:szCs w:val="20"/>
          <w:lang w:eastAsia="zh-TW"/>
        </w:rPr>
        <w:t>, Federal Reserve Bank of New York Staff Reports 348.</w:t>
      </w:r>
    </w:p>
    <w:p w14:paraId="3313B11E" w14:textId="77777777" w:rsidR="00D73AB1" w:rsidRPr="00213F22" w:rsidRDefault="00D73AB1" w:rsidP="00D73AB1">
      <w:pPr>
        <w:pStyle w:val="NormalWeb"/>
        <w:spacing w:before="0" w:beforeAutospacing="0" w:after="0" w:afterAutospacing="0" w:line="260" w:lineRule="exact"/>
        <w:ind w:left="448" w:hanging="448"/>
        <w:jc w:val="both"/>
        <w:rPr>
          <w:rFonts w:eastAsiaTheme="minorEastAsia"/>
          <w:sz w:val="20"/>
          <w:szCs w:val="20"/>
          <w:lang w:eastAsia="zh-TW"/>
        </w:rPr>
      </w:pPr>
      <w:proofErr w:type="spellStart"/>
      <w:r w:rsidRPr="00213F22">
        <w:rPr>
          <w:rFonts w:eastAsiaTheme="minorEastAsia"/>
          <w:sz w:val="20"/>
          <w:szCs w:val="20"/>
          <w:lang w:eastAsia="zh-TW"/>
        </w:rPr>
        <w:t>Anginer</w:t>
      </w:r>
      <w:proofErr w:type="spellEnd"/>
      <w:r w:rsidRPr="00213F22">
        <w:rPr>
          <w:rFonts w:eastAsiaTheme="minorEastAsia"/>
          <w:sz w:val="20"/>
          <w:szCs w:val="20"/>
          <w:lang w:eastAsia="zh-TW"/>
        </w:rPr>
        <w:t xml:space="preserve">, D., </w:t>
      </w:r>
      <w:proofErr w:type="spellStart"/>
      <w:r w:rsidRPr="00213F22">
        <w:rPr>
          <w:rFonts w:eastAsiaTheme="minorEastAsia"/>
          <w:sz w:val="20"/>
          <w:szCs w:val="20"/>
          <w:lang w:eastAsia="zh-TW"/>
        </w:rPr>
        <w:t>Demirguc-Kunt</w:t>
      </w:r>
      <w:proofErr w:type="spellEnd"/>
      <w:r w:rsidRPr="00213F22">
        <w:rPr>
          <w:rFonts w:eastAsiaTheme="minorEastAsia"/>
          <w:sz w:val="20"/>
          <w:szCs w:val="20"/>
          <w:lang w:eastAsia="zh-TW"/>
        </w:rPr>
        <w:t xml:space="preserve">, A., &amp; Zhu, M. (2014a). How does competition affect bank systemic risk? </w:t>
      </w:r>
      <w:r w:rsidRPr="00213F22">
        <w:rPr>
          <w:rFonts w:eastAsiaTheme="minorEastAsia"/>
          <w:i/>
          <w:sz w:val="20"/>
          <w:szCs w:val="20"/>
          <w:lang w:eastAsia="zh-TW"/>
        </w:rPr>
        <w:t>Journal of Financial Intermediation, 23</w:t>
      </w:r>
      <w:r w:rsidRPr="00213F22">
        <w:rPr>
          <w:rFonts w:eastAsiaTheme="minorEastAsia"/>
          <w:sz w:val="20"/>
          <w:szCs w:val="20"/>
          <w:lang w:eastAsia="zh-TW"/>
        </w:rPr>
        <w:t>(1), 1-26.</w:t>
      </w:r>
    </w:p>
    <w:p w14:paraId="157E99C0" w14:textId="77777777" w:rsidR="00D73AB1" w:rsidRPr="00213F22" w:rsidRDefault="00D73AB1" w:rsidP="00D73AB1">
      <w:pPr>
        <w:pStyle w:val="NormalWeb"/>
        <w:spacing w:before="0" w:beforeAutospacing="0" w:after="0" w:afterAutospacing="0" w:line="260" w:lineRule="exact"/>
        <w:ind w:left="448" w:hanging="448"/>
        <w:jc w:val="both"/>
        <w:rPr>
          <w:rFonts w:eastAsiaTheme="minorEastAsia"/>
          <w:sz w:val="20"/>
          <w:szCs w:val="20"/>
          <w:lang w:eastAsia="zh-TW"/>
        </w:rPr>
      </w:pPr>
      <w:proofErr w:type="spellStart"/>
      <w:r w:rsidRPr="00213F22">
        <w:rPr>
          <w:rFonts w:eastAsiaTheme="minorEastAsia"/>
          <w:sz w:val="20"/>
          <w:szCs w:val="20"/>
          <w:lang w:eastAsia="zh-TW"/>
        </w:rPr>
        <w:t>Anginer</w:t>
      </w:r>
      <w:proofErr w:type="spellEnd"/>
      <w:r w:rsidRPr="00213F22">
        <w:rPr>
          <w:rFonts w:eastAsiaTheme="minorEastAsia"/>
          <w:sz w:val="20"/>
          <w:szCs w:val="20"/>
          <w:lang w:eastAsia="zh-TW"/>
        </w:rPr>
        <w:t xml:space="preserve">, D., </w:t>
      </w:r>
      <w:proofErr w:type="spellStart"/>
      <w:r w:rsidRPr="00213F22">
        <w:rPr>
          <w:rFonts w:eastAsiaTheme="minorEastAsia"/>
          <w:sz w:val="20"/>
          <w:szCs w:val="20"/>
          <w:lang w:eastAsia="zh-TW"/>
        </w:rPr>
        <w:t>Demirguc-Kunt</w:t>
      </w:r>
      <w:proofErr w:type="spellEnd"/>
      <w:r w:rsidRPr="00213F22">
        <w:rPr>
          <w:rFonts w:eastAsiaTheme="minorEastAsia"/>
          <w:sz w:val="20"/>
          <w:szCs w:val="20"/>
          <w:lang w:eastAsia="zh-TW"/>
        </w:rPr>
        <w:t xml:space="preserve">, A., &amp; Zhu, M. (2014b). How does deposit insurance affect bank risk? Evidence from the recent crisis. </w:t>
      </w:r>
      <w:r w:rsidRPr="00213F22">
        <w:rPr>
          <w:rFonts w:eastAsiaTheme="minorEastAsia"/>
          <w:i/>
          <w:sz w:val="20"/>
          <w:szCs w:val="20"/>
          <w:lang w:eastAsia="zh-TW"/>
        </w:rPr>
        <w:t>Journal of Banking &amp; Finance, 48</w:t>
      </w:r>
      <w:r w:rsidRPr="00213F22">
        <w:rPr>
          <w:rFonts w:eastAsiaTheme="minorEastAsia"/>
          <w:sz w:val="20"/>
          <w:szCs w:val="20"/>
          <w:lang w:eastAsia="zh-TW"/>
        </w:rPr>
        <w:t>(1), 312-321.</w:t>
      </w:r>
    </w:p>
    <w:p w14:paraId="34DD2A06"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proofErr w:type="spellStart"/>
      <w:r w:rsidRPr="00213F22">
        <w:rPr>
          <w:sz w:val="20"/>
          <w:szCs w:val="20"/>
        </w:rPr>
        <w:t>Araten</w:t>
      </w:r>
      <w:proofErr w:type="spellEnd"/>
      <w:r w:rsidRPr="00213F22">
        <w:rPr>
          <w:sz w:val="20"/>
          <w:szCs w:val="20"/>
        </w:rPr>
        <w:t xml:space="preserve">, M., &amp; Turner, C. M. (2013). Understanding the funding cost differences between global systemically important banks (G-SIBs) and non-G-SIBs in the USA. </w:t>
      </w:r>
      <w:r w:rsidRPr="00213F22">
        <w:rPr>
          <w:i/>
          <w:sz w:val="20"/>
          <w:szCs w:val="20"/>
        </w:rPr>
        <w:t>Journal of Risk Management in Financial Institutions, 6</w:t>
      </w:r>
      <w:r w:rsidRPr="00213F22">
        <w:rPr>
          <w:sz w:val="20"/>
          <w:szCs w:val="20"/>
        </w:rPr>
        <w:t>(4), 387-410.</w:t>
      </w:r>
    </w:p>
    <w:p w14:paraId="23A208C4" w14:textId="77777777" w:rsidR="00D73AB1" w:rsidRPr="00213F22" w:rsidRDefault="00D73AB1" w:rsidP="00D73AB1">
      <w:pPr>
        <w:pStyle w:val="NormalWeb"/>
        <w:spacing w:before="0" w:beforeAutospacing="0" w:after="0" w:afterAutospacing="0" w:line="260" w:lineRule="exact"/>
        <w:ind w:left="448" w:hanging="448"/>
        <w:jc w:val="both"/>
        <w:rPr>
          <w:rFonts w:eastAsiaTheme="minorEastAsia"/>
          <w:sz w:val="20"/>
          <w:szCs w:val="20"/>
          <w:lang w:eastAsia="zh-TW"/>
        </w:rPr>
      </w:pPr>
      <w:proofErr w:type="spellStart"/>
      <w:r w:rsidRPr="00213F22">
        <w:rPr>
          <w:rFonts w:eastAsiaTheme="minorEastAsia"/>
          <w:sz w:val="20"/>
          <w:szCs w:val="20"/>
          <w:lang w:eastAsia="zh-TW"/>
        </w:rPr>
        <w:t>Baselga-Pascual</w:t>
      </w:r>
      <w:proofErr w:type="spellEnd"/>
      <w:r w:rsidRPr="00213F22">
        <w:rPr>
          <w:rFonts w:eastAsiaTheme="minorEastAsia"/>
          <w:sz w:val="20"/>
          <w:szCs w:val="20"/>
          <w:lang w:eastAsia="zh-TW"/>
        </w:rPr>
        <w:t xml:space="preserve">, L., Trujillo-Ponce, A., &amp; </w:t>
      </w:r>
      <w:proofErr w:type="spellStart"/>
      <w:r w:rsidRPr="00213F22">
        <w:rPr>
          <w:rFonts w:eastAsiaTheme="minorEastAsia"/>
          <w:sz w:val="20"/>
          <w:szCs w:val="20"/>
          <w:lang w:eastAsia="zh-TW"/>
        </w:rPr>
        <w:t>Cardone-Riportella</w:t>
      </w:r>
      <w:proofErr w:type="spellEnd"/>
      <w:r w:rsidRPr="00213F22">
        <w:rPr>
          <w:rFonts w:eastAsiaTheme="minorEastAsia"/>
          <w:sz w:val="20"/>
          <w:szCs w:val="20"/>
          <w:lang w:eastAsia="zh-TW"/>
        </w:rPr>
        <w:t xml:space="preserve">, C. (2015). Factors influencing bank risk in Europe: Evidence from the financial crisis. </w:t>
      </w:r>
      <w:r w:rsidRPr="00213F22">
        <w:rPr>
          <w:rFonts w:eastAsiaTheme="minorEastAsia"/>
          <w:i/>
          <w:sz w:val="20"/>
          <w:szCs w:val="20"/>
          <w:lang w:eastAsia="zh-TW"/>
        </w:rPr>
        <w:t>North American Journal of Economics and Finance, 34</w:t>
      </w:r>
      <w:r w:rsidRPr="00213F22">
        <w:rPr>
          <w:rFonts w:eastAsiaTheme="minorEastAsia"/>
          <w:sz w:val="20"/>
          <w:szCs w:val="20"/>
          <w:lang w:eastAsia="zh-TW"/>
        </w:rPr>
        <w:t>, 138-166.</w:t>
      </w:r>
    </w:p>
    <w:p w14:paraId="1A36FFDA"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proofErr w:type="spellStart"/>
      <w:r w:rsidRPr="00213F22">
        <w:rPr>
          <w:sz w:val="20"/>
          <w:szCs w:val="20"/>
        </w:rPr>
        <w:t>Bierth</w:t>
      </w:r>
      <w:proofErr w:type="spellEnd"/>
      <w:r w:rsidRPr="00213F22">
        <w:rPr>
          <w:sz w:val="20"/>
          <w:szCs w:val="20"/>
        </w:rPr>
        <w:t xml:space="preserve">, C., </w:t>
      </w:r>
      <w:proofErr w:type="spellStart"/>
      <w:r w:rsidRPr="00213F22">
        <w:rPr>
          <w:sz w:val="20"/>
          <w:szCs w:val="20"/>
        </w:rPr>
        <w:t>Irresberger</w:t>
      </w:r>
      <w:proofErr w:type="spellEnd"/>
      <w:r w:rsidRPr="00213F22">
        <w:rPr>
          <w:sz w:val="20"/>
          <w:szCs w:val="20"/>
        </w:rPr>
        <w:t xml:space="preserve">, F., &amp; Weiβ, G. N. F. (2015). Systemic risk of insurers around the globe. </w:t>
      </w:r>
      <w:r w:rsidRPr="00213F22">
        <w:rPr>
          <w:i/>
          <w:sz w:val="20"/>
          <w:szCs w:val="20"/>
        </w:rPr>
        <w:t>Journal of Banking and Finance, 55</w:t>
      </w:r>
      <w:r w:rsidRPr="00213F22">
        <w:rPr>
          <w:sz w:val="20"/>
          <w:szCs w:val="20"/>
        </w:rPr>
        <w:t>, 232-245.</w:t>
      </w:r>
    </w:p>
    <w:p w14:paraId="4B020DF5" w14:textId="77777777" w:rsidR="00D73AB1"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 xml:space="preserve">Boyd, J. H., &amp; </w:t>
      </w:r>
      <w:proofErr w:type="spellStart"/>
      <w:r w:rsidRPr="00213F22">
        <w:rPr>
          <w:sz w:val="20"/>
          <w:szCs w:val="20"/>
        </w:rPr>
        <w:t>Heitz</w:t>
      </w:r>
      <w:proofErr w:type="spellEnd"/>
      <w:r w:rsidRPr="00213F22">
        <w:rPr>
          <w:sz w:val="20"/>
          <w:szCs w:val="20"/>
        </w:rPr>
        <w:t xml:space="preserve">, A. (2016). The social costs and benefits of too-big-to-fail banks: A “bounding” exercise. </w:t>
      </w:r>
      <w:r w:rsidRPr="00213F22">
        <w:rPr>
          <w:i/>
          <w:sz w:val="20"/>
          <w:szCs w:val="20"/>
        </w:rPr>
        <w:t>Journal of Banking and Finance, 68</w:t>
      </w:r>
      <w:r w:rsidRPr="00213F22">
        <w:rPr>
          <w:sz w:val="20"/>
          <w:szCs w:val="20"/>
        </w:rPr>
        <w:t>, 251-265.</w:t>
      </w:r>
    </w:p>
    <w:p w14:paraId="28DE5FF3" w14:textId="77777777" w:rsidR="00D73AB1" w:rsidRPr="00C9541B" w:rsidRDefault="00D73AB1" w:rsidP="00D73AB1">
      <w:pPr>
        <w:pStyle w:val="NormalWeb"/>
        <w:spacing w:before="0" w:beforeAutospacing="0" w:after="0" w:afterAutospacing="0" w:line="260" w:lineRule="exact"/>
        <w:ind w:left="448" w:hanging="448"/>
        <w:jc w:val="both"/>
        <w:rPr>
          <w:sz w:val="20"/>
          <w:szCs w:val="20"/>
        </w:rPr>
      </w:pPr>
      <w:proofErr w:type="spellStart"/>
      <w:r>
        <w:rPr>
          <w:sz w:val="20"/>
          <w:szCs w:val="20"/>
          <w:lang w:eastAsia="zh-HK"/>
        </w:rPr>
        <w:t>Bramer</w:t>
      </w:r>
      <w:proofErr w:type="spellEnd"/>
      <w:r>
        <w:rPr>
          <w:sz w:val="20"/>
          <w:szCs w:val="20"/>
          <w:lang w:eastAsia="zh-HK"/>
        </w:rPr>
        <w:t xml:space="preserve">, P., &amp; </w:t>
      </w:r>
      <w:proofErr w:type="spellStart"/>
      <w:r>
        <w:rPr>
          <w:sz w:val="20"/>
          <w:szCs w:val="20"/>
          <w:lang w:eastAsia="zh-HK"/>
        </w:rPr>
        <w:t>Gischer</w:t>
      </w:r>
      <w:proofErr w:type="spellEnd"/>
      <w:r>
        <w:rPr>
          <w:sz w:val="20"/>
          <w:szCs w:val="20"/>
          <w:lang w:eastAsia="zh-HK"/>
        </w:rPr>
        <w:t xml:space="preserve">, H. (2013). An assessment methodology for domestic systemically important banks in Australia. </w:t>
      </w:r>
      <w:r w:rsidRPr="00C9541B">
        <w:rPr>
          <w:i/>
          <w:sz w:val="20"/>
          <w:szCs w:val="20"/>
          <w:lang w:eastAsia="zh-HK"/>
        </w:rPr>
        <w:t>Australian Economic Review</w:t>
      </w:r>
      <w:r>
        <w:rPr>
          <w:i/>
          <w:sz w:val="20"/>
          <w:szCs w:val="20"/>
          <w:lang w:eastAsia="zh-HK"/>
        </w:rPr>
        <w:t>, 46</w:t>
      </w:r>
      <w:r>
        <w:rPr>
          <w:sz w:val="20"/>
          <w:szCs w:val="20"/>
          <w:lang w:eastAsia="zh-HK"/>
        </w:rPr>
        <w:t>(2), 140-159.</w:t>
      </w:r>
    </w:p>
    <w:p w14:paraId="7613AEFD"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proofErr w:type="spellStart"/>
      <w:r w:rsidRPr="00213F22">
        <w:rPr>
          <w:sz w:val="20"/>
          <w:szCs w:val="20"/>
        </w:rPr>
        <w:t>Dombret</w:t>
      </w:r>
      <w:proofErr w:type="spellEnd"/>
      <w:r w:rsidRPr="00213F22">
        <w:rPr>
          <w:sz w:val="20"/>
          <w:szCs w:val="20"/>
        </w:rPr>
        <w:t xml:space="preserve">, A., &amp; </w:t>
      </w:r>
      <w:proofErr w:type="spellStart"/>
      <w:r w:rsidRPr="00213F22">
        <w:rPr>
          <w:sz w:val="20"/>
          <w:szCs w:val="20"/>
        </w:rPr>
        <w:t>Ebner</w:t>
      </w:r>
      <w:proofErr w:type="spellEnd"/>
      <w:r w:rsidRPr="00213F22">
        <w:rPr>
          <w:sz w:val="20"/>
          <w:szCs w:val="20"/>
        </w:rPr>
        <w:t xml:space="preserve">, A. (2013). Default of systemically important financial intermediaries: Short-term stability versus incentive compatibility? </w:t>
      </w:r>
      <w:r w:rsidRPr="00213F22">
        <w:rPr>
          <w:i/>
          <w:sz w:val="20"/>
          <w:szCs w:val="20"/>
        </w:rPr>
        <w:t>German Economic Review, 14</w:t>
      </w:r>
      <w:r w:rsidRPr="00213F22">
        <w:rPr>
          <w:sz w:val="20"/>
          <w:szCs w:val="20"/>
        </w:rPr>
        <w:t>(1), 15-30.</w:t>
      </w:r>
    </w:p>
    <w:p w14:paraId="6C2D0536"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proofErr w:type="spellStart"/>
      <w:r w:rsidRPr="00213F22">
        <w:rPr>
          <w:sz w:val="20"/>
          <w:szCs w:val="20"/>
        </w:rPr>
        <w:t>Fahlenbrach</w:t>
      </w:r>
      <w:proofErr w:type="spellEnd"/>
      <w:r w:rsidRPr="00213F22">
        <w:rPr>
          <w:sz w:val="20"/>
          <w:szCs w:val="20"/>
        </w:rPr>
        <w:t xml:space="preserve">, R., </w:t>
      </w:r>
      <w:proofErr w:type="spellStart"/>
      <w:r w:rsidRPr="00213F22">
        <w:rPr>
          <w:sz w:val="20"/>
          <w:szCs w:val="20"/>
        </w:rPr>
        <w:t>Prilmeier</w:t>
      </w:r>
      <w:proofErr w:type="spellEnd"/>
      <w:r w:rsidRPr="00213F22">
        <w:rPr>
          <w:sz w:val="20"/>
          <w:szCs w:val="20"/>
        </w:rPr>
        <w:t xml:space="preserve">, R., &amp; </w:t>
      </w:r>
      <w:proofErr w:type="spellStart"/>
      <w:r w:rsidRPr="00213F22">
        <w:rPr>
          <w:sz w:val="20"/>
          <w:szCs w:val="20"/>
        </w:rPr>
        <w:t>Stulz</w:t>
      </w:r>
      <w:proofErr w:type="spellEnd"/>
      <w:r w:rsidRPr="00213F22">
        <w:rPr>
          <w:sz w:val="20"/>
          <w:szCs w:val="20"/>
        </w:rPr>
        <w:t xml:space="preserve">, R. M. (2012). This time is the same: Using bank performance in 1998 to explain bank performance during the recent financial crisis. </w:t>
      </w:r>
      <w:r w:rsidRPr="00213F22">
        <w:rPr>
          <w:i/>
          <w:sz w:val="20"/>
          <w:szCs w:val="20"/>
        </w:rPr>
        <w:t>Journal of Finance, 67</w:t>
      </w:r>
      <w:r w:rsidRPr="00213F22">
        <w:rPr>
          <w:sz w:val="20"/>
          <w:szCs w:val="20"/>
        </w:rPr>
        <w:t>(6), 2139-2185.</w:t>
      </w:r>
    </w:p>
    <w:p w14:paraId="162DD8A3"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FSB (2013). Global systemically important insurers (G-SIIs) and the policy measures that will apply to them.</w:t>
      </w:r>
    </w:p>
    <w:p w14:paraId="77DCADF8" w14:textId="77777777" w:rsidR="00D73AB1" w:rsidRPr="00213F22" w:rsidRDefault="00D73AB1" w:rsidP="00D73AB1">
      <w:pPr>
        <w:pStyle w:val="NormalWeb"/>
        <w:spacing w:before="0" w:beforeAutospacing="0" w:after="0" w:afterAutospacing="0" w:line="260" w:lineRule="exact"/>
        <w:ind w:left="448" w:hanging="448"/>
        <w:jc w:val="both"/>
        <w:rPr>
          <w:rFonts w:eastAsiaTheme="minorEastAsia"/>
          <w:sz w:val="20"/>
          <w:szCs w:val="20"/>
          <w:lang w:eastAsia="zh-HK"/>
        </w:rPr>
      </w:pPr>
      <w:r w:rsidRPr="00213F22">
        <w:rPr>
          <w:rFonts w:eastAsiaTheme="minorEastAsia"/>
          <w:sz w:val="20"/>
          <w:szCs w:val="20"/>
          <w:lang w:eastAsia="zh-HK"/>
        </w:rPr>
        <w:t xml:space="preserve">Graham, J. W., </w:t>
      </w:r>
      <w:proofErr w:type="spellStart"/>
      <w:r w:rsidRPr="00213F22">
        <w:rPr>
          <w:rFonts w:eastAsiaTheme="minorEastAsia"/>
          <w:sz w:val="20"/>
          <w:szCs w:val="20"/>
          <w:lang w:eastAsia="zh-HK"/>
        </w:rPr>
        <w:t>Olchowski</w:t>
      </w:r>
      <w:proofErr w:type="spellEnd"/>
      <w:r w:rsidRPr="00213F22">
        <w:rPr>
          <w:rFonts w:eastAsiaTheme="minorEastAsia"/>
          <w:sz w:val="20"/>
          <w:szCs w:val="20"/>
          <w:lang w:eastAsia="zh-HK"/>
        </w:rPr>
        <w:t xml:space="preserve">, A. E., &amp; </w:t>
      </w:r>
      <w:proofErr w:type="spellStart"/>
      <w:r w:rsidRPr="00213F22">
        <w:rPr>
          <w:rFonts w:eastAsiaTheme="minorEastAsia"/>
          <w:sz w:val="20"/>
          <w:szCs w:val="20"/>
          <w:lang w:eastAsia="zh-HK"/>
        </w:rPr>
        <w:t>Gilreath</w:t>
      </w:r>
      <w:proofErr w:type="spellEnd"/>
      <w:r w:rsidRPr="00213F22">
        <w:rPr>
          <w:rFonts w:eastAsiaTheme="minorEastAsia"/>
          <w:sz w:val="20"/>
          <w:szCs w:val="20"/>
          <w:lang w:eastAsia="zh-HK"/>
        </w:rPr>
        <w:t xml:space="preserve">, T. D. (2007). How many imputations are really needed? Some practical clarifications of multiple imputation theory. </w:t>
      </w:r>
      <w:r w:rsidRPr="00213F22">
        <w:rPr>
          <w:rFonts w:eastAsiaTheme="minorEastAsia"/>
          <w:i/>
          <w:sz w:val="20"/>
          <w:szCs w:val="20"/>
          <w:lang w:eastAsia="zh-HK"/>
        </w:rPr>
        <w:t>Prevention Science, 8</w:t>
      </w:r>
      <w:r w:rsidRPr="00213F22">
        <w:rPr>
          <w:rFonts w:eastAsiaTheme="minorEastAsia"/>
          <w:sz w:val="20"/>
          <w:szCs w:val="20"/>
          <w:lang w:eastAsia="zh-HK"/>
        </w:rPr>
        <w:t>(3), 206–213.</w:t>
      </w:r>
    </w:p>
    <w:p w14:paraId="680AEB3E"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proofErr w:type="spellStart"/>
      <w:r w:rsidRPr="00213F22">
        <w:rPr>
          <w:sz w:val="20"/>
          <w:szCs w:val="20"/>
        </w:rPr>
        <w:t>Guiné</w:t>
      </w:r>
      <w:proofErr w:type="spellEnd"/>
      <w:r w:rsidRPr="00213F22">
        <w:rPr>
          <w:sz w:val="20"/>
          <w:szCs w:val="20"/>
        </w:rPr>
        <w:t xml:space="preserve">, C. (2014). Global systemically important insurers. </w:t>
      </w:r>
      <w:r w:rsidRPr="00213F22">
        <w:rPr>
          <w:i/>
          <w:sz w:val="20"/>
          <w:szCs w:val="20"/>
        </w:rPr>
        <w:t>EIOPA Financial Stability Report</w:t>
      </w:r>
      <w:r w:rsidRPr="00213F22">
        <w:rPr>
          <w:sz w:val="20"/>
          <w:szCs w:val="20"/>
        </w:rPr>
        <w:t>, 54-63.</w:t>
      </w:r>
    </w:p>
    <w:p w14:paraId="05EF95F3" w14:textId="77777777" w:rsidR="00D73AB1" w:rsidRPr="00213F22" w:rsidRDefault="00D73AB1" w:rsidP="00D73AB1">
      <w:pPr>
        <w:pStyle w:val="NormalWeb"/>
        <w:spacing w:before="0" w:beforeAutospacing="0" w:after="0" w:afterAutospacing="0" w:line="260" w:lineRule="exact"/>
        <w:ind w:left="448" w:hanging="448"/>
        <w:jc w:val="both"/>
        <w:rPr>
          <w:rFonts w:eastAsiaTheme="minorEastAsia"/>
          <w:sz w:val="20"/>
          <w:szCs w:val="20"/>
          <w:lang w:eastAsia="zh-TW"/>
        </w:rPr>
      </w:pPr>
      <w:r w:rsidRPr="00213F22">
        <w:rPr>
          <w:rFonts w:eastAsiaTheme="minorEastAsia"/>
          <w:sz w:val="20"/>
          <w:szCs w:val="20"/>
          <w:lang w:eastAsia="zh-TW"/>
        </w:rPr>
        <w:t>IAIS (2011). Insurance and Financial Stability.</w:t>
      </w:r>
    </w:p>
    <w:p w14:paraId="53583862"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IAIS (2013a). Global systemically important insurers: Initial assessment methodology.</w:t>
      </w:r>
    </w:p>
    <w:p w14:paraId="7A77EEC6"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IAIS (2013b). Global systemically important insurers: Policy measures.</w:t>
      </w:r>
    </w:p>
    <w:p w14:paraId="661026B3"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IAIS (2014). Basic Capital Requirements for Global Systemically Important Insurers.</w:t>
      </w:r>
    </w:p>
    <w:p w14:paraId="14A99C23" w14:textId="77777777" w:rsidR="00D73AB1"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IAIS (2015). Higher loss absorbency requirement for global systemically important insurers.</w:t>
      </w:r>
    </w:p>
    <w:p w14:paraId="49D7AEE6"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Pr>
          <w:sz w:val="20"/>
          <w:szCs w:val="20"/>
        </w:rPr>
        <w:lastRenderedPageBreak/>
        <w:t>IAIS (2016). Global systemically important insurers: Updated assessment methodology.</w:t>
      </w:r>
    </w:p>
    <w:p w14:paraId="725D92A1"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IMF, BIS, &amp; FSB (2009). Guidance to assess the systemic importance of financial institutions, markets and instruments: Initial considerations.</w:t>
      </w:r>
    </w:p>
    <w:p w14:paraId="0ACF2BF8"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 xml:space="preserve">Jenkins, P. (2016). Banking can learn from insurance on systemic risk. </w:t>
      </w:r>
      <w:r w:rsidRPr="00213F22">
        <w:rPr>
          <w:i/>
          <w:sz w:val="20"/>
          <w:szCs w:val="20"/>
        </w:rPr>
        <w:t>Financial Times</w:t>
      </w:r>
      <w:r w:rsidRPr="00213F22">
        <w:rPr>
          <w:sz w:val="20"/>
          <w:szCs w:val="20"/>
        </w:rPr>
        <w:t>. Retrieved from www.ft.com/content/5ae16c9e-c34f-11e5-808f-8231cd71622e</w:t>
      </w:r>
    </w:p>
    <w:p w14:paraId="48D677C6" w14:textId="77777777" w:rsidR="00D73AB1" w:rsidRDefault="00D73AB1" w:rsidP="00D73AB1">
      <w:pPr>
        <w:pStyle w:val="NormalWeb"/>
        <w:spacing w:before="0" w:beforeAutospacing="0" w:after="0" w:afterAutospacing="0" w:line="260" w:lineRule="exact"/>
        <w:ind w:left="448" w:hanging="448"/>
        <w:jc w:val="both"/>
        <w:rPr>
          <w:sz w:val="20"/>
          <w:szCs w:val="20"/>
        </w:rPr>
      </w:pPr>
      <w:r>
        <w:rPr>
          <w:sz w:val="20"/>
          <w:szCs w:val="20"/>
        </w:rPr>
        <w:t xml:space="preserve">Jenkins, P., &amp; Davies, P. J. (2009). Thirty financial groups on systemic risk list. </w:t>
      </w:r>
      <w:r w:rsidRPr="00543D1C">
        <w:rPr>
          <w:i/>
          <w:sz w:val="20"/>
          <w:szCs w:val="20"/>
        </w:rPr>
        <w:t>Financial Times</w:t>
      </w:r>
      <w:r>
        <w:rPr>
          <w:sz w:val="20"/>
          <w:szCs w:val="20"/>
        </w:rPr>
        <w:t xml:space="preserve">. Retrieved from </w:t>
      </w:r>
      <w:r w:rsidRPr="00543D1C">
        <w:rPr>
          <w:sz w:val="20"/>
          <w:szCs w:val="20"/>
        </w:rPr>
        <w:t>https://www.ft.com/content/df7c3f24-dd19-11de-ad60-</w:t>
      </w:r>
      <w:r>
        <w:rPr>
          <w:sz w:val="20"/>
          <w:szCs w:val="20"/>
        </w:rPr>
        <w:t xml:space="preserve"> </w:t>
      </w:r>
      <w:r w:rsidRPr="00543D1C">
        <w:rPr>
          <w:sz w:val="20"/>
          <w:szCs w:val="20"/>
        </w:rPr>
        <w:t>00144feabdc0</w:t>
      </w:r>
    </w:p>
    <w:p w14:paraId="66BDC6FC"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 xml:space="preserve">Jobst, A. A. (2014). Systemic risk in the insurance sector: A review of current assessment approaches. </w:t>
      </w:r>
      <w:r w:rsidRPr="00213F22">
        <w:rPr>
          <w:i/>
          <w:sz w:val="20"/>
          <w:szCs w:val="20"/>
        </w:rPr>
        <w:t>The Geneva Papers on Risk and Insurance - Issues and Practice, 39</w:t>
      </w:r>
      <w:r w:rsidRPr="00213F22">
        <w:rPr>
          <w:sz w:val="20"/>
          <w:szCs w:val="20"/>
        </w:rPr>
        <w:t>(3), 440-470.</w:t>
      </w:r>
    </w:p>
    <w:p w14:paraId="1987AC82"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Kessler, D. (2014). Why (re)insurance is not systemic?</w:t>
      </w:r>
      <w:r w:rsidRPr="00213F22">
        <w:rPr>
          <w:i/>
          <w:sz w:val="20"/>
          <w:szCs w:val="20"/>
        </w:rPr>
        <w:t xml:space="preserve"> Journal of Risk and Insurance, 81</w:t>
      </w:r>
      <w:r w:rsidRPr="00213F22">
        <w:rPr>
          <w:sz w:val="20"/>
          <w:szCs w:val="20"/>
        </w:rPr>
        <w:t>(3), 477-487.</w:t>
      </w:r>
    </w:p>
    <w:p w14:paraId="04F1AD7B"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 xml:space="preserve">Kim, Y. H. (2011). International policy coordination mechanism with respect to the moral hazards of financial intermediaries. </w:t>
      </w:r>
      <w:r w:rsidRPr="00213F22">
        <w:rPr>
          <w:i/>
          <w:sz w:val="20"/>
          <w:szCs w:val="20"/>
        </w:rPr>
        <w:t>Economic Modelling, 28</w:t>
      </w:r>
      <w:r w:rsidRPr="00213F22">
        <w:rPr>
          <w:sz w:val="20"/>
          <w:szCs w:val="20"/>
        </w:rPr>
        <w:t>(4), 1914-1922.</w:t>
      </w:r>
    </w:p>
    <w:p w14:paraId="4698E847"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 xml:space="preserve">Little, R. J. A. (1988). A test of missing completely at random for multivariate data with missing values. </w:t>
      </w:r>
      <w:r w:rsidRPr="00213F22">
        <w:rPr>
          <w:i/>
          <w:sz w:val="20"/>
          <w:szCs w:val="20"/>
        </w:rPr>
        <w:t>Journal of the American Statistical Association, 83</w:t>
      </w:r>
      <w:r w:rsidRPr="00213F22">
        <w:rPr>
          <w:sz w:val="20"/>
          <w:szCs w:val="20"/>
        </w:rPr>
        <w:t>(404), 1198-1202.</w:t>
      </w:r>
    </w:p>
    <w:p w14:paraId="7313C627"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r w:rsidRPr="00213F22">
        <w:rPr>
          <w:sz w:val="20"/>
          <w:szCs w:val="20"/>
        </w:rPr>
        <w:t xml:space="preserve">Little, R. J. A., &amp; Rubin, D. B. (2002). </w:t>
      </w:r>
      <w:r w:rsidRPr="00213F22">
        <w:rPr>
          <w:i/>
          <w:sz w:val="20"/>
          <w:szCs w:val="20"/>
        </w:rPr>
        <w:t>Statistical analysis with missing data</w:t>
      </w:r>
      <w:r w:rsidRPr="00213F22">
        <w:rPr>
          <w:sz w:val="20"/>
          <w:szCs w:val="20"/>
        </w:rPr>
        <w:t>. Second edition, New York: John Wiley &amp; Sons.</w:t>
      </w:r>
    </w:p>
    <w:p w14:paraId="58A5C89E" w14:textId="77777777" w:rsidR="00D73AB1" w:rsidRPr="00213F22" w:rsidRDefault="00D73AB1" w:rsidP="00D73AB1">
      <w:pPr>
        <w:pStyle w:val="NormalWeb"/>
        <w:spacing w:before="0" w:beforeAutospacing="0" w:after="0" w:afterAutospacing="0" w:line="260" w:lineRule="exact"/>
        <w:ind w:left="448" w:hanging="448"/>
        <w:jc w:val="both"/>
        <w:rPr>
          <w:sz w:val="20"/>
          <w:szCs w:val="20"/>
        </w:rPr>
      </w:pPr>
      <w:proofErr w:type="spellStart"/>
      <w:r w:rsidRPr="00213F22">
        <w:rPr>
          <w:sz w:val="20"/>
          <w:szCs w:val="20"/>
        </w:rPr>
        <w:t>Moenninghoff</w:t>
      </w:r>
      <w:proofErr w:type="spellEnd"/>
      <w:r w:rsidRPr="00213F22">
        <w:rPr>
          <w:sz w:val="20"/>
          <w:szCs w:val="20"/>
        </w:rPr>
        <w:t xml:space="preserve">, S. C., </w:t>
      </w:r>
      <w:proofErr w:type="spellStart"/>
      <w:r w:rsidRPr="00213F22">
        <w:rPr>
          <w:sz w:val="20"/>
          <w:szCs w:val="20"/>
        </w:rPr>
        <w:t>Ongena</w:t>
      </w:r>
      <w:proofErr w:type="spellEnd"/>
      <w:r w:rsidRPr="00213F22">
        <w:rPr>
          <w:sz w:val="20"/>
          <w:szCs w:val="20"/>
        </w:rPr>
        <w:t xml:space="preserve">, S., &amp; </w:t>
      </w:r>
      <w:proofErr w:type="spellStart"/>
      <w:r w:rsidRPr="00213F22">
        <w:rPr>
          <w:sz w:val="20"/>
          <w:szCs w:val="20"/>
        </w:rPr>
        <w:t>Wieandt</w:t>
      </w:r>
      <w:proofErr w:type="spellEnd"/>
      <w:r w:rsidRPr="00213F22">
        <w:rPr>
          <w:sz w:val="20"/>
          <w:szCs w:val="20"/>
        </w:rPr>
        <w:t xml:space="preserve">, A. (2015). The perennial challenge to counter Too-Big-to-Fail in banking: Empirical evidence from the new international regulation dealing with Global Systemically Important Banks. </w:t>
      </w:r>
      <w:r w:rsidRPr="00213F22">
        <w:rPr>
          <w:i/>
          <w:sz w:val="20"/>
          <w:szCs w:val="20"/>
        </w:rPr>
        <w:t>Journal of Banking and Finance, 61</w:t>
      </w:r>
      <w:r w:rsidRPr="00213F22">
        <w:rPr>
          <w:sz w:val="20"/>
          <w:szCs w:val="20"/>
        </w:rPr>
        <w:t>, 221-236.</w:t>
      </w:r>
    </w:p>
    <w:p w14:paraId="6B0E3860" w14:textId="77777777" w:rsidR="00D73AB1" w:rsidRPr="00213F22" w:rsidRDefault="00D73AB1" w:rsidP="00D73AB1">
      <w:pPr>
        <w:pStyle w:val="NormalWeb"/>
        <w:spacing w:before="0" w:beforeAutospacing="0" w:after="0" w:afterAutospacing="0" w:line="260" w:lineRule="exact"/>
        <w:ind w:left="450" w:hanging="450"/>
        <w:jc w:val="both"/>
        <w:rPr>
          <w:rFonts w:eastAsiaTheme="minorEastAsia"/>
          <w:sz w:val="20"/>
          <w:szCs w:val="20"/>
          <w:lang w:eastAsia="zh-HK"/>
        </w:rPr>
      </w:pPr>
      <w:proofErr w:type="spellStart"/>
      <w:r w:rsidRPr="00213F22">
        <w:rPr>
          <w:rFonts w:eastAsiaTheme="minorEastAsia"/>
          <w:sz w:val="20"/>
          <w:szCs w:val="20"/>
          <w:lang w:eastAsia="zh-HK"/>
        </w:rPr>
        <w:t>Mühlnickel</w:t>
      </w:r>
      <w:proofErr w:type="spellEnd"/>
      <w:r w:rsidRPr="00213F22">
        <w:rPr>
          <w:rFonts w:eastAsiaTheme="minorEastAsia"/>
          <w:sz w:val="20"/>
          <w:szCs w:val="20"/>
          <w:lang w:eastAsia="zh-HK"/>
        </w:rPr>
        <w:t xml:space="preserve">, J., &amp; Weiβ, G. N. F. (2015). Consolidation and systemic risk in the international insurance industry. </w:t>
      </w:r>
      <w:r w:rsidRPr="00213F22">
        <w:rPr>
          <w:rFonts w:eastAsiaTheme="minorEastAsia"/>
          <w:i/>
          <w:sz w:val="20"/>
          <w:szCs w:val="20"/>
          <w:lang w:eastAsia="zh-HK"/>
        </w:rPr>
        <w:t>Journal of Financial Stability, 18</w:t>
      </w:r>
      <w:r w:rsidRPr="00213F22">
        <w:rPr>
          <w:rFonts w:eastAsiaTheme="minorEastAsia"/>
          <w:sz w:val="20"/>
          <w:szCs w:val="20"/>
          <w:lang w:eastAsia="zh-HK"/>
        </w:rPr>
        <w:t>, 187-202.</w:t>
      </w:r>
    </w:p>
    <w:p w14:paraId="1B95B90F" w14:textId="77777777" w:rsidR="00D73AB1" w:rsidRPr="00213F22" w:rsidRDefault="00D73AB1" w:rsidP="00D73AB1">
      <w:pPr>
        <w:pStyle w:val="NormalWeb"/>
        <w:spacing w:before="0" w:beforeAutospacing="0" w:after="0" w:afterAutospacing="0" w:line="260" w:lineRule="exact"/>
        <w:ind w:left="450" w:hanging="450"/>
        <w:jc w:val="both"/>
        <w:rPr>
          <w:rFonts w:eastAsiaTheme="minorEastAsia"/>
          <w:sz w:val="20"/>
          <w:szCs w:val="20"/>
          <w:lang w:eastAsia="zh-HK"/>
        </w:rPr>
      </w:pPr>
      <w:r w:rsidRPr="00213F22">
        <w:rPr>
          <w:rFonts w:eastAsiaTheme="minorEastAsia"/>
          <w:sz w:val="20"/>
          <w:szCs w:val="20"/>
          <w:lang w:eastAsia="zh-HK"/>
        </w:rPr>
        <w:t xml:space="preserve">NBER (2010). </w:t>
      </w:r>
      <w:r w:rsidRPr="00213F22">
        <w:rPr>
          <w:rFonts w:eastAsiaTheme="minorEastAsia"/>
          <w:i/>
          <w:sz w:val="20"/>
          <w:szCs w:val="20"/>
          <w:lang w:eastAsia="zh-HK"/>
        </w:rPr>
        <w:t>Business Cycle Dating Committee, National Bureau of Economic Research</w:t>
      </w:r>
      <w:r w:rsidRPr="00213F22">
        <w:rPr>
          <w:rFonts w:eastAsiaTheme="minorEastAsia"/>
          <w:sz w:val="20"/>
          <w:szCs w:val="20"/>
          <w:lang w:eastAsia="zh-HK"/>
        </w:rPr>
        <w:t xml:space="preserve"> [Press release]. Retrieved from www.nber.org/cycles/sept2010.html</w:t>
      </w:r>
    </w:p>
    <w:p w14:paraId="59E9236E" w14:textId="77777777" w:rsidR="00D73AB1" w:rsidRPr="00213F22" w:rsidRDefault="00D73AB1" w:rsidP="00D73AB1">
      <w:pPr>
        <w:pStyle w:val="NormalWeb"/>
        <w:spacing w:before="0" w:beforeAutospacing="0" w:after="0" w:afterAutospacing="0" w:line="260" w:lineRule="exact"/>
        <w:ind w:left="450" w:hanging="450"/>
        <w:jc w:val="both"/>
        <w:rPr>
          <w:rFonts w:eastAsiaTheme="minorEastAsia"/>
          <w:sz w:val="20"/>
          <w:szCs w:val="20"/>
          <w:lang w:eastAsia="zh-HK"/>
        </w:rPr>
      </w:pPr>
      <w:proofErr w:type="spellStart"/>
      <w:r w:rsidRPr="00213F22">
        <w:rPr>
          <w:rFonts w:eastAsiaTheme="minorEastAsia"/>
          <w:sz w:val="20"/>
          <w:szCs w:val="20"/>
          <w:lang w:eastAsia="zh-HK"/>
        </w:rPr>
        <w:t>Ötker</w:t>
      </w:r>
      <w:proofErr w:type="spellEnd"/>
      <w:r w:rsidRPr="00213F22">
        <w:rPr>
          <w:rFonts w:eastAsiaTheme="minorEastAsia"/>
          <w:sz w:val="20"/>
          <w:szCs w:val="20"/>
          <w:lang w:eastAsia="zh-HK"/>
        </w:rPr>
        <w:t xml:space="preserve">, I., </w:t>
      </w:r>
      <w:proofErr w:type="spellStart"/>
      <w:r w:rsidRPr="00213F22">
        <w:rPr>
          <w:rFonts w:eastAsiaTheme="minorEastAsia"/>
          <w:sz w:val="20"/>
          <w:szCs w:val="20"/>
          <w:lang w:eastAsia="zh-HK"/>
        </w:rPr>
        <w:t>Narain</w:t>
      </w:r>
      <w:proofErr w:type="spellEnd"/>
      <w:r w:rsidRPr="00213F22">
        <w:rPr>
          <w:rFonts w:eastAsiaTheme="minorEastAsia"/>
          <w:sz w:val="20"/>
          <w:szCs w:val="20"/>
          <w:lang w:eastAsia="zh-HK"/>
        </w:rPr>
        <w:t xml:space="preserve">, A., </w:t>
      </w:r>
      <w:proofErr w:type="spellStart"/>
      <w:r w:rsidRPr="00213F22">
        <w:rPr>
          <w:rFonts w:eastAsiaTheme="minorEastAsia"/>
          <w:sz w:val="20"/>
          <w:szCs w:val="20"/>
          <w:lang w:eastAsia="zh-HK"/>
        </w:rPr>
        <w:t>Ilyina</w:t>
      </w:r>
      <w:proofErr w:type="spellEnd"/>
      <w:r w:rsidRPr="00213F22">
        <w:rPr>
          <w:rFonts w:eastAsiaTheme="minorEastAsia"/>
          <w:sz w:val="20"/>
          <w:szCs w:val="20"/>
          <w:lang w:eastAsia="zh-HK"/>
        </w:rPr>
        <w:t xml:space="preserve">, A., &amp; </w:t>
      </w:r>
      <w:proofErr w:type="spellStart"/>
      <w:r w:rsidRPr="00213F22">
        <w:rPr>
          <w:rFonts w:eastAsiaTheme="minorEastAsia"/>
          <w:sz w:val="20"/>
          <w:szCs w:val="20"/>
          <w:lang w:eastAsia="zh-HK"/>
        </w:rPr>
        <w:t>Surti</w:t>
      </w:r>
      <w:proofErr w:type="spellEnd"/>
      <w:r w:rsidRPr="00213F22">
        <w:rPr>
          <w:rFonts w:eastAsiaTheme="minorEastAsia"/>
          <w:sz w:val="20"/>
          <w:szCs w:val="20"/>
          <w:lang w:eastAsia="zh-HK"/>
        </w:rPr>
        <w:t xml:space="preserve">, J. (2011). The too-important-to-fail conundrum: Impossible to ignore and difficult to resolve. IDEAS Working Paper Series from </w:t>
      </w:r>
      <w:proofErr w:type="spellStart"/>
      <w:r w:rsidRPr="00213F22">
        <w:rPr>
          <w:rFonts w:eastAsiaTheme="minorEastAsia"/>
          <w:sz w:val="20"/>
          <w:szCs w:val="20"/>
          <w:lang w:eastAsia="zh-HK"/>
        </w:rPr>
        <w:t>RePEc</w:t>
      </w:r>
      <w:proofErr w:type="spellEnd"/>
      <w:r w:rsidRPr="00213F22">
        <w:rPr>
          <w:rFonts w:eastAsiaTheme="minorEastAsia"/>
          <w:sz w:val="20"/>
          <w:szCs w:val="20"/>
          <w:lang w:eastAsia="zh-HK"/>
        </w:rPr>
        <w:t>.</w:t>
      </w:r>
    </w:p>
    <w:p w14:paraId="60010887" w14:textId="77777777" w:rsidR="00D73AB1" w:rsidRPr="00213F22" w:rsidRDefault="00D73AB1" w:rsidP="00D73AB1">
      <w:pPr>
        <w:pStyle w:val="NormalWeb"/>
        <w:spacing w:before="0" w:beforeAutospacing="0" w:after="0" w:afterAutospacing="0" w:line="260" w:lineRule="exact"/>
        <w:ind w:left="450" w:hanging="450"/>
        <w:jc w:val="both"/>
        <w:rPr>
          <w:rFonts w:eastAsiaTheme="minorEastAsia"/>
          <w:sz w:val="20"/>
          <w:szCs w:val="20"/>
          <w:lang w:eastAsia="zh-HK"/>
        </w:rPr>
      </w:pPr>
      <w:r w:rsidRPr="00213F22">
        <w:rPr>
          <w:rFonts w:eastAsiaTheme="minorEastAsia"/>
          <w:sz w:val="20"/>
          <w:szCs w:val="20"/>
          <w:lang w:eastAsia="zh-HK"/>
        </w:rPr>
        <w:t>PricewaterhouseCoopers (2013). Systemically important insurers: Global follows US lead. Retrieved from www.pwc.com/us/en/financial-services/regulatory-services/ publications/nonbank-sifi-sgii.html</w:t>
      </w:r>
    </w:p>
    <w:p w14:paraId="22B10D85" w14:textId="77777777" w:rsidR="00D73AB1" w:rsidRPr="00213F22" w:rsidRDefault="00D73AB1" w:rsidP="00D73AB1">
      <w:pPr>
        <w:pStyle w:val="NormalWeb"/>
        <w:spacing w:before="0" w:beforeAutospacing="0" w:after="0" w:afterAutospacing="0" w:line="260" w:lineRule="exact"/>
        <w:ind w:left="448" w:hanging="448"/>
        <w:jc w:val="both"/>
        <w:rPr>
          <w:rFonts w:eastAsiaTheme="minorEastAsia"/>
          <w:sz w:val="20"/>
          <w:szCs w:val="20"/>
          <w:lang w:eastAsia="zh-TW"/>
        </w:rPr>
      </w:pPr>
      <w:r w:rsidRPr="00213F22">
        <w:rPr>
          <w:sz w:val="20"/>
          <w:szCs w:val="20"/>
        </w:rPr>
        <w:t xml:space="preserve">Rubin, D. B. (1987) </w:t>
      </w:r>
      <w:r w:rsidRPr="00213F22">
        <w:rPr>
          <w:i/>
          <w:sz w:val="20"/>
          <w:szCs w:val="20"/>
        </w:rPr>
        <w:t>Multiple imputation for nonresponse in surveys</w:t>
      </w:r>
      <w:r w:rsidRPr="00213F22">
        <w:rPr>
          <w:sz w:val="20"/>
          <w:szCs w:val="20"/>
        </w:rPr>
        <w:t xml:space="preserve">. New </w:t>
      </w:r>
      <w:r w:rsidRPr="00213F22">
        <w:rPr>
          <w:rFonts w:eastAsiaTheme="minorEastAsia"/>
          <w:sz w:val="20"/>
          <w:szCs w:val="20"/>
          <w:lang w:eastAsia="zh-TW"/>
        </w:rPr>
        <w:t>York: John Wiley &amp; Sons.</w:t>
      </w:r>
    </w:p>
    <w:p w14:paraId="7D605F0F" w14:textId="77777777" w:rsidR="00D73AB1" w:rsidRPr="00213F22" w:rsidRDefault="00D73AB1" w:rsidP="00D73AB1">
      <w:pPr>
        <w:pStyle w:val="NormalWeb"/>
        <w:spacing w:before="0" w:beforeAutospacing="0" w:after="0" w:afterAutospacing="0" w:line="260" w:lineRule="exact"/>
        <w:ind w:left="448" w:hanging="448"/>
        <w:jc w:val="both"/>
        <w:rPr>
          <w:rFonts w:eastAsiaTheme="minorEastAsia"/>
          <w:sz w:val="20"/>
          <w:szCs w:val="20"/>
          <w:lang w:eastAsia="zh-HK"/>
        </w:rPr>
      </w:pPr>
      <w:r w:rsidRPr="00213F22">
        <w:rPr>
          <w:rFonts w:eastAsiaTheme="minorEastAsia"/>
          <w:sz w:val="20"/>
          <w:szCs w:val="20"/>
          <w:lang w:eastAsia="zh-TW"/>
        </w:rPr>
        <w:t>Tracy, R. (2016). U.S. oversight of MetLife called into question at court hearing.</w:t>
      </w:r>
      <w:r w:rsidRPr="00213F22">
        <w:rPr>
          <w:rFonts w:eastAsiaTheme="minorEastAsia"/>
          <w:i/>
          <w:sz w:val="20"/>
          <w:szCs w:val="20"/>
          <w:lang w:eastAsia="zh-TW"/>
        </w:rPr>
        <w:t xml:space="preserve"> T</w:t>
      </w:r>
      <w:r w:rsidRPr="00213F22">
        <w:rPr>
          <w:rFonts w:eastAsiaTheme="minorEastAsia"/>
          <w:i/>
          <w:sz w:val="20"/>
          <w:szCs w:val="20"/>
          <w:lang w:eastAsia="zh-HK"/>
        </w:rPr>
        <w:t>he Wall Street Journal</w:t>
      </w:r>
      <w:r w:rsidRPr="00213F22">
        <w:rPr>
          <w:rFonts w:eastAsiaTheme="minorEastAsia"/>
          <w:sz w:val="20"/>
          <w:szCs w:val="20"/>
          <w:lang w:eastAsia="zh-HK"/>
        </w:rPr>
        <w:t>. Retrieved from www.wsj.com/articles/u-s-oversight-of- metlife-called-into-question-at-court-hearing-1477323670</w:t>
      </w:r>
    </w:p>
    <w:p w14:paraId="752BC80B" w14:textId="77777777" w:rsidR="00D73AB1" w:rsidRPr="00213F22" w:rsidRDefault="00D73AB1" w:rsidP="00D73AB1">
      <w:pPr>
        <w:pStyle w:val="NormalWeb"/>
        <w:spacing w:before="0" w:beforeAutospacing="0" w:after="0" w:afterAutospacing="0" w:line="260" w:lineRule="exact"/>
        <w:ind w:left="450" w:hanging="450"/>
        <w:jc w:val="both"/>
        <w:rPr>
          <w:rFonts w:eastAsiaTheme="minorEastAsia"/>
          <w:sz w:val="20"/>
          <w:szCs w:val="20"/>
          <w:lang w:eastAsia="zh-HK"/>
        </w:rPr>
      </w:pPr>
      <w:proofErr w:type="spellStart"/>
      <w:r w:rsidRPr="00213F22">
        <w:rPr>
          <w:rFonts w:eastAsiaTheme="minorEastAsia"/>
          <w:sz w:val="20"/>
          <w:szCs w:val="20"/>
          <w:lang w:eastAsia="zh-HK"/>
        </w:rPr>
        <w:t>Trigeorgis</w:t>
      </w:r>
      <w:proofErr w:type="spellEnd"/>
      <w:r w:rsidRPr="00213F22">
        <w:rPr>
          <w:rFonts w:eastAsiaTheme="minorEastAsia"/>
          <w:sz w:val="20"/>
          <w:szCs w:val="20"/>
          <w:lang w:eastAsia="zh-HK"/>
        </w:rPr>
        <w:t xml:space="preserve">, </w:t>
      </w:r>
      <w:r w:rsidRPr="00213F22">
        <w:rPr>
          <w:rFonts w:eastAsiaTheme="minorEastAsia"/>
          <w:sz w:val="20"/>
          <w:szCs w:val="20"/>
          <w:lang w:eastAsia="zh-TW"/>
        </w:rPr>
        <w:t>L.,</w:t>
      </w:r>
      <w:r w:rsidRPr="00213F22">
        <w:rPr>
          <w:rFonts w:eastAsiaTheme="minorEastAsia"/>
          <w:sz w:val="20"/>
          <w:szCs w:val="20"/>
          <w:lang w:eastAsia="zh-HK"/>
        </w:rPr>
        <w:t xml:space="preserve"> </w:t>
      </w:r>
      <w:r w:rsidRPr="00213F22">
        <w:rPr>
          <w:rFonts w:eastAsiaTheme="minorEastAsia"/>
          <w:sz w:val="20"/>
          <w:szCs w:val="20"/>
          <w:lang w:eastAsia="zh-TW"/>
        </w:rPr>
        <w:t>&amp;</w:t>
      </w:r>
      <w:r w:rsidRPr="00213F22">
        <w:rPr>
          <w:rFonts w:eastAsiaTheme="minorEastAsia"/>
          <w:sz w:val="20"/>
          <w:szCs w:val="20"/>
          <w:lang w:eastAsia="zh-HK"/>
        </w:rPr>
        <w:t xml:space="preserve"> </w:t>
      </w:r>
      <w:proofErr w:type="spellStart"/>
      <w:r w:rsidRPr="00213F22">
        <w:rPr>
          <w:rFonts w:eastAsiaTheme="minorEastAsia"/>
          <w:sz w:val="20"/>
          <w:szCs w:val="20"/>
          <w:lang w:eastAsia="zh-HK"/>
        </w:rPr>
        <w:t>Lambertides</w:t>
      </w:r>
      <w:proofErr w:type="spellEnd"/>
      <w:r w:rsidRPr="00213F22">
        <w:rPr>
          <w:rFonts w:eastAsiaTheme="minorEastAsia"/>
          <w:sz w:val="20"/>
          <w:szCs w:val="20"/>
          <w:lang w:eastAsia="zh-HK"/>
        </w:rPr>
        <w:t xml:space="preserve">, N. (2014). The role of growth options in explaining stock returns. </w:t>
      </w:r>
      <w:r w:rsidRPr="00213F22">
        <w:rPr>
          <w:rFonts w:eastAsiaTheme="minorEastAsia"/>
          <w:i/>
          <w:sz w:val="20"/>
          <w:szCs w:val="20"/>
          <w:lang w:eastAsia="zh-HK"/>
        </w:rPr>
        <w:t>Journal of Financial and Quantitative Analysis, 49</w:t>
      </w:r>
      <w:r w:rsidRPr="00213F22">
        <w:rPr>
          <w:rFonts w:eastAsiaTheme="minorEastAsia"/>
          <w:sz w:val="20"/>
          <w:szCs w:val="20"/>
          <w:lang w:eastAsia="zh-HK"/>
        </w:rPr>
        <w:t>(3), 749-771.</w:t>
      </w:r>
    </w:p>
    <w:p w14:paraId="2BA6491B" w14:textId="77777777" w:rsidR="00D73AB1" w:rsidRPr="00213F22" w:rsidRDefault="00D73AB1" w:rsidP="00D73AB1">
      <w:pPr>
        <w:pStyle w:val="NormalWeb"/>
        <w:spacing w:before="0" w:beforeAutospacing="0" w:after="0" w:afterAutospacing="0" w:line="260" w:lineRule="exact"/>
        <w:ind w:left="450" w:hanging="450"/>
        <w:jc w:val="both"/>
        <w:rPr>
          <w:rFonts w:eastAsiaTheme="minorEastAsia"/>
          <w:sz w:val="20"/>
          <w:szCs w:val="20"/>
          <w:lang w:eastAsia="zh-HK"/>
        </w:rPr>
      </w:pPr>
      <w:r w:rsidRPr="00213F22">
        <w:rPr>
          <w:rFonts w:eastAsiaTheme="minorEastAsia"/>
          <w:sz w:val="20"/>
          <w:szCs w:val="20"/>
          <w:lang w:eastAsia="zh-HK"/>
        </w:rPr>
        <w:t xml:space="preserve">Ueda, K., &amp; Di Mauro, B. W. (2013). Quantifying structural subsidy values for systemically important financial institutions. </w:t>
      </w:r>
      <w:r w:rsidRPr="00213F22">
        <w:rPr>
          <w:rFonts w:eastAsiaTheme="minorEastAsia"/>
          <w:i/>
          <w:sz w:val="20"/>
          <w:szCs w:val="20"/>
          <w:lang w:eastAsia="zh-HK"/>
        </w:rPr>
        <w:t>Journal of Banking and Finance, 37</w:t>
      </w:r>
      <w:r w:rsidRPr="00213F22">
        <w:rPr>
          <w:rFonts w:eastAsiaTheme="minorEastAsia"/>
          <w:sz w:val="20"/>
          <w:szCs w:val="20"/>
          <w:lang w:eastAsia="zh-HK"/>
        </w:rPr>
        <w:t>, 3830-3842.</w:t>
      </w:r>
    </w:p>
    <w:p w14:paraId="254F5512" w14:textId="77777777" w:rsidR="00D73AB1" w:rsidRPr="00213F22" w:rsidRDefault="00D73AB1" w:rsidP="00D73AB1">
      <w:pPr>
        <w:pStyle w:val="NormalWeb"/>
        <w:spacing w:before="0" w:beforeAutospacing="0" w:after="0" w:afterAutospacing="0" w:line="260" w:lineRule="exact"/>
        <w:ind w:left="450" w:hanging="450"/>
        <w:jc w:val="both"/>
        <w:rPr>
          <w:rFonts w:eastAsiaTheme="minorEastAsia"/>
          <w:sz w:val="20"/>
          <w:szCs w:val="20"/>
          <w:lang w:eastAsia="zh-HK"/>
        </w:rPr>
      </w:pPr>
      <w:r w:rsidRPr="00213F22">
        <w:rPr>
          <w:rFonts w:eastAsiaTheme="minorEastAsia"/>
          <w:sz w:val="20"/>
          <w:szCs w:val="20"/>
          <w:lang w:eastAsia="zh-HK"/>
        </w:rPr>
        <w:lastRenderedPageBreak/>
        <w:t xml:space="preserve">Weiβ, G. N. F., &amp; </w:t>
      </w:r>
      <w:proofErr w:type="spellStart"/>
      <w:r w:rsidRPr="00213F22">
        <w:rPr>
          <w:rFonts w:eastAsiaTheme="minorEastAsia"/>
          <w:sz w:val="20"/>
          <w:szCs w:val="20"/>
          <w:lang w:eastAsia="zh-HK"/>
        </w:rPr>
        <w:t>Mühlnickel</w:t>
      </w:r>
      <w:proofErr w:type="spellEnd"/>
      <w:r w:rsidRPr="00213F22">
        <w:rPr>
          <w:rFonts w:eastAsiaTheme="minorEastAsia"/>
          <w:sz w:val="20"/>
          <w:szCs w:val="20"/>
          <w:lang w:eastAsia="zh-HK"/>
        </w:rPr>
        <w:t xml:space="preserve">, J. (2014). Why do some insurers become systemically relevant? </w:t>
      </w:r>
      <w:r w:rsidRPr="00213F22">
        <w:rPr>
          <w:rFonts w:eastAsiaTheme="minorEastAsia"/>
          <w:i/>
          <w:sz w:val="20"/>
          <w:szCs w:val="20"/>
          <w:lang w:eastAsia="zh-HK"/>
        </w:rPr>
        <w:t>Journal of Financial Stability, 13</w:t>
      </w:r>
      <w:r w:rsidRPr="00213F22">
        <w:rPr>
          <w:rFonts w:eastAsiaTheme="minorEastAsia"/>
          <w:sz w:val="20"/>
          <w:szCs w:val="20"/>
          <w:lang w:eastAsia="zh-HK"/>
        </w:rPr>
        <w:t>, 95-117.</w:t>
      </w:r>
    </w:p>
    <w:p w14:paraId="6F7F5938" w14:textId="77777777" w:rsidR="00D73AB1" w:rsidRPr="003425EE" w:rsidRDefault="00D73AB1" w:rsidP="00D73AB1">
      <w:pPr>
        <w:pStyle w:val="NormalWeb"/>
        <w:spacing w:before="0" w:beforeAutospacing="0" w:after="0" w:afterAutospacing="0" w:line="260" w:lineRule="exact"/>
        <w:ind w:left="448" w:hanging="448"/>
        <w:jc w:val="both"/>
        <w:rPr>
          <w:rFonts w:eastAsiaTheme="minorEastAsia"/>
          <w:sz w:val="20"/>
          <w:szCs w:val="20"/>
          <w:lang w:eastAsia="zh-HK"/>
        </w:rPr>
      </w:pPr>
      <w:proofErr w:type="spellStart"/>
      <w:r w:rsidRPr="00213F22">
        <w:rPr>
          <w:rFonts w:eastAsiaTheme="minorEastAsia"/>
          <w:sz w:val="20"/>
          <w:szCs w:val="20"/>
          <w:lang w:eastAsia="zh-HK"/>
        </w:rPr>
        <w:t>Yeh</w:t>
      </w:r>
      <w:proofErr w:type="spellEnd"/>
      <w:r w:rsidRPr="00213F22">
        <w:rPr>
          <w:rFonts w:eastAsiaTheme="minorEastAsia"/>
          <w:sz w:val="20"/>
          <w:szCs w:val="20"/>
          <w:lang w:eastAsia="zh-HK"/>
        </w:rPr>
        <w:t xml:space="preserve">, J.-H. (2009). Missing (completely?) at random: Lessons from insurance studies. </w:t>
      </w:r>
      <w:r w:rsidRPr="00213F22">
        <w:rPr>
          <w:rFonts w:eastAsiaTheme="minorEastAsia"/>
          <w:i/>
          <w:sz w:val="20"/>
          <w:szCs w:val="20"/>
          <w:lang w:eastAsia="zh-HK"/>
        </w:rPr>
        <w:t>Asia-Pacific Journal of Risk and Insurance, 3</w:t>
      </w:r>
      <w:r w:rsidRPr="00213F22">
        <w:rPr>
          <w:rFonts w:eastAsiaTheme="minorEastAsia"/>
          <w:sz w:val="20"/>
          <w:szCs w:val="20"/>
          <w:lang w:eastAsia="zh-HK"/>
        </w:rPr>
        <w:t>(2), 1-13.</w:t>
      </w:r>
    </w:p>
    <w:p w14:paraId="7B2122F6" w14:textId="0A23924A" w:rsidR="00AB13B3" w:rsidRDefault="00AB13B3" w:rsidP="00C45F3A">
      <w:pPr>
        <w:spacing w:after="0" w:line="260" w:lineRule="exact"/>
        <w:jc w:val="both"/>
        <w:rPr>
          <w:rFonts w:ascii="Times New Roman" w:hAnsi="Times New Roman"/>
          <w:b/>
          <w:sz w:val="16"/>
          <w:szCs w:val="16"/>
          <w:lang w:eastAsia="zh-HK"/>
        </w:rPr>
      </w:pPr>
      <w:r>
        <w:rPr>
          <w:rFonts w:ascii="Times New Roman" w:hAnsi="Times New Roman"/>
          <w:b/>
          <w:sz w:val="16"/>
          <w:szCs w:val="16"/>
          <w:lang w:eastAsia="zh-HK"/>
        </w:rPr>
        <w:br w:type="page"/>
      </w:r>
    </w:p>
    <w:p w14:paraId="25770648" w14:textId="259C6025" w:rsidR="002B5E1E" w:rsidRPr="00DB7665" w:rsidRDefault="002B5E1E" w:rsidP="002B5E1E">
      <w:pPr>
        <w:spacing w:after="0" w:line="200" w:lineRule="exact"/>
        <w:jc w:val="center"/>
        <w:rPr>
          <w:rFonts w:ascii="Times New Roman" w:eastAsiaTheme="minorEastAsia" w:hAnsi="Times New Roman"/>
          <w:sz w:val="16"/>
          <w:szCs w:val="16"/>
          <w:lang w:eastAsia="zh-HK"/>
        </w:rPr>
      </w:pPr>
      <w:r>
        <w:rPr>
          <w:rFonts w:ascii="Times New Roman" w:hAnsi="Times New Roman"/>
          <w:b/>
          <w:sz w:val="16"/>
          <w:szCs w:val="16"/>
          <w:lang w:eastAsia="zh-HK"/>
        </w:rPr>
        <w:lastRenderedPageBreak/>
        <w:t>Figure 1</w:t>
      </w:r>
      <w:r w:rsidRPr="00B86E32">
        <w:rPr>
          <w:rFonts w:ascii="Times New Roman" w:eastAsiaTheme="minorEastAsia" w:hAnsi="Times New Roman"/>
          <w:b/>
          <w:sz w:val="16"/>
          <w:szCs w:val="16"/>
          <w:lang w:eastAsia="zh-HK"/>
        </w:rPr>
        <w:t>.</w:t>
      </w:r>
      <w:r w:rsidRPr="00B86E32">
        <w:rPr>
          <w:rFonts w:ascii="Times New Roman" w:eastAsiaTheme="minorEastAsia" w:hAnsi="Times New Roman"/>
          <w:sz w:val="16"/>
          <w:szCs w:val="16"/>
          <w:lang w:eastAsia="zh-HK"/>
        </w:rPr>
        <w:t xml:space="preserve"> </w:t>
      </w:r>
      <w:r>
        <w:rPr>
          <w:rFonts w:ascii="Times New Roman" w:eastAsiaTheme="minorEastAsia" w:hAnsi="Times New Roman"/>
          <w:b/>
          <w:sz w:val="16"/>
          <w:szCs w:val="16"/>
          <w:lang w:eastAsia="zh-HK"/>
        </w:rPr>
        <w:t xml:space="preserve">Time evolution of MES, SRISK and </w:t>
      </w:r>
      <w:r w:rsidRPr="00DB7665">
        <w:rPr>
          <w:rFonts w:ascii="Times New Roman" w:eastAsiaTheme="minorEastAsia" w:hAnsi="Times New Roman" w:hint="eastAsia"/>
          <w:b/>
          <w:sz w:val="16"/>
          <w:szCs w:val="16"/>
          <w:lang w:eastAsia="zh-HK"/>
        </w:rPr>
        <w:t>Δ</w:t>
      </w:r>
      <w:proofErr w:type="spellStart"/>
      <w:r>
        <w:rPr>
          <w:rFonts w:ascii="Times New Roman" w:eastAsiaTheme="minorEastAsia" w:hAnsi="Times New Roman"/>
          <w:b/>
          <w:sz w:val="16"/>
          <w:szCs w:val="16"/>
          <w:lang w:eastAsia="zh-HK"/>
        </w:rPr>
        <w:t>CoVAR</w:t>
      </w:r>
      <w:proofErr w:type="spellEnd"/>
    </w:p>
    <w:p w14:paraId="6238BCB7" w14:textId="77777777" w:rsidR="002B5E1E" w:rsidRDefault="002B5E1E" w:rsidP="002B5E1E">
      <w:pPr>
        <w:spacing w:after="0" w:line="480" w:lineRule="auto"/>
        <w:ind w:leftChars="-774" w:left="-1701" w:hangingChars="1" w:hanging="2"/>
        <w:rPr>
          <w:rFonts w:ascii="Times New Roman" w:eastAsiaTheme="minorEastAsia" w:hAnsi="Times New Roman"/>
          <w:sz w:val="20"/>
          <w:szCs w:val="20"/>
          <w:lang w:eastAsia="zh-HK"/>
        </w:rPr>
      </w:pPr>
      <w:r>
        <w:rPr>
          <w:rFonts w:ascii="MS PGothic" w:eastAsia="MS PGothic" w:hAnsi="MS PGothic"/>
          <w:noProof/>
          <w:color w:val="000000"/>
          <w:sz w:val="20"/>
          <w:szCs w:val="20"/>
          <w:lang w:eastAsia="en-US"/>
        </w:rPr>
        <w:drawing>
          <wp:inline distT="0" distB="0" distL="0" distR="0" wp14:anchorId="05DC9400" wp14:editId="7A266C15">
            <wp:extent cx="6766560" cy="2486025"/>
            <wp:effectExtent l="0" t="0" r="0" b="9525"/>
            <wp:docPr id="2" name="Picture 2" descr="Plot of MES by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t of MES by D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4494" cy="2503636"/>
                    </a:xfrm>
                    <a:prstGeom prst="rect">
                      <a:avLst/>
                    </a:prstGeom>
                    <a:noFill/>
                    <a:ln>
                      <a:noFill/>
                    </a:ln>
                  </pic:spPr>
                </pic:pic>
              </a:graphicData>
            </a:graphic>
          </wp:inline>
        </w:drawing>
      </w:r>
    </w:p>
    <w:p w14:paraId="35AC9A0A" w14:textId="77777777" w:rsidR="002B5E1E" w:rsidRDefault="002B5E1E" w:rsidP="002B5E1E">
      <w:pPr>
        <w:spacing w:after="0" w:line="480" w:lineRule="auto"/>
        <w:ind w:leftChars="-837" w:left="-1841"/>
        <w:rPr>
          <w:rFonts w:ascii="Times New Roman" w:eastAsiaTheme="minorEastAsia" w:hAnsi="Times New Roman"/>
          <w:sz w:val="20"/>
          <w:szCs w:val="20"/>
          <w:lang w:eastAsia="zh-HK"/>
        </w:rPr>
      </w:pPr>
      <w:r>
        <w:rPr>
          <w:rFonts w:ascii="MS PGothic" w:eastAsia="MS PGothic" w:hAnsi="MS PGothic"/>
          <w:noProof/>
          <w:color w:val="000000"/>
          <w:sz w:val="20"/>
          <w:szCs w:val="20"/>
          <w:lang w:eastAsia="en-US"/>
        </w:rPr>
        <w:drawing>
          <wp:inline distT="0" distB="0" distL="0" distR="0" wp14:anchorId="2F0D68A7" wp14:editId="30748E6F">
            <wp:extent cx="6852285" cy="2258171"/>
            <wp:effectExtent l="0" t="0" r="5715" b="8890"/>
            <wp:docPr id="3" name="Picture 3" descr="Plot of SRISK by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t of SRISK by D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599" cy="2264206"/>
                    </a:xfrm>
                    <a:prstGeom prst="rect">
                      <a:avLst/>
                    </a:prstGeom>
                    <a:noFill/>
                    <a:ln>
                      <a:noFill/>
                    </a:ln>
                  </pic:spPr>
                </pic:pic>
              </a:graphicData>
            </a:graphic>
          </wp:inline>
        </w:drawing>
      </w:r>
    </w:p>
    <w:p w14:paraId="399E3824" w14:textId="50707519" w:rsidR="002B5E1E" w:rsidRPr="00B82893" w:rsidRDefault="00930699" w:rsidP="002B5E1E">
      <w:pPr>
        <w:spacing w:after="0" w:line="480" w:lineRule="auto"/>
        <w:ind w:leftChars="-837" w:left="-1841"/>
        <w:rPr>
          <w:rFonts w:ascii="Times New Roman" w:eastAsiaTheme="minorEastAsia" w:hAnsi="Times New Roman"/>
          <w:sz w:val="20"/>
          <w:szCs w:val="20"/>
          <w:lang w:eastAsia="zh-HK"/>
        </w:rPr>
      </w:pPr>
      <w:r w:rsidRPr="00930699">
        <w:rPr>
          <w:rFonts w:ascii="MS PGothic" w:eastAsia="MS PGothic" w:hAnsi="MS PGothic"/>
          <w:noProof/>
          <w:color w:val="000000" w:themeColor="text1"/>
          <w:sz w:val="20"/>
          <w:szCs w:val="20"/>
          <w:lang w:eastAsia="en-US"/>
        </w:rPr>
        <mc:AlternateContent>
          <mc:Choice Requires="wps">
            <w:drawing>
              <wp:anchor distT="0" distB="0" distL="114300" distR="114300" simplePos="0" relativeHeight="251657216" behindDoc="0" locked="0" layoutInCell="1" allowOverlap="1" wp14:anchorId="054917D4" wp14:editId="405B97D8">
                <wp:simplePos x="0" y="0"/>
                <wp:positionH relativeFrom="column">
                  <wp:posOffset>-1219172</wp:posOffset>
                </wp:positionH>
                <wp:positionV relativeFrom="paragraph">
                  <wp:posOffset>156155</wp:posOffset>
                </wp:positionV>
                <wp:extent cx="87464" cy="71561"/>
                <wp:effectExtent l="0" t="0" r="27305" b="24130"/>
                <wp:wrapNone/>
                <wp:docPr id="5" name="Isosceles Triangle 5"/>
                <wp:cNvGraphicFramePr/>
                <a:graphic xmlns:a="http://schemas.openxmlformats.org/drawingml/2006/main">
                  <a:graphicData uri="http://schemas.microsoft.com/office/word/2010/wordprocessingShape">
                    <wps:wsp>
                      <wps:cNvSpPr/>
                      <wps:spPr>
                        <a:xfrm>
                          <a:off x="0" y="0"/>
                          <a:ext cx="87464" cy="71561"/>
                        </a:xfrm>
                        <a:prstGeom prst="triangl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1E99A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96pt;margin-top:12.3pt;width:6.9pt;height:5.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" fillcolor="white [3201]" strokecolor="black [3213]" strokeweight=".25pt"/>
            </w:pict>
          </mc:Fallback>
        </mc:AlternateContent>
      </w:r>
      <w:r w:rsidR="002B5E1E">
        <w:rPr>
          <w:rFonts w:ascii="MS PGothic" w:eastAsia="MS PGothic" w:hAnsi="MS PGothic"/>
          <w:noProof/>
          <w:color w:val="000000"/>
          <w:sz w:val="20"/>
          <w:szCs w:val="20"/>
          <w:lang w:eastAsia="en-US"/>
        </w:rPr>
        <w:drawing>
          <wp:inline distT="0" distB="0" distL="0" distR="0" wp14:anchorId="028901E8" wp14:editId="5D1AE2FE">
            <wp:extent cx="6852285" cy="2131060"/>
            <wp:effectExtent l="0" t="0" r="5715" b="2540"/>
            <wp:docPr id="4" name="Picture 4" descr="Plot of CoVAR by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t of CoVAR by D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15484" cy="2150715"/>
                    </a:xfrm>
                    <a:prstGeom prst="rect">
                      <a:avLst/>
                    </a:prstGeom>
                    <a:noFill/>
                    <a:ln>
                      <a:noFill/>
                    </a:ln>
                  </pic:spPr>
                </pic:pic>
              </a:graphicData>
            </a:graphic>
          </wp:inline>
        </w:drawing>
      </w:r>
    </w:p>
    <w:p w14:paraId="19A8288B" w14:textId="57F8DCFA" w:rsidR="005A02EA" w:rsidRDefault="0079008B" w:rsidP="0072114F">
      <w:pPr>
        <w:tabs>
          <w:tab w:val="left" w:pos="2304"/>
        </w:tabs>
        <w:spacing w:after="0" w:line="200" w:lineRule="exact"/>
        <w:jc w:val="center"/>
        <w:rPr>
          <w:rFonts w:ascii="Times New Roman" w:eastAsiaTheme="minorEastAsia" w:hAnsi="Times New Roman"/>
          <w:b/>
          <w:sz w:val="16"/>
          <w:szCs w:val="16"/>
          <w:lang w:eastAsia="zh-TW"/>
        </w:rPr>
      </w:pPr>
      <w:r w:rsidRPr="0079008B">
        <w:rPr>
          <w:noProof/>
          <w:lang w:eastAsia="en-US"/>
        </w:rPr>
        <w:lastRenderedPageBreak/>
        <w:drawing>
          <wp:anchor distT="0" distB="0" distL="114300" distR="114300" simplePos="0" relativeHeight="251658240" behindDoc="0" locked="0" layoutInCell="1" allowOverlap="1" wp14:anchorId="59720797" wp14:editId="63B121D4">
            <wp:simplePos x="0" y="0"/>
            <wp:positionH relativeFrom="column">
              <wp:posOffset>-1237502</wp:posOffset>
            </wp:positionH>
            <wp:positionV relativeFrom="paragraph">
              <wp:posOffset>153680</wp:posOffset>
            </wp:positionV>
            <wp:extent cx="7049069" cy="675821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49069" cy="6758214"/>
                    </a:xfrm>
                    <a:prstGeom prst="rect">
                      <a:avLst/>
                    </a:prstGeom>
                  </pic:spPr>
                </pic:pic>
              </a:graphicData>
            </a:graphic>
            <wp14:sizeRelH relativeFrom="page">
              <wp14:pctWidth>0</wp14:pctWidth>
            </wp14:sizeRelH>
            <wp14:sizeRelV relativeFrom="page">
              <wp14:pctHeight>0</wp14:pctHeight>
            </wp14:sizeRelV>
          </wp:anchor>
        </w:drawing>
      </w:r>
      <w:r w:rsidR="0072114F">
        <w:rPr>
          <w:rFonts w:ascii="Times New Roman" w:eastAsiaTheme="minorEastAsia" w:hAnsi="Times New Roman" w:hint="eastAsia"/>
          <w:b/>
          <w:sz w:val="16"/>
          <w:szCs w:val="16"/>
          <w:lang w:eastAsia="zh-TW"/>
        </w:rPr>
        <w:t>Table I</w:t>
      </w:r>
      <w:r w:rsidR="0072114F">
        <w:rPr>
          <w:rFonts w:ascii="Times New Roman" w:eastAsiaTheme="minorEastAsia" w:hAnsi="Times New Roman"/>
          <w:b/>
          <w:sz w:val="16"/>
          <w:szCs w:val="16"/>
          <w:lang w:eastAsia="zh-TW"/>
        </w:rPr>
        <w:t>. List of insurers in the panel dataset</w:t>
      </w:r>
    </w:p>
    <w:p w14:paraId="5E0BEBED" w14:textId="27E4E511" w:rsidR="005A02EA" w:rsidRDefault="005A02EA" w:rsidP="00750266">
      <w:pPr>
        <w:tabs>
          <w:tab w:val="left" w:pos="2304"/>
        </w:tabs>
        <w:spacing w:after="0" w:line="200" w:lineRule="exact"/>
        <w:rPr>
          <w:rFonts w:ascii="Times New Roman" w:eastAsiaTheme="minorEastAsia" w:hAnsi="Times New Roman"/>
          <w:b/>
          <w:sz w:val="16"/>
          <w:szCs w:val="16"/>
          <w:lang w:eastAsia="zh-TW"/>
        </w:rPr>
      </w:pPr>
    </w:p>
    <w:p w14:paraId="4DF71683" w14:textId="2CF6BFBA" w:rsidR="005A02EA" w:rsidRDefault="005A02EA" w:rsidP="00750266">
      <w:pPr>
        <w:tabs>
          <w:tab w:val="left" w:pos="2304"/>
        </w:tabs>
        <w:spacing w:after="0" w:line="200" w:lineRule="exact"/>
        <w:rPr>
          <w:rFonts w:ascii="Times New Roman" w:eastAsiaTheme="minorEastAsia" w:hAnsi="Times New Roman"/>
          <w:b/>
          <w:sz w:val="16"/>
          <w:szCs w:val="16"/>
          <w:lang w:eastAsia="zh-TW"/>
        </w:rPr>
      </w:pPr>
    </w:p>
    <w:p w14:paraId="683091A7" w14:textId="4D1FCC99" w:rsidR="005A02EA" w:rsidRDefault="005A02EA" w:rsidP="00750266">
      <w:pPr>
        <w:tabs>
          <w:tab w:val="left" w:pos="2304"/>
        </w:tabs>
        <w:spacing w:after="0" w:line="200" w:lineRule="exact"/>
        <w:rPr>
          <w:rFonts w:ascii="Times New Roman" w:eastAsiaTheme="minorEastAsia" w:hAnsi="Times New Roman"/>
          <w:b/>
          <w:sz w:val="16"/>
          <w:szCs w:val="16"/>
          <w:lang w:eastAsia="zh-TW"/>
        </w:rPr>
      </w:pPr>
    </w:p>
    <w:p w14:paraId="7A18CDAB" w14:textId="6EA53E13" w:rsidR="00857950" w:rsidRPr="005A02EA" w:rsidRDefault="00857950" w:rsidP="00750266">
      <w:pPr>
        <w:tabs>
          <w:tab w:val="left" w:pos="2304"/>
        </w:tabs>
        <w:spacing w:after="0" w:line="200" w:lineRule="exact"/>
        <w:rPr>
          <w:rFonts w:ascii="Times New Roman" w:eastAsiaTheme="minorEastAsia" w:hAnsi="Times New Roman"/>
          <w:b/>
          <w:sz w:val="16"/>
          <w:szCs w:val="16"/>
          <w:lang w:eastAsia="zh-TW"/>
        </w:rPr>
      </w:pPr>
    </w:p>
    <w:p w14:paraId="18BB1006" w14:textId="77777777" w:rsidR="005A02EA" w:rsidRDefault="005A02EA" w:rsidP="008E2B5A">
      <w:pPr>
        <w:spacing w:after="0" w:line="200" w:lineRule="exact"/>
        <w:jc w:val="center"/>
        <w:rPr>
          <w:rFonts w:ascii="Times New Roman" w:hAnsi="Times New Roman"/>
          <w:b/>
          <w:sz w:val="16"/>
          <w:szCs w:val="16"/>
          <w:lang w:eastAsia="zh-HK"/>
        </w:rPr>
      </w:pPr>
    </w:p>
    <w:p w14:paraId="4CE49034" w14:textId="77777777" w:rsidR="005A02EA" w:rsidRDefault="005A02EA" w:rsidP="008E2B5A">
      <w:pPr>
        <w:spacing w:after="0" w:line="200" w:lineRule="exact"/>
        <w:jc w:val="center"/>
        <w:rPr>
          <w:rFonts w:ascii="Times New Roman" w:hAnsi="Times New Roman"/>
          <w:b/>
          <w:sz w:val="16"/>
          <w:szCs w:val="16"/>
          <w:lang w:eastAsia="zh-HK"/>
        </w:rPr>
      </w:pPr>
    </w:p>
    <w:p w14:paraId="33893BE5" w14:textId="10A0704B" w:rsidR="005A02EA" w:rsidRDefault="005A02EA" w:rsidP="008E2B5A">
      <w:pPr>
        <w:spacing w:after="0" w:line="200" w:lineRule="exact"/>
        <w:jc w:val="center"/>
        <w:rPr>
          <w:rFonts w:ascii="Times New Roman" w:hAnsi="Times New Roman"/>
          <w:b/>
          <w:sz w:val="16"/>
          <w:szCs w:val="16"/>
          <w:lang w:eastAsia="zh-HK"/>
        </w:rPr>
      </w:pPr>
    </w:p>
    <w:p w14:paraId="16AEB341" w14:textId="77777777" w:rsidR="005A02EA" w:rsidRDefault="005A02EA" w:rsidP="008E2B5A">
      <w:pPr>
        <w:spacing w:after="0" w:line="200" w:lineRule="exact"/>
        <w:jc w:val="center"/>
        <w:rPr>
          <w:rFonts w:ascii="Times New Roman" w:hAnsi="Times New Roman"/>
          <w:b/>
          <w:sz w:val="16"/>
          <w:szCs w:val="16"/>
          <w:lang w:eastAsia="zh-HK"/>
        </w:rPr>
      </w:pPr>
    </w:p>
    <w:p w14:paraId="00E53607" w14:textId="77777777" w:rsidR="005A02EA" w:rsidRDefault="005A02EA" w:rsidP="008E2B5A">
      <w:pPr>
        <w:spacing w:after="0" w:line="200" w:lineRule="exact"/>
        <w:jc w:val="center"/>
        <w:rPr>
          <w:rFonts w:ascii="Times New Roman" w:hAnsi="Times New Roman"/>
          <w:b/>
          <w:sz w:val="16"/>
          <w:szCs w:val="16"/>
          <w:lang w:eastAsia="zh-HK"/>
        </w:rPr>
      </w:pPr>
    </w:p>
    <w:p w14:paraId="1AD18B76" w14:textId="77777777" w:rsidR="005A02EA" w:rsidRDefault="005A02EA" w:rsidP="008E2B5A">
      <w:pPr>
        <w:spacing w:after="0" w:line="200" w:lineRule="exact"/>
        <w:jc w:val="center"/>
        <w:rPr>
          <w:rFonts w:ascii="Times New Roman" w:hAnsi="Times New Roman"/>
          <w:b/>
          <w:sz w:val="16"/>
          <w:szCs w:val="16"/>
          <w:lang w:eastAsia="zh-HK"/>
        </w:rPr>
      </w:pPr>
    </w:p>
    <w:p w14:paraId="2A3FE6BF" w14:textId="0F3FB2C4" w:rsidR="005A02EA" w:rsidRDefault="005A02EA" w:rsidP="008E2B5A">
      <w:pPr>
        <w:spacing w:after="0" w:line="200" w:lineRule="exact"/>
        <w:jc w:val="center"/>
        <w:rPr>
          <w:rFonts w:ascii="Times New Roman" w:hAnsi="Times New Roman"/>
          <w:b/>
          <w:sz w:val="16"/>
          <w:szCs w:val="16"/>
          <w:lang w:eastAsia="zh-HK"/>
        </w:rPr>
      </w:pPr>
    </w:p>
    <w:p w14:paraId="25603514" w14:textId="0DB6C9C9" w:rsidR="005A02EA" w:rsidRDefault="005A02EA" w:rsidP="008E2B5A">
      <w:pPr>
        <w:spacing w:after="0" w:line="200" w:lineRule="exact"/>
        <w:jc w:val="center"/>
        <w:rPr>
          <w:rFonts w:ascii="Times New Roman" w:hAnsi="Times New Roman"/>
          <w:b/>
          <w:sz w:val="16"/>
          <w:szCs w:val="16"/>
          <w:lang w:eastAsia="zh-HK"/>
        </w:rPr>
      </w:pPr>
    </w:p>
    <w:p w14:paraId="5929A71F" w14:textId="105E36A6" w:rsidR="005A02EA" w:rsidRDefault="005A02EA" w:rsidP="008E2B5A">
      <w:pPr>
        <w:spacing w:after="0" w:line="200" w:lineRule="exact"/>
        <w:jc w:val="center"/>
        <w:rPr>
          <w:rFonts w:ascii="Times New Roman" w:hAnsi="Times New Roman"/>
          <w:b/>
          <w:sz w:val="16"/>
          <w:szCs w:val="16"/>
          <w:lang w:eastAsia="zh-HK"/>
        </w:rPr>
      </w:pPr>
    </w:p>
    <w:p w14:paraId="46064AB7" w14:textId="77777777" w:rsidR="005A02EA" w:rsidRDefault="005A02EA" w:rsidP="008E2B5A">
      <w:pPr>
        <w:spacing w:after="0" w:line="200" w:lineRule="exact"/>
        <w:jc w:val="center"/>
        <w:rPr>
          <w:rFonts w:ascii="Times New Roman" w:hAnsi="Times New Roman"/>
          <w:b/>
          <w:sz w:val="16"/>
          <w:szCs w:val="16"/>
          <w:lang w:eastAsia="zh-HK"/>
        </w:rPr>
      </w:pPr>
    </w:p>
    <w:p w14:paraId="7831025C" w14:textId="77777777" w:rsidR="005A02EA" w:rsidRDefault="005A02EA" w:rsidP="008E2B5A">
      <w:pPr>
        <w:spacing w:after="0" w:line="200" w:lineRule="exact"/>
        <w:jc w:val="center"/>
        <w:rPr>
          <w:rFonts w:ascii="Times New Roman" w:hAnsi="Times New Roman"/>
          <w:b/>
          <w:sz w:val="16"/>
          <w:szCs w:val="16"/>
          <w:lang w:eastAsia="zh-HK"/>
        </w:rPr>
      </w:pPr>
    </w:p>
    <w:p w14:paraId="0C20089D" w14:textId="77777777" w:rsidR="005A02EA" w:rsidRDefault="005A02EA" w:rsidP="008E2B5A">
      <w:pPr>
        <w:spacing w:after="0" w:line="200" w:lineRule="exact"/>
        <w:jc w:val="center"/>
        <w:rPr>
          <w:rFonts w:ascii="Times New Roman" w:hAnsi="Times New Roman"/>
          <w:b/>
          <w:sz w:val="16"/>
          <w:szCs w:val="16"/>
          <w:lang w:eastAsia="zh-HK"/>
        </w:rPr>
      </w:pPr>
    </w:p>
    <w:p w14:paraId="326A1D60" w14:textId="77777777" w:rsidR="005A02EA" w:rsidRDefault="005A02EA" w:rsidP="008E2B5A">
      <w:pPr>
        <w:spacing w:after="0" w:line="200" w:lineRule="exact"/>
        <w:jc w:val="center"/>
        <w:rPr>
          <w:rFonts w:ascii="Times New Roman" w:hAnsi="Times New Roman"/>
          <w:b/>
          <w:sz w:val="16"/>
          <w:szCs w:val="16"/>
          <w:lang w:eastAsia="zh-HK"/>
        </w:rPr>
      </w:pPr>
    </w:p>
    <w:p w14:paraId="50041101" w14:textId="794A6F97" w:rsidR="005A02EA" w:rsidRDefault="005A02EA" w:rsidP="008E2B5A">
      <w:pPr>
        <w:spacing w:after="0" w:line="200" w:lineRule="exact"/>
        <w:jc w:val="center"/>
        <w:rPr>
          <w:rFonts w:ascii="Times New Roman" w:hAnsi="Times New Roman"/>
          <w:b/>
          <w:sz w:val="16"/>
          <w:szCs w:val="16"/>
          <w:lang w:eastAsia="zh-HK"/>
        </w:rPr>
      </w:pPr>
    </w:p>
    <w:p w14:paraId="4DB1EF09" w14:textId="77777777" w:rsidR="005A02EA" w:rsidRDefault="005A02EA" w:rsidP="008E2B5A">
      <w:pPr>
        <w:spacing w:after="0" w:line="200" w:lineRule="exact"/>
        <w:jc w:val="center"/>
        <w:rPr>
          <w:rFonts w:ascii="Times New Roman" w:hAnsi="Times New Roman"/>
          <w:b/>
          <w:sz w:val="16"/>
          <w:szCs w:val="16"/>
          <w:lang w:eastAsia="zh-HK"/>
        </w:rPr>
      </w:pPr>
    </w:p>
    <w:p w14:paraId="3A65A922" w14:textId="77777777" w:rsidR="005A02EA" w:rsidRDefault="005A02EA" w:rsidP="008E2B5A">
      <w:pPr>
        <w:spacing w:after="0" w:line="200" w:lineRule="exact"/>
        <w:jc w:val="center"/>
        <w:rPr>
          <w:rFonts w:ascii="Times New Roman" w:hAnsi="Times New Roman"/>
          <w:b/>
          <w:sz w:val="16"/>
          <w:szCs w:val="16"/>
          <w:lang w:eastAsia="zh-HK"/>
        </w:rPr>
      </w:pPr>
    </w:p>
    <w:p w14:paraId="1C20F117" w14:textId="6E7079F6" w:rsidR="005A02EA" w:rsidRDefault="005A02EA" w:rsidP="008E2B5A">
      <w:pPr>
        <w:spacing w:after="0" w:line="200" w:lineRule="exact"/>
        <w:jc w:val="center"/>
        <w:rPr>
          <w:rFonts w:ascii="Times New Roman" w:hAnsi="Times New Roman"/>
          <w:b/>
          <w:sz w:val="16"/>
          <w:szCs w:val="16"/>
          <w:lang w:eastAsia="zh-HK"/>
        </w:rPr>
      </w:pPr>
    </w:p>
    <w:p w14:paraId="170E32D0" w14:textId="77777777" w:rsidR="005A02EA" w:rsidRDefault="005A02EA" w:rsidP="008E2B5A">
      <w:pPr>
        <w:spacing w:after="0" w:line="200" w:lineRule="exact"/>
        <w:jc w:val="center"/>
        <w:rPr>
          <w:rFonts w:ascii="Times New Roman" w:hAnsi="Times New Roman"/>
          <w:b/>
          <w:sz w:val="16"/>
          <w:szCs w:val="16"/>
          <w:lang w:eastAsia="zh-HK"/>
        </w:rPr>
      </w:pPr>
    </w:p>
    <w:p w14:paraId="257AAE59" w14:textId="77777777" w:rsidR="005A02EA" w:rsidRDefault="005A02EA" w:rsidP="008E2B5A">
      <w:pPr>
        <w:spacing w:after="0" w:line="200" w:lineRule="exact"/>
        <w:jc w:val="center"/>
        <w:rPr>
          <w:rFonts w:ascii="Times New Roman" w:hAnsi="Times New Roman"/>
          <w:b/>
          <w:sz w:val="16"/>
          <w:szCs w:val="16"/>
          <w:lang w:eastAsia="zh-HK"/>
        </w:rPr>
      </w:pPr>
    </w:p>
    <w:p w14:paraId="2B7E91B9" w14:textId="77777777" w:rsidR="005A02EA" w:rsidRDefault="005A02EA" w:rsidP="008E2B5A">
      <w:pPr>
        <w:spacing w:after="0" w:line="200" w:lineRule="exact"/>
        <w:jc w:val="center"/>
        <w:rPr>
          <w:rFonts w:ascii="Times New Roman" w:hAnsi="Times New Roman"/>
          <w:b/>
          <w:sz w:val="16"/>
          <w:szCs w:val="16"/>
          <w:lang w:eastAsia="zh-HK"/>
        </w:rPr>
      </w:pPr>
    </w:p>
    <w:p w14:paraId="038F3688" w14:textId="77777777" w:rsidR="005A02EA" w:rsidRDefault="005A02EA" w:rsidP="008E2B5A">
      <w:pPr>
        <w:spacing w:after="0" w:line="200" w:lineRule="exact"/>
        <w:jc w:val="center"/>
        <w:rPr>
          <w:rFonts w:ascii="Times New Roman" w:hAnsi="Times New Roman"/>
          <w:b/>
          <w:sz w:val="16"/>
          <w:szCs w:val="16"/>
          <w:lang w:eastAsia="zh-HK"/>
        </w:rPr>
      </w:pPr>
    </w:p>
    <w:p w14:paraId="2651D88B" w14:textId="77777777" w:rsidR="005A02EA" w:rsidRDefault="005A02EA" w:rsidP="008E2B5A">
      <w:pPr>
        <w:spacing w:after="0" w:line="200" w:lineRule="exact"/>
        <w:jc w:val="center"/>
        <w:rPr>
          <w:rFonts w:ascii="Times New Roman" w:hAnsi="Times New Roman"/>
          <w:b/>
          <w:sz w:val="16"/>
          <w:szCs w:val="16"/>
          <w:lang w:eastAsia="zh-HK"/>
        </w:rPr>
      </w:pPr>
    </w:p>
    <w:p w14:paraId="39C8C6B5" w14:textId="77777777" w:rsidR="005A02EA" w:rsidRDefault="005A02EA" w:rsidP="008E2B5A">
      <w:pPr>
        <w:spacing w:after="0" w:line="200" w:lineRule="exact"/>
        <w:jc w:val="center"/>
        <w:rPr>
          <w:rFonts w:ascii="Times New Roman" w:hAnsi="Times New Roman"/>
          <w:b/>
          <w:sz w:val="16"/>
          <w:szCs w:val="16"/>
          <w:lang w:eastAsia="zh-HK"/>
        </w:rPr>
      </w:pPr>
    </w:p>
    <w:p w14:paraId="3AD9D29A" w14:textId="77777777" w:rsidR="005A02EA" w:rsidRDefault="005A02EA" w:rsidP="008E2B5A">
      <w:pPr>
        <w:spacing w:after="0" w:line="200" w:lineRule="exact"/>
        <w:jc w:val="center"/>
        <w:rPr>
          <w:rFonts w:ascii="Times New Roman" w:hAnsi="Times New Roman"/>
          <w:b/>
          <w:sz w:val="16"/>
          <w:szCs w:val="16"/>
          <w:lang w:eastAsia="zh-HK"/>
        </w:rPr>
      </w:pPr>
    </w:p>
    <w:p w14:paraId="43B6D27E" w14:textId="77777777" w:rsidR="005A02EA" w:rsidRDefault="005A02EA" w:rsidP="008E2B5A">
      <w:pPr>
        <w:spacing w:after="0" w:line="200" w:lineRule="exact"/>
        <w:jc w:val="center"/>
        <w:rPr>
          <w:rFonts w:ascii="Times New Roman" w:hAnsi="Times New Roman"/>
          <w:b/>
          <w:sz w:val="16"/>
          <w:szCs w:val="16"/>
          <w:lang w:eastAsia="zh-HK"/>
        </w:rPr>
      </w:pPr>
    </w:p>
    <w:p w14:paraId="5A1E9A7D" w14:textId="77777777" w:rsidR="005A02EA" w:rsidRDefault="005A02EA" w:rsidP="008E2B5A">
      <w:pPr>
        <w:spacing w:after="0" w:line="200" w:lineRule="exact"/>
        <w:jc w:val="center"/>
        <w:rPr>
          <w:rFonts w:ascii="Times New Roman" w:hAnsi="Times New Roman"/>
          <w:b/>
          <w:sz w:val="16"/>
          <w:szCs w:val="16"/>
          <w:lang w:eastAsia="zh-HK"/>
        </w:rPr>
      </w:pPr>
    </w:p>
    <w:p w14:paraId="1B411E40" w14:textId="77777777" w:rsidR="005A02EA" w:rsidRDefault="005A02EA" w:rsidP="008E2B5A">
      <w:pPr>
        <w:spacing w:after="0" w:line="200" w:lineRule="exact"/>
        <w:jc w:val="center"/>
        <w:rPr>
          <w:rFonts w:ascii="Times New Roman" w:hAnsi="Times New Roman"/>
          <w:b/>
          <w:sz w:val="16"/>
          <w:szCs w:val="16"/>
          <w:lang w:eastAsia="zh-HK"/>
        </w:rPr>
      </w:pPr>
    </w:p>
    <w:p w14:paraId="0D1DFB33" w14:textId="77777777" w:rsidR="005A02EA" w:rsidRDefault="005A02EA" w:rsidP="008E2B5A">
      <w:pPr>
        <w:spacing w:after="0" w:line="200" w:lineRule="exact"/>
        <w:jc w:val="center"/>
        <w:rPr>
          <w:rFonts w:ascii="Times New Roman" w:hAnsi="Times New Roman"/>
          <w:b/>
          <w:sz w:val="16"/>
          <w:szCs w:val="16"/>
          <w:lang w:eastAsia="zh-HK"/>
        </w:rPr>
      </w:pPr>
    </w:p>
    <w:p w14:paraId="6E00BD54" w14:textId="77777777" w:rsidR="005A02EA" w:rsidRDefault="005A02EA" w:rsidP="008E2B5A">
      <w:pPr>
        <w:spacing w:after="0" w:line="200" w:lineRule="exact"/>
        <w:jc w:val="center"/>
        <w:rPr>
          <w:rFonts w:ascii="Times New Roman" w:hAnsi="Times New Roman"/>
          <w:b/>
          <w:sz w:val="16"/>
          <w:szCs w:val="16"/>
          <w:lang w:eastAsia="zh-HK"/>
        </w:rPr>
      </w:pPr>
    </w:p>
    <w:p w14:paraId="1708A0C5" w14:textId="77777777" w:rsidR="005A02EA" w:rsidRDefault="005A02EA" w:rsidP="008E2B5A">
      <w:pPr>
        <w:spacing w:after="0" w:line="200" w:lineRule="exact"/>
        <w:jc w:val="center"/>
        <w:rPr>
          <w:rFonts w:ascii="Times New Roman" w:hAnsi="Times New Roman"/>
          <w:b/>
          <w:sz w:val="16"/>
          <w:szCs w:val="16"/>
          <w:lang w:eastAsia="zh-HK"/>
        </w:rPr>
      </w:pPr>
    </w:p>
    <w:p w14:paraId="723BAD2E" w14:textId="77777777" w:rsidR="005A02EA" w:rsidRDefault="005A02EA" w:rsidP="008E2B5A">
      <w:pPr>
        <w:spacing w:after="0" w:line="200" w:lineRule="exact"/>
        <w:jc w:val="center"/>
        <w:rPr>
          <w:rFonts w:ascii="Times New Roman" w:hAnsi="Times New Roman"/>
          <w:b/>
          <w:sz w:val="16"/>
          <w:szCs w:val="16"/>
          <w:lang w:eastAsia="zh-HK"/>
        </w:rPr>
      </w:pPr>
    </w:p>
    <w:p w14:paraId="1C3FAE96" w14:textId="59C40DC9" w:rsidR="005A02EA" w:rsidRDefault="005A02EA" w:rsidP="008E2B5A">
      <w:pPr>
        <w:spacing w:after="0" w:line="200" w:lineRule="exact"/>
        <w:jc w:val="center"/>
        <w:rPr>
          <w:rFonts w:ascii="Times New Roman" w:hAnsi="Times New Roman"/>
          <w:b/>
          <w:sz w:val="16"/>
          <w:szCs w:val="16"/>
          <w:lang w:eastAsia="zh-HK"/>
        </w:rPr>
      </w:pPr>
    </w:p>
    <w:p w14:paraId="064B2348" w14:textId="77777777" w:rsidR="005A02EA" w:rsidRDefault="005A02EA" w:rsidP="008E2B5A">
      <w:pPr>
        <w:spacing w:after="0" w:line="200" w:lineRule="exact"/>
        <w:jc w:val="center"/>
        <w:rPr>
          <w:rFonts w:ascii="Times New Roman" w:hAnsi="Times New Roman"/>
          <w:b/>
          <w:sz w:val="16"/>
          <w:szCs w:val="16"/>
          <w:lang w:eastAsia="zh-HK"/>
        </w:rPr>
      </w:pPr>
    </w:p>
    <w:p w14:paraId="08326171" w14:textId="77777777" w:rsidR="005A02EA" w:rsidRDefault="005A02EA" w:rsidP="008E2B5A">
      <w:pPr>
        <w:spacing w:after="0" w:line="200" w:lineRule="exact"/>
        <w:jc w:val="center"/>
        <w:rPr>
          <w:rFonts w:ascii="Times New Roman" w:hAnsi="Times New Roman"/>
          <w:b/>
          <w:sz w:val="16"/>
          <w:szCs w:val="16"/>
          <w:lang w:eastAsia="zh-HK"/>
        </w:rPr>
      </w:pPr>
    </w:p>
    <w:p w14:paraId="3E74F687" w14:textId="77777777" w:rsidR="005A02EA" w:rsidRDefault="005A02EA" w:rsidP="008E2B5A">
      <w:pPr>
        <w:spacing w:after="0" w:line="200" w:lineRule="exact"/>
        <w:jc w:val="center"/>
        <w:rPr>
          <w:rFonts w:ascii="Times New Roman" w:hAnsi="Times New Roman"/>
          <w:b/>
          <w:sz w:val="16"/>
          <w:szCs w:val="16"/>
          <w:lang w:eastAsia="zh-HK"/>
        </w:rPr>
      </w:pPr>
    </w:p>
    <w:p w14:paraId="46FB1968" w14:textId="77777777" w:rsidR="005A02EA" w:rsidRDefault="005A02EA" w:rsidP="008E2B5A">
      <w:pPr>
        <w:spacing w:after="0" w:line="200" w:lineRule="exact"/>
        <w:jc w:val="center"/>
        <w:rPr>
          <w:rFonts w:ascii="Times New Roman" w:hAnsi="Times New Roman"/>
          <w:b/>
          <w:sz w:val="16"/>
          <w:szCs w:val="16"/>
          <w:lang w:eastAsia="zh-HK"/>
        </w:rPr>
      </w:pPr>
    </w:p>
    <w:p w14:paraId="08085154" w14:textId="77777777" w:rsidR="005A02EA" w:rsidRDefault="005A02EA" w:rsidP="008E2B5A">
      <w:pPr>
        <w:spacing w:after="0" w:line="200" w:lineRule="exact"/>
        <w:jc w:val="center"/>
        <w:rPr>
          <w:rFonts w:ascii="Times New Roman" w:hAnsi="Times New Roman"/>
          <w:b/>
          <w:sz w:val="16"/>
          <w:szCs w:val="16"/>
          <w:lang w:eastAsia="zh-HK"/>
        </w:rPr>
      </w:pPr>
    </w:p>
    <w:p w14:paraId="179B0ECE" w14:textId="77777777" w:rsidR="005A02EA" w:rsidRDefault="005A02EA" w:rsidP="008E2B5A">
      <w:pPr>
        <w:spacing w:after="0" w:line="200" w:lineRule="exact"/>
        <w:jc w:val="center"/>
        <w:rPr>
          <w:rFonts w:ascii="Times New Roman" w:hAnsi="Times New Roman"/>
          <w:b/>
          <w:sz w:val="16"/>
          <w:szCs w:val="16"/>
          <w:lang w:eastAsia="zh-HK"/>
        </w:rPr>
      </w:pPr>
    </w:p>
    <w:p w14:paraId="6727F903" w14:textId="77777777" w:rsidR="005A02EA" w:rsidRDefault="005A02EA" w:rsidP="008E2B5A">
      <w:pPr>
        <w:spacing w:after="0" w:line="200" w:lineRule="exact"/>
        <w:jc w:val="center"/>
        <w:rPr>
          <w:rFonts w:ascii="Times New Roman" w:hAnsi="Times New Roman"/>
          <w:b/>
          <w:sz w:val="16"/>
          <w:szCs w:val="16"/>
          <w:lang w:eastAsia="zh-HK"/>
        </w:rPr>
      </w:pPr>
    </w:p>
    <w:p w14:paraId="1B278183" w14:textId="77777777" w:rsidR="005A02EA" w:rsidRDefault="005A02EA" w:rsidP="008E2B5A">
      <w:pPr>
        <w:spacing w:after="0" w:line="200" w:lineRule="exact"/>
        <w:jc w:val="center"/>
        <w:rPr>
          <w:rFonts w:ascii="Times New Roman" w:hAnsi="Times New Roman"/>
          <w:b/>
          <w:sz w:val="16"/>
          <w:szCs w:val="16"/>
          <w:lang w:eastAsia="zh-HK"/>
        </w:rPr>
      </w:pPr>
    </w:p>
    <w:p w14:paraId="55DCDFF1" w14:textId="77777777" w:rsidR="005A02EA" w:rsidRDefault="005A02EA" w:rsidP="008E2B5A">
      <w:pPr>
        <w:spacing w:after="0" w:line="200" w:lineRule="exact"/>
        <w:jc w:val="center"/>
        <w:rPr>
          <w:rFonts w:ascii="Times New Roman" w:hAnsi="Times New Roman"/>
          <w:b/>
          <w:sz w:val="16"/>
          <w:szCs w:val="16"/>
          <w:lang w:eastAsia="zh-HK"/>
        </w:rPr>
      </w:pPr>
    </w:p>
    <w:p w14:paraId="55CDEC1B" w14:textId="77777777" w:rsidR="005A02EA" w:rsidRDefault="005A02EA" w:rsidP="008E2B5A">
      <w:pPr>
        <w:spacing w:after="0" w:line="200" w:lineRule="exact"/>
        <w:jc w:val="center"/>
        <w:rPr>
          <w:rFonts w:ascii="Times New Roman" w:hAnsi="Times New Roman"/>
          <w:b/>
          <w:sz w:val="16"/>
          <w:szCs w:val="16"/>
          <w:lang w:eastAsia="zh-HK"/>
        </w:rPr>
      </w:pPr>
    </w:p>
    <w:p w14:paraId="4E5217EA" w14:textId="6D85195B" w:rsidR="005A02EA" w:rsidRDefault="005A02EA" w:rsidP="008E2B5A">
      <w:pPr>
        <w:spacing w:after="0" w:line="200" w:lineRule="exact"/>
        <w:jc w:val="center"/>
        <w:rPr>
          <w:rFonts w:ascii="Times New Roman" w:hAnsi="Times New Roman"/>
          <w:b/>
          <w:sz w:val="16"/>
          <w:szCs w:val="16"/>
          <w:lang w:eastAsia="zh-HK"/>
        </w:rPr>
      </w:pPr>
    </w:p>
    <w:p w14:paraId="7AE28968" w14:textId="77777777" w:rsidR="005A02EA" w:rsidRDefault="005A02EA" w:rsidP="008E2B5A">
      <w:pPr>
        <w:spacing w:after="0" w:line="200" w:lineRule="exact"/>
        <w:jc w:val="center"/>
        <w:rPr>
          <w:rFonts w:ascii="Times New Roman" w:hAnsi="Times New Roman"/>
          <w:b/>
          <w:sz w:val="16"/>
          <w:szCs w:val="16"/>
          <w:lang w:eastAsia="zh-HK"/>
        </w:rPr>
      </w:pPr>
    </w:p>
    <w:p w14:paraId="1D5C7228" w14:textId="77777777" w:rsidR="005A02EA" w:rsidRDefault="00857950" w:rsidP="008E2B5A">
      <w:pPr>
        <w:spacing w:after="0" w:line="200" w:lineRule="exact"/>
        <w:jc w:val="center"/>
        <w:rPr>
          <w:rFonts w:ascii="Times New Roman" w:hAnsi="Times New Roman"/>
          <w:b/>
          <w:sz w:val="16"/>
          <w:szCs w:val="16"/>
          <w:lang w:eastAsia="zh-HK"/>
        </w:rPr>
      </w:pPr>
      <w:r w:rsidRPr="00B86E32">
        <w:rPr>
          <w:rFonts w:ascii="Times New Roman" w:hAnsi="Times New Roman"/>
          <w:b/>
          <w:sz w:val="16"/>
          <w:szCs w:val="16"/>
          <w:lang w:eastAsia="zh-HK"/>
        </w:rPr>
        <w:t xml:space="preserve"> </w:t>
      </w:r>
    </w:p>
    <w:p w14:paraId="3DD1FDC3" w14:textId="77777777" w:rsidR="005A02EA" w:rsidRDefault="005A02EA" w:rsidP="008E2B5A">
      <w:pPr>
        <w:spacing w:after="0" w:line="200" w:lineRule="exact"/>
        <w:jc w:val="center"/>
        <w:rPr>
          <w:rFonts w:ascii="Times New Roman" w:hAnsi="Times New Roman"/>
          <w:b/>
          <w:sz w:val="16"/>
          <w:szCs w:val="16"/>
          <w:lang w:eastAsia="zh-HK"/>
        </w:rPr>
      </w:pPr>
    </w:p>
    <w:p w14:paraId="08EDCE04" w14:textId="77777777" w:rsidR="005A02EA" w:rsidRDefault="005A02EA" w:rsidP="008E2B5A">
      <w:pPr>
        <w:spacing w:after="0" w:line="200" w:lineRule="exact"/>
        <w:jc w:val="center"/>
        <w:rPr>
          <w:rFonts w:ascii="Times New Roman" w:hAnsi="Times New Roman"/>
          <w:b/>
          <w:sz w:val="16"/>
          <w:szCs w:val="16"/>
          <w:lang w:eastAsia="zh-HK"/>
        </w:rPr>
      </w:pPr>
    </w:p>
    <w:p w14:paraId="451B00B7" w14:textId="77777777" w:rsidR="005A02EA" w:rsidRDefault="005A02EA" w:rsidP="008E2B5A">
      <w:pPr>
        <w:spacing w:after="0" w:line="200" w:lineRule="exact"/>
        <w:jc w:val="center"/>
        <w:rPr>
          <w:rFonts w:ascii="Times New Roman" w:hAnsi="Times New Roman"/>
          <w:b/>
          <w:sz w:val="16"/>
          <w:szCs w:val="16"/>
          <w:lang w:eastAsia="zh-HK"/>
        </w:rPr>
      </w:pPr>
    </w:p>
    <w:p w14:paraId="3A3B56FD" w14:textId="38420B1B" w:rsidR="005A02EA" w:rsidRPr="0079008B" w:rsidRDefault="005A02EA" w:rsidP="008E2B5A">
      <w:pPr>
        <w:spacing w:after="0" w:line="200" w:lineRule="exact"/>
        <w:jc w:val="center"/>
        <w:rPr>
          <w:rFonts w:ascii="Times New Roman" w:hAnsi="Times New Roman"/>
          <w:b/>
          <w:sz w:val="16"/>
          <w:szCs w:val="16"/>
          <w:lang w:eastAsia="zh-HK"/>
        </w:rPr>
      </w:pPr>
    </w:p>
    <w:tbl>
      <w:tblPr>
        <w:tblStyle w:val="TableGrid"/>
        <w:tblpPr w:leftFromText="180" w:rightFromText="180" w:vertAnchor="text" w:horzAnchor="margin" w:tblpXSpec="center" w:tblpY="99"/>
        <w:tblW w:w="1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6"/>
      </w:tblGrid>
      <w:tr w:rsidR="0072114F" w:rsidRPr="00665F51" w14:paraId="120D787A" w14:textId="77777777" w:rsidTr="0072114F">
        <w:tc>
          <w:tcPr>
            <w:tcW w:w="11026" w:type="dxa"/>
            <w:tcBorders>
              <w:top w:val="single" w:sz="4" w:space="0" w:color="auto"/>
              <w:left w:val="nil"/>
              <w:bottom w:val="single" w:sz="4" w:space="0" w:color="auto"/>
              <w:right w:val="nil"/>
            </w:tcBorders>
          </w:tcPr>
          <w:p w14:paraId="4995C759" w14:textId="5713E9F2" w:rsidR="0072114F" w:rsidRPr="00665F51" w:rsidRDefault="0072114F" w:rsidP="008015BF">
            <w:pPr>
              <w:spacing w:before="100" w:beforeAutospacing="1" w:after="0" w:line="200" w:lineRule="exact"/>
              <w:jc w:val="both"/>
              <w:rPr>
                <w:rFonts w:ascii="Times New Roman" w:eastAsiaTheme="minorEastAsia" w:hAnsi="Times New Roman"/>
                <w:sz w:val="16"/>
                <w:szCs w:val="16"/>
                <w:lang w:eastAsia="zh-TW"/>
              </w:rPr>
            </w:pPr>
            <w:r>
              <w:rPr>
                <w:rFonts w:ascii="Times New Roman" w:eastAsiaTheme="minorEastAsia" w:hAnsi="Times New Roman"/>
                <w:sz w:val="16"/>
                <w:szCs w:val="16"/>
                <w:lang w:eastAsia="zh-TW"/>
              </w:rPr>
              <w:t xml:space="preserve">The list above is constructed by first </w:t>
            </w:r>
            <w:r w:rsidRPr="005F6FA6">
              <w:rPr>
                <w:rFonts w:ascii="Times New Roman" w:eastAsiaTheme="minorEastAsia" w:hAnsi="Times New Roman"/>
                <w:sz w:val="16"/>
                <w:szCs w:val="16"/>
                <w:lang w:eastAsia="zh-TW"/>
              </w:rPr>
              <w:t>select</w:t>
            </w:r>
            <w:r>
              <w:rPr>
                <w:rFonts w:ascii="Times New Roman" w:eastAsiaTheme="minorEastAsia" w:hAnsi="Times New Roman"/>
                <w:sz w:val="16"/>
                <w:szCs w:val="16"/>
                <w:lang w:eastAsia="zh-TW"/>
              </w:rPr>
              <w:t>ing</w:t>
            </w:r>
            <w:r w:rsidRPr="005F6FA6">
              <w:rPr>
                <w:rFonts w:ascii="Times New Roman" w:eastAsiaTheme="minorEastAsia" w:hAnsi="Times New Roman"/>
                <w:sz w:val="16"/>
                <w:szCs w:val="16"/>
                <w:lang w:eastAsia="zh-TW"/>
              </w:rPr>
              <w:t xml:space="preserve"> all the insurers that are constituents of the World </w:t>
            </w:r>
            <w:proofErr w:type="spellStart"/>
            <w:r w:rsidRPr="005F6FA6">
              <w:rPr>
                <w:rFonts w:ascii="Times New Roman" w:eastAsiaTheme="minorEastAsia" w:hAnsi="Times New Roman"/>
                <w:sz w:val="16"/>
                <w:szCs w:val="16"/>
                <w:lang w:eastAsia="zh-TW"/>
              </w:rPr>
              <w:t>Datastream</w:t>
            </w:r>
            <w:proofErr w:type="spellEnd"/>
            <w:r w:rsidRPr="005F6FA6">
              <w:rPr>
                <w:rFonts w:ascii="Times New Roman" w:eastAsiaTheme="minorEastAsia" w:hAnsi="Times New Roman"/>
                <w:sz w:val="16"/>
                <w:szCs w:val="16"/>
                <w:lang w:eastAsia="zh-TW"/>
              </w:rPr>
              <w:t xml:space="preserve"> Insurance Index. Next, all insu</w:t>
            </w:r>
            <w:r w:rsidR="00B667BA">
              <w:rPr>
                <w:rFonts w:ascii="Times New Roman" w:eastAsiaTheme="minorEastAsia" w:hAnsi="Times New Roman"/>
                <w:sz w:val="16"/>
                <w:szCs w:val="16"/>
                <w:lang w:eastAsia="zh-TW"/>
              </w:rPr>
              <w:t>rers with quarterly accounting data</w:t>
            </w:r>
            <w:r w:rsidRPr="005F6FA6">
              <w:rPr>
                <w:rFonts w:ascii="Times New Roman" w:eastAsiaTheme="minorEastAsia" w:hAnsi="Times New Roman"/>
                <w:sz w:val="16"/>
                <w:szCs w:val="16"/>
                <w:lang w:eastAsia="zh-TW"/>
              </w:rPr>
              <w:t xml:space="preserve"> or daily stock prices unavailable in </w:t>
            </w:r>
            <w:proofErr w:type="spellStart"/>
            <w:r w:rsidRPr="007A556B">
              <w:rPr>
                <w:rFonts w:ascii="Times New Roman" w:eastAsiaTheme="minorEastAsia" w:hAnsi="Times New Roman"/>
                <w:i/>
                <w:sz w:val="16"/>
                <w:szCs w:val="16"/>
                <w:lang w:eastAsia="zh-TW"/>
              </w:rPr>
              <w:t>Datastream</w:t>
            </w:r>
            <w:proofErr w:type="spellEnd"/>
            <w:r w:rsidRPr="007A556B">
              <w:rPr>
                <w:rFonts w:ascii="Times New Roman" w:eastAsiaTheme="minorEastAsia" w:hAnsi="Times New Roman"/>
                <w:i/>
                <w:sz w:val="16"/>
                <w:szCs w:val="16"/>
                <w:lang w:eastAsia="zh-TW"/>
              </w:rPr>
              <w:t xml:space="preserve"> </w:t>
            </w:r>
            <w:r w:rsidRPr="005F6FA6">
              <w:rPr>
                <w:rFonts w:ascii="Times New Roman" w:eastAsiaTheme="minorEastAsia" w:hAnsi="Times New Roman"/>
                <w:sz w:val="16"/>
                <w:szCs w:val="16"/>
                <w:lang w:eastAsia="zh-TW"/>
              </w:rPr>
              <w:t xml:space="preserve">are omitted. </w:t>
            </w:r>
            <w:r>
              <w:rPr>
                <w:rFonts w:ascii="Times New Roman" w:eastAsiaTheme="minorEastAsia" w:hAnsi="Times New Roman"/>
                <w:sz w:val="16"/>
                <w:szCs w:val="16"/>
                <w:lang w:eastAsia="zh-TW"/>
              </w:rPr>
              <w:t>The final dataset consists of</w:t>
            </w:r>
            <w:r w:rsidRPr="005F6FA6">
              <w:rPr>
                <w:rFonts w:ascii="Times New Roman" w:eastAsiaTheme="minorEastAsia" w:hAnsi="Times New Roman"/>
                <w:sz w:val="16"/>
                <w:szCs w:val="16"/>
                <w:lang w:eastAsia="zh-TW"/>
              </w:rPr>
              <w:t xml:space="preserve"> 174 insurers from </w:t>
            </w:r>
            <w:r>
              <w:rPr>
                <w:rFonts w:ascii="Times New Roman" w:eastAsiaTheme="minorEastAsia" w:hAnsi="Times New Roman"/>
                <w:sz w:val="16"/>
                <w:szCs w:val="16"/>
                <w:lang w:eastAsia="zh-TW"/>
              </w:rPr>
              <w:t>33</w:t>
            </w:r>
            <w:r w:rsidRPr="005F6FA6">
              <w:rPr>
                <w:rFonts w:ascii="Times New Roman" w:eastAsiaTheme="minorEastAsia" w:hAnsi="Times New Roman"/>
                <w:sz w:val="16"/>
                <w:szCs w:val="16"/>
                <w:lang w:eastAsia="zh-TW"/>
              </w:rPr>
              <w:t xml:space="preserve"> countries.</w:t>
            </w:r>
            <w:r>
              <w:rPr>
                <w:rFonts w:ascii="Times New Roman" w:eastAsiaTheme="minorEastAsia" w:hAnsi="Times New Roman" w:hint="eastAsia"/>
                <w:sz w:val="16"/>
                <w:szCs w:val="16"/>
                <w:lang w:eastAsia="zh-TW"/>
              </w:rPr>
              <w:t xml:space="preserve"> </w:t>
            </w:r>
            <w:r w:rsidR="00E671D6">
              <w:rPr>
                <w:rFonts w:ascii="Times New Roman" w:eastAsiaTheme="minorEastAsia" w:hAnsi="Times New Roman"/>
                <w:sz w:val="16"/>
                <w:szCs w:val="16"/>
                <w:lang w:eastAsia="zh-TW"/>
              </w:rPr>
              <w:t xml:space="preserve">G-SIIs designated by the </w:t>
            </w:r>
            <w:r w:rsidR="008015BF">
              <w:rPr>
                <w:rFonts w:ascii="Times New Roman" w:eastAsiaTheme="minorEastAsia" w:hAnsi="Times New Roman"/>
                <w:sz w:val="16"/>
                <w:szCs w:val="16"/>
                <w:lang w:eastAsia="zh-TW"/>
              </w:rPr>
              <w:t>FSB</w:t>
            </w:r>
            <w:r w:rsidR="00E671D6">
              <w:rPr>
                <w:rFonts w:ascii="Times New Roman" w:eastAsiaTheme="minorEastAsia" w:hAnsi="Times New Roman"/>
                <w:sz w:val="16"/>
                <w:szCs w:val="16"/>
                <w:lang w:eastAsia="zh-TW"/>
              </w:rPr>
              <w:t xml:space="preserve"> in July 2013 are highlighted in the table. </w:t>
            </w:r>
            <w:r>
              <w:rPr>
                <w:rFonts w:ascii="Times New Roman" w:eastAsiaTheme="minorEastAsia" w:hAnsi="Times New Roman"/>
                <w:sz w:val="16"/>
                <w:szCs w:val="16"/>
                <w:lang w:eastAsia="zh-TW"/>
              </w:rPr>
              <w:t xml:space="preserve">The names (item WC06001) and countries (item GEOGN) of the insurers are extracted from the </w:t>
            </w:r>
            <w:proofErr w:type="spellStart"/>
            <w:r w:rsidRPr="005F6FA6">
              <w:rPr>
                <w:rFonts w:ascii="Times New Roman" w:eastAsiaTheme="minorEastAsia" w:hAnsi="Times New Roman"/>
                <w:i/>
                <w:sz w:val="16"/>
                <w:szCs w:val="16"/>
                <w:lang w:eastAsia="zh-TW"/>
              </w:rPr>
              <w:t>Worldscope</w:t>
            </w:r>
            <w:proofErr w:type="spellEnd"/>
            <w:r>
              <w:rPr>
                <w:rFonts w:ascii="Times New Roman" w:eastAsiaTheme="minorEastAsia" w:hAnsi="Times New Roman"/>
                <w:sz w:val="16"/>
                <w:szCs w:val="16"/>
                <w:lang w:eastAsia="zh-TW"/>
              </w:rPr>
              <w:t xml:space="preserve"> database.</w:t>
            </w:r>
          </w:p>
        </w:tc>
      </w:tr>
    </w:tbl>
    <w:p w14:paraId="040EEC90" w14:textId="77777777" w:rsidR="003818B4" w:rsidRPr="00B86E32" w:rsidRDefault="003818B4" w:rsidP="003818B4">
      <w:pPr>
        <w:spacing w:after="0" w:line="200" w:lineRule="exact"/>
        <w:jc w:val="center"/>
        <w:rPr>
          <w:rFonts w:ascii="Times New Roman" w:eastAsiaTheme="minorEastAsia" w:hAnsi="Times New Roman"/>
          <w:b/>
          <w:sz w:val="16"/>
          <w:szCs w:val="16"/>
          <w:lang w:eastAsia="zh-HK"/>
        </w:rPr>
      </w:pPr>
      <w:r w:rsidRPr="00B86E32">
        <w:rPr>
          <w:rFonts w:ascii="Times New Roman" w:hAnsi="Times New Roman"/>
          <w:b/>
          <w:sz w:val="16"/>
          <w:szCs w:val="16"/>
          <w:lang w:eastAsia="zh-HK"/>
        </w:rPr>
        <w:lastRenderedPageBreak/>
        <w:t xml:space="preserve">Table </w:t>
      </w:r>
      <w:r>
        <w:rPr>
          <w:rFonts w:ascii="Times New Roman" w:eastAsiaTheme="minorEastAsia" w:hAnsi="Times New Roman" w:hint="eastAsia"/>
          <w:b/>
          <w:sz w:val="16"/>
          <w:szCs w:val="16"/>
          <w:lang w:eastAsia="zh-HK"/>
        </w:rPr>
        <w:t>II</w:t>
      </w:r>
      <w:r w:rsidRPr="00B86E32">
        <w:rPr>
          <w:rFonts w:ascii="Times New Roman" w:eastAsiaTheme="minorEastAsia" w:hAnsi="Times New Roman"/>
          <w:b/>
          <w:sz w:val="16"/>
          <w:szCs w:val="16"/>
          <w:lang w:eastAsia="zh-HK"/>
        </w:rPr>
        <w:t xml:space="preserve">. </w:t>
      </w:r>
      <w:r>
        <w:rPr>
          <w:rFonts w:ascii="Times New Roman" w:eastAsiaTheme="minorEastAsia" w:hAnsi="Times New Roman"/>
          <w:b/>
          <w:sz w:val="16"/>
          <w:szCs w:val="16"/>
          <w:lang w:eastAsia="zh-HK"/>
        </w:rPr>
        <w:t>Definition of v</w:t>
      </w:r>
      <w:r w:rsidRPr="00B86E32">
        <w:rPr>
          <w:rFonts w:ascii="Times New Roman" w:eastAsiaTheme="minorEastAsia" w:hAnsi="Times New Roman"/>
          <w:b/>
          <w:sz w:val="16"/>
          <w:szCs w:val="16"/>
          <w:lang w:eastAsia="zh-HK"/>
        </w:rPr>
        <w:t>ariable</w:t>
      </w:r>
      <w:r>
        <w:rPr>
          <w:rFonts w:ascii="Times New Roman" w:eastAsiaTheme="minorEastAsia" w:hAnsi="Times New Roman"/>
          <w:b/>
          <w:sz w:val="16"/>
          <w:szCs w:val="16"/>
          <w:lang w:eastAsia="zh-HK"/>
        </w:rPr>
        <w:t>s</w:t>
      </w:r>
    </w:p>
    <w:p w14:paraId="4B9603A3" w14:textId="77777777" w:rsidR="003818B4" w:rsidRPr="00B86E32" w:rsidRDefault="003818B4" w:rsidP="003818B4">
      <w:pPr>
        <w:spacing w:after="0" w:line="200" w:lineRule="exact"/>
        <w:jc w:val="center"/>
        <w:rPr>
          <w:rFonts w:ascii="Times New Roman" w:eastAsiaTheme="minorEastAsia" w:hAnsi="Times New Roman"/>
          <w:b/>
          <w:sz w:val="16"/>
          <w:szCs w:val="16"/>
          <w:lang w:eastAsia="zh-HK"/>
        </w:rPr>
      </w:pPr>
    </w:p>
    <w:tbl>
      <w:tblPr>
        <w:tblStyle w:val="TableGrid"/>
        <w:tblW w:w="1006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189"/>
        <w:gridCol w:w="6400"/>
      </w:tblGrid>
      <w:tr w:rsidR="003818B4" w:rsidRPr="00B86E32" w14:paraId="13F67E25" w14:textId="77777777" w:rsidTr="00247A99">
        <w:tc>
          <w:tcPr>
            <w:tcW w:w="3476" w:type="dxa"/>
            <w:tcBorders>
              <w:top w:val="single" w:sz="4" w:space="0" w:color="auto"/>
              <w:bottom w:val="single" w:sz="4" w:space="0" w:color="auto"/>
            </w:tcBorders>
          </w:tcPr>
          <w:p w14:paraId="55166E50" w14:textId="77777777" w:rsidR="003818B4" w:rsidRPr="00B86E32" w:rsidRDefault="003818B4" w:rsidP="00247A99">
            <w:pPr>
              <w:spacing w:after="0" w:line="200" w:lineRule="exact"/>
              <w:rPr>
                <w:rFonts w:ascii="Times New Roman" w:hAnsi="Times New Roman"/>
                <w:b/>
                <w:sz w:val="16"/>
                <w:szCs w:val="16"/>
                <w:lang w:eastAsia="zh-HK"/>
              </w:rPr>
            </w:pPr>
            <w:r w:rsidRPr="00B86E32">
              <w:rPr>
                <w:rFonts w:ascii="Times New Roman" w:hAnsi="Times New Roman"/>
                <w:b/>
                <w:sz w:val="16"/>
                <w:szCs w:val="16"/>
                <w:lang w:eastAsia="zh-HK"/>
              </w:rPr>
              <w:t>Variables</w:t>
            </w:r>
          </w:p>
        </w:tc>
        <w:tc>
          <w:tcPr>
            <w:tcW w:w="6589" w:type="dxa"/>
            <w:gridSpan w:val="2"/>
            <w:tcBorders>
              <w:top w:val="single" w:sz="4" w:space="0" w:color="auto"/>
              <w:bottom w:val="single" w:sz="4" w:space="0" w:color="auto"/>
            </w:tcBorders>
          </w:tcPr>
          <w:p w14:paraId="5892D4B1" w14:textId="77777777" w:rsidR="003818B4" w:rsidRPr="00B86E32" w:rsidRDefault="003818B4" w:rsidP="00247A99">
            <w:pPr>
              <w:spacing w:after="0" w:line="200" w:lineRule="exact"/>
              <w:ind w:leftChars="103" w:left="227" w:firstLineChars="1" w:firstLine="2"/>
              <w:rPr>
                <w:rFonts w:ascii="Times New Roman" w:hAnsi="Times New Roman"/>
                <w:b/>
                <w:sz w:val="16"/>
                <w:szCs w:val="16"/>
                <w:lang w:eastAsia="zh-HK"/>
              </w:rPr>
            </w:pPr>
            <w:r w:rsidRPr="00B86E32">
              <w:rPr>
                <w:rFonts w:ascii="Times New Roman" w:hAnsi="Times New Roman"/>
                <w:b/>
                <w:sz w:val="16"/>
                <w:szCs w:val="16"/>
                <w:lang w:eastAsia="zh-HK"/>
              </w:rPr>
              <w:t>Definitions</w:t>
            </w:r>
          </w:p>
        </w:tc>
      </w:tr>
      <w:tr w:rsidR="003818B4" w:rsidRPr="00B86E32" w14:paraId="4E854933" w14:textId="77777777" w:rsidTr="00247A99">
        <w:tc>
          <w:tcPr>
            <w:tcW w:w="10065" w:type="dxa"/>
            <w:gridSpan w:val="3"/>
            <w:tcBorders>
              <w:top w:val="single" w:sz="4" w:space="0" w:color="auto"/>
              <w:bottom w:val="single" w:sz="4" w:space="0" w:color="auto"/>
            </w:tcBorders>
          </w:tcPr>
          <w:p w14:paraId="7251FDDF" w14:textId="77777777" w:rsidR="003818B4" w:rsidRPr="00B86E32" w:rsidRDefault="003818B4" w:rsidP="00247A99">
            <w:pPr>
              <w:spacing w:after="0" w:line="200" w:lineRule="exact"/>
              <w:rPr>
                <w:rFonts w:ascii="Times New Roman" w:hAnsi="Times New Roman"/>
                <w:sz w:val="16"/>
                <w:szCs w:val="16"/>
                <w:lang w:eastAsia="zh-HK"/>
              </w:rPr>
            </w:pPr>
            <w:r w:rsidRPr="00B86E32">
              <w:rPr>
                <w:rFonts w:ascii="Times New Roman" w:hAnsi="Times New Roman"/>
                <w:sz w:val="16"/>
                <w:szCs w:val="16"/>
                <w:lang w:eastAsia="zh-HK"/>
              </w:rPr>
              <w:t>(</w:t>
            </w:r>
            <w:proofErr w:type="spellStart"/>
            <w:r w:rsidRPr="00ED6D1E">
              <w:rPr>
                <w:rFonts w:ascii="Times New Roman" w:hAnsi="Times New Roman"/>
                <w:i/>
                <w:sz w:val="16"/>
                <w:szCs w:val="16"/>
                <w:lang w:eastAsia="zh-HK"/>
              </w:rPr>
              <w:t>Datastream</w:t>
            </w:r>
            <w:proofErr w:type="spellEnd"/>
            <w:r w:rsidRPr="00B86E32">
              <w:rPr>
                <w:rFonts w:ascii="Times New Roman" w:hAnsi="Times New Roman"/>
                <w:sz w:val="16"/>
                <w:szCs w:val="16"/>
                <w:lang w:eastAsia="zh-HK"/>
              </w:rPr>
              <w:t xml:space="preserve"> data items in brackets)</w:t>
            </w:r>
          </w:p>
        </w:tc>
      </w:tr>
      <w:tr w:rsidR="003818B4" w:rsidRPr="00B86E32" w14:paraId="5F96B15F" w14:textId="77777777" w:rsidTr="00E27592">
        <w:tc>
          <w:tcPr>
            <w:tcW w:w="3665" w:type="dxa"/>
            <w:gridSpan w:val="2"/>
            <w:tcBorders>
              <w:top w:val="single" w:sz="4" w:space="0" w:color="auto"/>
            </w:tcBorders>
          </w:tcPr>
          <w:p w14:paraId="6A5606A9" w14:textId="77777777" w:rsidR="003818B4" w:rsidRDefault="003818B4" w:rsidP="00247A99">
            <w:pPr>
              <w:spacing w:after="0" w:line="200" w:lineRule="exact"/>
              <w:rPr>
                <w:rFonts w:ascii="Times New Roman" w:eastAsiaTheme="minorEastAsia" w:hAnsi="Times New Roman"/>
                <w:sz w:val="16"/>
                <w:szCs w:val="16"/>
                <w:lang w:eastAsia="zh-HK"/>
              </w:rPr>
            </w:pPr>
            <w:r w:rsidRPr="00724BDD">
              <w:rPr>
                <w:rFonts w:ascii="Times New Roman" w:eastAsiaTheme="minorEastAsia" w:hAnsi="Times New Roman" w:hint="eastAsia"/>
                <w:sz w:val="16"/>
                <w:szCs w:val="16"/>
                <w:lang w:eastAsia="zh-HK"/>
              </w:rPr>
              <w:t>Δ</w:t>
            </w:r>
            <w:proofErr w:type="spellStart"/>
            <w:r w:rsidRPr="00724BDD">
              <w:rPr>
                <w:rFonts w:ascii="Times New Roman" w:eastAsiaTheme="minorEastAsia" w:hAnsi="Times New Roman"/>
                <w:sz w:val="16"/>
                <w:szCs w:val="16"/>
                <w:lang w:eastAsia="zh-HK"/>
              </w:rPr>
              <w:t>CoVAR</w:t>
            </w:r>
            <w:proofErr w:type="spellEnd"/>
          </w:p>
          <w:p w14:paraId="014A7922" w14:textId="77777777" w:rsidR="003818B4" w:rsidRDefault="003818B4" w:rsidP="00247A99">
            <w:pPr>
              <w:spacing w:after="0" w:line="200" w:lineRule="exact"/>
              <w:rPr>
                <w:rFonts w:ascii="Times New Roman" w:eastAsiaTheme="minorEastAsia" w:hAnsi="Times New Roman"/>
                <w:sz w:val="16"/>
                <w:szCs w:val="16"/>
                <w:lang w:eastAsia="zh-HK"/>
              </w:rPr>
            </w:pPr>
          </w:p>
          <w:p w14:paraId="21D99972" w14:textId="77777777" w:rsidR="00A96B89" w:rsidRDefault="00A96B89" w:rsidP="00247A99">
            <w:pPr>
              <w:spacing w:after="0" w:line="200" w:lineRule="exact"/>
              <w:rPr>
                <w:rFonts w:ascii="Times New Roman" w:eastAsiaTheme="minorEastAsia" w:hAnsi="Times New Roman"/>
                <w:sz w:val="16"/>
                <w:szCs w:val="16"/>
                <w:lang w:eastAsia="zh-HK"/>
              </w:rPr>
            </w:pPr>
          </w:p>
          <w:p w14:paraId="1DB49014" w14:textId="1C702D8A" w:rsidR="00E271B4" w:rsidRDefault="00E271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Asset indicator</w:t>
            </w:r>
          </w:p>
          <w:p w14:paraId="3F195DC1" w14:textId="77777777" w:rsidR="00E271B4" w:rsidRDefault="00E271B4" w:rsidP="00247A99">
            <w:pPr>
              <w:spacing w:after="0" w:line="200" w:lineRule="exact"/>
              <w:rPr>
                <w:rFonts w:ascii="Times New Roman" w:eastAsiaTheme="minorEastAsia" w:hAnsi="Times New Roman"/>
                <w:sz w:val="16"/>
                <w:szCs w:val="16"/>
                <w:lang w:eastAsia="zh-HK"/>
              </w:rPr>
            </w:pPr>
          </w:p>
          <w:p w14:paraId="2115CADF" w14:textId="45614177" w:rsidR="003818B4" w:rsidRPr="00B86E32"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G</w:t>
            </w:r>
            <w:r>
              <w:rPr>
                <w:rFonts w:ascii="Times New Roman" w:eastAsiaTheme="minorEastAsia" w:hAnsi="Times New Roman"/>
                <w:sz w:val="16"/>
                <w:szCs w:val="16"/>
                <w:lang w:eastAsia="zh-HK"/>
              </w:rPr>
              <w:t>-SII (1/0)</w:t>
            </w:r>
          </w:p>
        </w:tc>
        <w:tc>
          <w:tcPr>
            <w:tcW w:w="6400" w:type="dxa"/>
            <w:tcBorders>
              <w:top w:val="single" w:sz="4" w:space="0" w:color="auto"/>
            </w:tcBorders>
          </w:tcPr>
          <w:p w14:paraId="5C14855C" w14:textId="77777777" w:rsidR="003818B4" w:rsidRDefault="003818B4" w:rsidP="00247A99">
            <w:pPr>
              <w:spacing w:after="0" w:line="200" w:lineRule="exact"/>
              <w:jc w:val="both"/>
              <w:rPr>
                <w:rFonts w:ascii="Times New Roman" w:eastAsiaTheme="minorEastAsia" w:hAnsi="Times New Roman"/>
                <w:sz w:val="16"/>
                <w:szCs w:val="16"/>
                <w:lang w:eastAsia="zh-HK"/>
              </w:rPr>
            </w:pPr>
            <w:r w:rsidRPr="00724BDD">
              <w:rPr>
                <w:rFonts w:ascii="Times New Roman" w:eastAsiaTheme="minorEastAsia" w:hAnsi="Times New Roman" w:hint="eastAsia"/>
                <w:sz w:val="16"/>
                <w:szCs w:val="16"/>
                <w:lang w:eastAsia="zh-HK"/>
              </w:rPr>
              <w:t>Δ</w:t>
            </w:r>
            <w:proofErr w:type="spellStart"/>
            <w:r w:rsidRPr="00724BDD">
              <w:rPr>
                <w:rFonts w:ascii="Times New Roman" w:eastAsiaTheme="minorEastAsia" w:hAnsi="Times New Roman"/>
                <w:sz w:val="16"/>
                <w:szCs w:val="16"/>
                <w:lang w:eastAsia="zh-HK"/>
              </w:rPr>
              <w:t>CoVAR</w:t>
            </w:r>
            <w:proofErr w:type="spellEnd"/>
            <w:r w:rsidRPr="00724BDD">
              <w:rPr>
                <w:rFonts w:ascii="Times New Roman" w:eastAsiaTheme="minorEastAsia" w:hAnsi="Times New Roman"/>
                <w:sz w:val="16"/>
                <w:szCs w:val="16"/>
                <w:lang w:eastAsia="zh-HK"/>
              </w:rPr>
              <w:t xml:space="preserve"> captures the tail dependency between insurers and market index</w:t>
            </w:r>
            <w:r>
              <w:rPr>
                <w:rFonts w:ascii="Times New Roman" w:eastAsiaTheme="minorEastAsia" w:hAnsi="Times New Roman"/>
                <w:sz w:val="16"/>
                <w:szCs w:val="16"/>
                <w:lang w:eastAsia="zh-HK"/>
              </w:rPr>
              <w:t>. Refer to section 2.2 for detailed methodology and calculation.</w:t>
            </w:r>
          </w:p>
          <w:p w14:paraId="1A4CF02E" w14:textId="77777777" w:rsidR="003818B4" w:rsidRDefault="003818B4" w:rsidP="00247A99">
            <w:pPr>
              <w:spacing w:after="0" w:line="200" w:lineRule="exact"/>
              <w:jc w:val="both"/>
              <w:rPr>
                <w:rFonts w:ascii="Times New Roman" w:eastAsiaTheme="minorEastAsia" w:hAnsi="Times New Roman"/>
                <w:sz w:val="16"/>
                <w:szCs w:val="16"/>
                <w:lang w:eastAsia="zh-HK"/>
              </w:rPr>
            </w:pPr>
          </w:p>
          <w:p w14:paraId="741D45DF" w14:textId="49D34601" w:rsidR="00E271B4" w:rsidRDefault="00E271B4" w:rsidP="00247A99">
            <w:pPr>
              <w:spacing w:after="0" w:line="200" w:lineRule="exact"/>
              <w:jc w:val="both"/>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Total assets (WC02999) scaled by the</w:t>
            </w:r>
            <w:r w:rsidR="00C0193C">
              <w:rPr>
                <w:rFonts w:ascii="Times New Roman" w:eastAsiaTheme="minorEastAsia" w:hAnsi="Times New Roman" w:hint="eastAsia"/>
                <w:sz w:val="16"/>
                <w:szCs w:val="16"/>
                <w:lang w:eastAsia="zh-HK"/>
              </w:rPr>
              <w:t xml:space="preserve"> aggregation</w:t>
            </w:r>
            <w:r w:rsidR="0062786C">
              <w:rPr>
                <w:rFonts w:ascii="Times New Roman" w:eastAsiaTheme="minorEastAsia" w:hAnsi="Times New Roman" w:hint="eastAsia"/>
                <w:sz w:val="16"/>
                <w:szCs w:val="16"/>
                <w:lang w:eastAsia="zh-HK"/>
              </w:rPr>
              <w:t xml:space="preserve"> of </w:t>
            </w:r>
            <w:r>
              <w:rPr>
                <w:rFonts w:ascii="Times New Roman" w:eastAsiaTheme="minorEastAsia" w:hAnsi="Times New Roman" w:hint="eastAsia"/>
                <w:sz w:val="16"/>
                <w:szCs w:val="16"/>
                <w:lang w:eastAsia="zh-HK"/>
              </w:rPr>
              <w:t>assets for the whole sample</w:t>
            </w:r>
          </w:p>
          <w:p w14:paraId="212285F8" w14:textId="77777777" w:rsidR="00E271B4" w:rsidRDefault="00E271B4" w:rsidP="00247A99">
            <w:pPr>
              <w:spacing w:after="0" w:line="200" w:lineRule="exact"/>
              <w:jc w:val="both"/>
              <w:rPr>
                <w:rFonts w:ascii="Times New Roman" w:eastAsiaTheme="minorEastAsia" w:hAnsi="Times New Roman"/>
                <w:sz w:val="16"/>
                <w:szCs w:val="16"/>
                <w:lang w:eastAsia="zh-HK"/>
              </w:rPr>
            </w:pPr>
          </w:p>
          <w:p w14:paraId="3B277571" w14:textId="77777777" w:rsidR="003818B4" w:rsidRDefault="003818B4" w:rsidP="00247A99">
            <w:pPr>
              <w:spacing w:after="0" w:line="200" w:lineRule="exact"/>
              <w:jc w:val="both"/>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The G-SII dummy, which equals to 1 if the insurer has been designated by the FSB as global systemically important, and 0 otherwise</w:t>
            </w:r>
          </w:p>
          <w:p w14:paraId="14A6D71A" w14:textId="771D53DE" w:rsidR="00E27592" w:rsidRPr="00B86E32" w:rsidRDefault="00E27592" w:rsidP="00247A99">
            <w:pPr>
              <w:spacing w:after="0" w:line="200" w:lineRule="exact"/>
              <w:jc w:val="both"/>
              <w:rPr>
                <w:rFonts w:ascii="Times New Roman" w:eastAsiaTheme="minorEastAsia" w:hAnsi="Times New Roman"/>
                <w:sz w:val="16"/>
                <w:szCs w:val="16"/>
                <w:lang w:eastAsia="zh-HK"/>
              </w:rPr>
            </w:pPr>
          </w:p>
        </w:tc>
      </w:tr>
      <w:tr w:rsidR="00E27592" w:rsidRPr="00B86E32" w14:paraId="03493025" w14:textId="77777777" w:rsidTr="00E27592">
        <w:tc>
          <w:tcPr>
            <w:tcW w:w="3665" w:type="dxa"/>
            <w:gridSpan w:val="2"/>
          </w:tcPr>
          <w:p w14:paraId="5DA75E2A" w14:textId="709B6539" w:rsidR="00E27592" w:rsidRPr="00724BDD" w:rsidRDefault="00E27592"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Financing cash flow indicator</w:t>
            </w:r>
          </w:p>
        </w:tc>
        <w:tc>
          <w:tcPr>
            <w:tcW w:w="6400" w:type="dxa"/>
          </w:tcPr>
          <w:p w14:paraId="78D44ADE" w14:textId="3D81891D" w:rsidR="00E27592" w:rsidRPr="00724BDD" w:rsidRDefault="00C04CF8" w:rsidP="00247A99">
            <w:pPr>
              <w:spacing w:after="0" w:line="200" w:lineRule="exact"/>
              <w:jc w:val="both"/>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Cash flow from financing activities (WC0</w:t>
            </w:r>
            <w:r>
              <w:rPr>
                <w:rFonts w:ascii="Times New Roman" w:eastAsiaTheme="minorEastAsia" w:hAnsi="Times New Roman"/>
                <w:sz w:val="16"/>
                <w:szCs w:val="16"/>
                <w:lang w:eastAsia="zh-HK"/>
              </w:rPr>
              <w:t>4890) scaled by the aggregation of cash flow from financing activities for the whole sample</w:t>
            </w:r>
          </w:p>
        </w:tc>
      </w:tr>
      <w:tr w:rsidR="00166F86" w:rsidRPr="00B86E32" w14:paraId="713AE74F" w14:textId="77777777" w:rsidTr="00166F86">
        <w:tc>
          <w:tcPr>
            <w:tcW w:w="3665" w:type="dxa"/>
            <w:gridSpan w:val="2"/>
          </w:tcPr>
          <w:p w14:paraId="27964970" w14:textId="77777777" w:rsidR="00166F86" w:rsidRDefault="00166F86" w:rsidP="00247A99">
            <w:pPr>
              <w:spacing w:after="0" w:line="200" w:lineRule="exact"/>
              <w:rPr>
                <w:rFonts w:ascii="Times New Roman" w:eastAsiaTheme="minorEastAsia" w:hAnsi="Times New Roman"/>
                <w:sz w:val="16"/>
                <w:szCs w:val="16"/>
                <w:lang w:eastAsia="zh-HK"/>
              </w:rPr>
            </w:pPr>
          </w:p>
          <w:p w14:paraId="6BA078CC" w14:textId="5EE7411B" w:rsidR="00166F86" w:rsidRPr="00724BDD" w:rsidRDefault="00166F86"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Foreign sale indicator</w:t>
            </w:r>
          </w:p>
        </w:tc>
        <w:tc>
          <w:tcPr>
            <w:tcW w:w="6400" w:type="dxa"/>
          </w:tcPr>
          <w:p w14:paraId="42E37262" w14:textId="77777777" w:rsidR="00166F86" w:rsidRDefault="00166F86" w:rsidP="00247A99">
            <w:pPr>
              <w:spacing w:after="0" w:line="200" w:lineRule="exact"/>
              <w:jc w:val="both"/>
              <w:rPr>
                <w:rFonts w:ascii="Times New Roman" w:eastAsiaTheme="minorEastAsia" w:hAnsi="Times New Roman"/>
                <w:sz w:val="16"/>
                <w:szCs w:val="16"/>
                <w:lang w:eastAsia="zh-HK"/>
              </w:rPr>
            </w:pPr>
          </w:p>
          <w:p w14:paraId="06471D47" w14:textId="0A656123" w:rsidR="00166F86" w:rsidRPr="00724BDD" w:rsidRDefault="00166F86" w:rsidP="00166F86">
            <w:pPr>
              <w:spacing w:after="0" w:line="200" w:lineRule="exact"/>
              <w:jc w:val="both"/>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 xml:space="preserve">Foreign sale </w:t>
            </w:r>
            <w:r>
              <w:rPr>
                <w:rFonts w:ascii="Times New Roman" w:hAnsi="Times New Roman"/>
                <w:sz w:val="16"/>
                <w:szCs w:val="16"/>
                <w:lang w:eastAsia="zh-HK"/>
              </w:rPr>
              <w:t>(WC07101) scaled by the aggregation of foreign sale for the whole sample</w:t>
            </w:r>
          </w:p>
        </w:tc>
      </w:tr>
      <w:tr w:rsidR="003818B4" w:rsidRPr="00B86E32" w14:paraId="09DAEDC1" w14:textId="77777777" w:rsidTr="00247A99">
        <w:tc>
          <w:tcPr>
            <w:tcW w:w="3665" w:type="dxa"/>
            <w:gridSpan w:val="2"/>
          </w:tcPr>
          <w:p w14:paraId="331F7ACE" w14:textId="77777777" w:rsidR="003818B4" w:rsidRDefault="003818B4" w:rsidP="00247A99">
            <w:pPr>
              <w:spacing w:after="0" w:line="200" w:lineRule="exact"/>
              <w:rPr>
                <w:rFonts w:ascii="Times New Roman" w:eastAsiaTheme="minorEastAsia" w:hAnsi="Times New Roman"/>
                <w:sz w:val="16"/>
                <w:szCs w:val="16"/>
                <w:lang w:eastAsia="zh-HK"/>
              </w:rPr>
            </w:pPr>
          </w:p>
          <w:p w14:paraId="59B6FCE3" w14:textId="77777777" w:rsidR="003818B4"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GDP growth</w:t>
            </w:r>
          </w:p>
          <w:p w14:paraId="5C107850" w14:textId="77777777" w:rsidR="003818B4" w:rsidRDefault="003818B4" w:rsidP="00247A99">
            <w:pPr>
              <w:spacing w:after="0" w:line="200" w:lineRule="exact"/>
              <w:rPr>
                <w:rFonts w:ascii="Times New Roman" w:eastAsiaTheme="minorEastAsia" w:hAnsi="Times New Roman"/>
                <w:sz w:val="16"/>
                <w:szCs w:val="16"/>
                <w:lang w:eastAsia="zh-HK"/>
              </w:rPr>
            </w:pPr>
          </w:p>
          <w:p w14:paraId="7EE48BD2" w14:textId="77777777" w:rsidR="003818B4"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Global activities</w:t>
            </w:r>
          </w:p>
          <w:p w14:paraId="20D4F3AC" w14:textId="77777777" w:rsidR="003818B4" w:rsidRDefault="003818B4" w:rsidP="00247A99">
            <w:pPr>
              <w:spacing w:after="0" w:line="200" w:lineRule="exact"/>
              <w:rPr>
                <w:rFonts w:ascii="Times New Roman" w:eastAsiaTheme="minorEastAsia" w:hAnsi="Times New Roman"/>
                <w:sz w:val="16"/>
                <w:szCs w:val="16"/>
                <w:lang w:eastAsia="zh-HK"/>
              </w:rPr>
            </w:pPr>
          </w:p>
          <w:p w14:paraId="05FAA082" w14:textId="04A6D029" w:rsidR="00341E96"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Inflation</w:t>
            </w:r>
          </w:p>
          <w:p w14:paraId="7CBDCC60" w14:textId="77777777" w:rsidR="003818B4" w:rsidRPr="00B86E32" w:rsidRDefault="003818B4" w:rsidP="00247A99">
            <w:pPr>
              <w:spacing w:after="0" w:line="200" w:lineRule="exact"/>
              <w:rPr>
                <w:rFonts w:ascii="Times New Roman" w:eastAsiaTheme="minorEastAsia" w:hAnsi="Times New Roman"/>
                <w:sz w:val="16"/>
                <w:szCs w:val="16"/>
                <w:lang w:eastAsia="zh-HK"/>
              </w:rPr>
            </w:pPr>
          </w:p>
        </w:tc>
        <w:tc>
          <w:tcPr>
            <w:tcW w:w="6400" w:type="dxa"/>
          </w:tcPr>
          <w:p w14:paraId="185686B9" w14:textId="0A30162F" w:rsidR="003818B4" w:rsidRDefault="003818B4" w:rsidP="00247A99">
            <w:pPr>
              <w:spacing w:after="0" w:line="200" w:lineRule="exact"/>
              <w:jc w:val="both"/>
              <w:rPr>
                <w:rFonts w:ascii="Times New Roman" w:eastAsiaTheme="minorEastAsia" w:hAnsi="Times New Roman"/>
                <w:sz w:val="16"/>
                <w:szCs w:val="16"/>
                <w:lang w:eastAsia="zh-HK"/>
              </w:rPr>
            </w:pPr>
          </w:p>
          <w:p w14:paraId="4A7B26D2" w14:textId="77777777" w:rsidR="003818B4" w:rsidRDefault="003818B4" w:rsidP="00247A99">
            <w:pPr>
              <w:spacing w:after="0" w:line="200" w:lineRule="exact"/>
              <w:jc w:val="both"/>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Annual percentage growth of gross domestic product</w:t>
            </w:r>
          </w:p>
          <w:p w14:paraId="718D284B" w14:textId="77777777" w:rsidR="003818B4" w:rsidRDefault="003818B4" w:rsidP="00247A99">
            <w:pPr>
              <w:spacing w:after="0" w:line="200" w:lineRule="exact"/>
              <w:jc w:val="both"/>
              <w:rPr>
                <w:rFonts w:ascii="Times New Roman" w:eastAsiaTheme="minorEastAsia" w:hAnsi="Times New Roman"/>
                <w:sz w:val="16"/>
                <w:szCs w:val="16"/>
                <w:lang w:eastAsia="zh-HK"/>
              </w:rPr>
            </w:pPr>
          </w:p>
          <w:p w14:paraId="4F4FB590" w14:textId="77777777" w:rsidR="003818B4" w:rsidRDefault="003818B4" w:rsidP="00247A99">
            <w:pPr>
              <w:spacing w:after="0" w:line="200" w:lineRule="exact"/>
              <w:jc w:val="both"/>
              <w:rPr>
                <w:rFonts w:ascii="Times New Roman" w:eastAsiaTheme="minorEastAsia" w:hAnsi="Times New Roman"/>
                <w:sz w:val="16"/>
                <w:szCs w:val="16"/>
                <w:lang w:eastAsia="zh-HK"/>
              </w:rPr>
            </w:pPr>
            <w:r>
              <w:rPr>
                <w:rFonts w:ascii="Times New Roman" w:eastAsiaTheme="minorEastAsia" w:hAnsi="Times New Roman"/>
                <w:sz w:val="16"/>
                <w:szCs w:val="16"/>
                <w:lang w:eastAsia="zh-HK"/>
              </w:rPr>
              <w:t>Foreign</w:t>
            </w:r>
            <w:r>
              <w:rPr>
                <w:rFonts w:ascii="Times New Roman" w:eastAsiaTheme="minorEastAsia" w:hAnsi="Times New Roman" w:hint="eastAsia"/>
                <w:sz w:val="16"/>
                <w:szCs w:val="16"/>
                <w:lang w:eastAsia="zh-HK"/>
              </w:rPr>
              <w:t xml:space="preserve"> sales</w:t>
            </w:r>
            <w:r>
              <w:rPr>
                <w:rFonts w:ascii="Times New Roman" w:eastAsiaTheme="minorEastAsia" w:hAnsi="Times New Roman"/>
                <w:sz w:val="16"/>
                <w:szCs w:val="16"/>
                <w:lang w:eastAsia="zh-HK"/>
              </w:rPr>
              <w:t xml:space="preserve"> scaled by total sales (WC08731)</w:t>
            </w:r>
          </w:p>
          <w:p w14:paraId="3FF539F1" w14:textId="77777777" w:rsidR="003818B4" w:rsidRDefault="003818B4" w:rsidP="00247A99">
            <w:pPr>
              <w:spacing w:after="0" w:line="200" w:lineRule="exact"/>
              <w:jc w:val="both"/>
              <w:rPr>
                <w:rFonts w:ascii="Times New Roman" w:eastAsiaTheme="minorEastAsia" w:hAnsi="Times New Roman"/>
                <w:sz w:val="16"/>
                <w:szCs w:val="16"/>
                <w:lang w:eastAsia="zh-HK"/>
              </w:rPr>
            </w:pPr>
          </w:p>
          <w:p w14:paraId="3DBCAA38" w14:textId="77777777" w:rsidR="003818B4" w:rsidRPr="00B86E32" w:rsidRDefault="003818B4" w:rsidP="00247A99">
            <w:pPr>
              <w:spacing w:after="0" w:line="200" w:lineRule="exact"/>
              <w:jc w:val="both"/>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 xml:space="preserve">Inflation measured by </w:t>
            </w:r>
            <w:r>
              <w:rPr>
                <w:rFonts w:ascii="Times New Roman" w:eastAsiaTheme="minorEastAsia" w:hAnsi="Times New Roman"/>
                <w:sz w:val="16"/>
                <w:szCs w:val="16"/>
                <w:lang w:eastAsia="zh-HK"/>
              </w:rPr>
              <w:t>change</w:t>
            </w:r>
            <w:r>
              <w:rPr>
                <w:rFonts w:ascii="Times New Roman" w:eastAsiaTheme="minorEastAsia" w:hAnsi="Times New Roman" w:hint="eastAsia"/>
                <w:sz w:val="16"/>
                <w:szCs w:val="16"/>
                <w:lang w:eastAsia="zh-HK"/>
              </w:rPr>
              <w:t xml:space="preserve"> </w:t>
            </w:r>
            <w:r>
              <w:rPr>
                <w:rFonts w:ascii="Times New Roman" w:eastAsiaTheme="minorEastAsia" w:hAnsi="Times New Roman"/>
                <w:sz w:val="16"/>
                <w:szCs w:val="16"/>
                <w:lang w:eastAsia="zh-HK"/>
              </w:rPr>
              <w:t>in consumer price index</w:t>
            </w:r>
          </w:p>
        </w:tc>
      </w:tr>
      <w:tr w:rsidR="00341E96" w:rsidRPr="00B86E32" w14:paraId="53839FA7" w14:textId="77777777" w:rsidTr="00247A99">
        <w:tc>
          <w:tcPr>
            <w:tcW w:w="3665" w:type="dxa"/>
            <w:gridSpan w:val="2"/>
          </w:tcPr>
          <w:p w14:paraId="5E449830" w14:textId="77777777" w:rsidR="00341E96" w:rsidRDefault="00341E96"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Investment cash flow indicator</w:t>
            </w:r>
          </w:p>
          <w:p w14:paraId="0760C966" w14:textId="7FDD0CE5" w:rsidR="00341E96" w:rsidRDefault="00341E96" w:rsidP="00247A99">
            <w:pPr>
              <w:spacing w:after="0" w:line="200" w:lineRule="exact"/>
              <w:rPr>
                <w:rFonts w:ascii="Times New Roman" w:eastAsiaTheme="minorEastAsia" w:hAnsi="Times New Roman"/>
                <w:sz w:val="16"/>
                <w:szCs w:val="16"/>
                <w:lang w:eastAsia="zh-HK"/>
              </w:rPr>
            </w:pPr>
          </w:p>
        </w:tc>
        <w:tc>
          <w:tcPr>
            <w:tcW w:w="6400" w:type="dxa"/>
          </w:tcPr>
          <w:p w14:paraId="52D77016" w14:textId="77777777" w:rsidR="00341E96" w:rsidRDefault="00341E96" w:rsidP="00341E96">
            <w:pPr>
              <w:spacing w:after="0" w:line="200" w:lineRule="exact"/>
              <w:jc w:val="both"/>
              <w:rPr>
                <w:rFonts w:ascii="Times New Roman" w:eastAsiaTheme="minorEastAsia" w:hAnsi="Times New Roman"/>
                <w:sz w:val="16"/>
                <w:szCs w:val="16"/>
                <w:lang w:eastAsia="zh-HK"/>
              </w:rPr>
            </w:pPr>
            <w:r>
              <w:rPr>
                <w:rFonts w:ascii="Times New Roman" w:eastAsiaTheme="minorEastAsia" w:hAnsi="Times New Roman"/>
                <w:sz w:val="16"/>
                <w:szCs w:val="16"/>
                <w:lang w:eastAsia="zh-HK"/>
              </w:rPr>
              <w:t>S</w:t>
            </w:r>
            <w:r>
              <w:rPr>
                <w:rFonts w:ascii="Times New Roman" w:eastAsiaTheme="minorEastAsia" w:hAnsi="Times New Roman" w:hint="eastAsia"/>
                <w:sz w:val="16"/>
                <w:szCs w:val="16"/>
                <w:lang w:eastAsia="zh-HK"/>
              </w:rPr>
              <w:t xml:space="preserve">um </w:t>
            </w:r>
            <w:r>
              <w:rPr>
                <w:rFonts w:ascii="Times New Roman" w:eastAsiaTheme="minorEastAsia" w:hAnsi="Times New Roman"/>
                <w:sz w:val="16"/>
                <w:szCs w:val="16"/>
                <w:lang w:eastAsia="zh-HK"/>
              </w:rPr>
              <w:t>of cash paid for investment purchases (WC04760) and cash received from investment sales (WC04440), scaled by the aggregation of investment purchases and sales for the whole sample</w:t>
            </w:r>
          </w:p>
          <w:p w14:paraId="271B0B0C" w14:textId="0E865780" w:rsidR="00E27592" w:rsidRDefault="00E27592" w:rsidP="00341E96">
            <w:pPr>
              <w:spacing w:after="0" w:line="200" w:lineRule="exact"/>
              <w:jc w:val="both"/>
              <w:rPr>
                <w:rFonts w:ascii="Times New Roman" w:eastAsiaTheme="minorEastAsia" w:hAnsi="Times New Roman"/>
                <w:sz w:val="16"/>
                <w:szCs w:val="16"/>
                <w:lang w:eastAsia="zh-HK"/>
              </w:rPr>
            </w:pPr>
          </w:p>
        </w:tc>
      </w:tr>
      <w:tr w:rsidR="003818B4" w:rsidRPr="00B86E32" w14:paraId="7003694B" w14:textId="77777777" w:rsidTr="00247A99">
        <w:tc>
          <w:tcPr>
            <w:tcW w:w="3665" w:type="dxa"/>
            <w:gridSpan w:val="2"/>
          </w:tcPr>
          <w:p w14:paraId="2EDFBC90" w14:textId="77777777" w:rsidR="003818B4"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Investment income</w:t>
            </w:r>
          </w:p>
          <w:p w14:paraId="5851A3AC" w14:textId="77777777" w:rsidR="003818B4" w:rsidRDefault="003818B4" w:rsidP="00247A99">
            <w:pPr>
              <w:spacing w:after="0" w:line="200" w:lineRule="exact"/>
              <w:rPr>
                <w:rFonts w:ascii="Times New Roman" w:eastAsiaTheme="minorEastAsia" w:hAnsi="Times New Roman"/>
                <w:sz w:val="16"/>
                <w:szCs w:val="16"/>
                <w:lang w:eastAsia="zh-HK"/>
              </w:rPr>
            </w:pPr>
          </w:p>
        </w:tc>
        <w:tc>
          <w:tcPr>
            <w:tcW w:w="6400" w:type="dxa"/>
          </w:tcPr>
          <w:p w14:paraId="4F00E2A3" w14:textId="77777777" w:rsidR="003818B4" w:rsidRDefault="003818B4" w:rsidP="00247A99">
            <w:pPr>
              <w:spacing w:after="0" w:line="200" w:lineRule="exact"/>
              <w:jc w:val="both"/>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[investment</w:t>
            </w:r>
            <w:r>
              <w:rPr>
                <w:rFonts w:ascii="Times New Roman" w:eastAsiaTheme="minorEastAsia" w:hAnsi="Times New Roman"/>
                <w:sz w:val="16"/>
                <w:szCs w:val="16"/>
                <w:lang w:eastAsia="zh-HK"/>
              </w:rPr>
              <w:t xml:space="preserve"> income (WC01006)] / </w:t>
            </w:r>
            <w:r>
              <w:rPr>
                <w:rFonts w:ascii="Times New Roman" w:hAnsi="Times New Roman"/>
                <w:sz w:val="16"/>
                <w:szCs w:val="16"/>
                <w:lang w:eastAsia="zh-HK"/>
              </w:rPr>
              <w:t>[total assets (WC02999)]</w:t>
            </w:r>
          </w:p>
        </w:tc>
      </w:tr>
      <w:tr w:rsidR="004130B9" w:rsidRPr="00B86E32" w14:paraId="7BEDA7FC" w14:textId="77777777" w:rsidTr="00247A99">
        <w:tc>
          <w:tcPr>
            <w:tcW w:w="3665" w:type="dxa"/>
            <w:gridSpan w:val="2"/>
          </w:tcPr>
          <w:p w14:paraId="7F295BC3" w14:textId="77777777" w:rsidR="004130B9" w:rsidRDefault="004130B9"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Large (1/0)</w:t>
            </w:r>
          </w:p>
          <w:p w14:paraId="09DD4494" w14:textId="44049733" w:rsidR="004130B9" w:rsidRDefault="004130B9" w:rsidP="00247A99">
            <w:pPr>
              <w:spacing w:after="0" w:line="200" w:lineRule="exact"/>
              <w:rPr>
                <w:rFonts w:ascii="Times New Roman" w:eastAsiaTheme="minorEastAsia" w:hAnsi="Times New Roman"/>
                <w:sz w:val="16"/>
                <w:szCs w:val="16"/>
                <w:lang w:eastAsia="zh-HK"/>
              </w:rPr>
            </w:pPr>
          </w:p>
        </w:tc>
        <w:tc>
          <w:tcPr>
            <w:tcW w:w="6400" w:type="dxa"/>
          </w:tcPr>
          <w:p w14:paraId="52D485EE" w14:textId="55AABC34" w:rsidR="004130B9" w:rsidRDefault="004130B9" w:rsidP="004130B9">
            <w:pPr>
              <w:spacing w:after="0" w:line="200" w:lineRule="exact"/>
              <w:jc w:val="both"/>
              <w:rPr>
                <w:rFonts w:ascii="Times New Roman" w:eastAsiaTheme="minorEastAsia" w:hAnsi="Times New Roman"/>
                <w:sz w:val="16"/>
                <w:szCs w:val="16"/>
                <w:lang w:eastAsia="zh-HK"/>
              </w:rPr>
            </w:pPr>
            <w:r>
              <w:rPr>
                <w:rFonts w:ascii="Times New Roman" w:eastAsiaTheme="minorEastAsia" w:hAnsi="Times New Roman"/>
                <w:sz w:val="16"/>
                <w:szCs w:val="16"/>
                <w:lang w:eastAsia="zh-HK"/>
              </w:rPr>
              <w:t xml:space="preserve">The large dummy, which equals to 1 if the insurer’s total assets (WC02999) or </w:t>
            </w:r>
            <w:r w:rsidR="00036B22">
              <w:rPr>
                <w:rFonts w:ascii="Times New Roman" w:eastAsiaTheme="minorEastAsia" w:hAnsi="Times New Roman"/>
                <w:sz w:val="16"/>
                <w:szCs w:val="16"/>
                <w:lang w:eastAsia="zh-HK"/>
              </w:rPr>
              <w:t>insurance reserves</w:t>
            </w:r>
            <w:r w:rsidRPr="004130B9">
              <w:rPr>
                <w:rFonts w:ascii="Times New Roman" w:eastAsiaTheme="minorEastAsia" w:hAnsi="Times New Roman"/>
                <w:sz w:val="16"/>
                <w:szCs w:val="16"/>
                <w:lang w:eastAsia="zh-HK"/>
              </w:rPr>
              <w:t xml:space="preserve"> </w:t>
            </w:r>
            <w:r>
              <w:rPr>
                <w:rFonts w:ascii="Times New Roman" w:hAnsi="Times New Roman"/>
                <w:sz w:val="16"/>
                <w:szCs w:val="16"/>
                <w:lang w:eastAsia="zh-HK"/>
              </w:rPr>
              <w:t>(WC0</w:t>
            </w:r>
            <w:r w:rsidR="00036B22">
              <w:rPr>
                <w:rFonts w:ascii="Times New Roman" w:hAnsi="Times New Roman"/>
                <w:sz w:val="16"/>
                <w:szCs w:val="16"/>
                <w:lang w:eastAsia="zh-HK"/>
              </w:rPr>
              <w:t>3030</w:t>
            </w:r>
            <w:r>
              <w:rPr>
                <w:rFonts w:ascii="Times New Roman" w:hAnsi="Times New Roman"/>
                <w:sz w:val="16"/>
                <w:szCs w:val="16"/>
                <w:lang w:eastAsia="zh-HK"/>
              </w:rPr>
              <w:t xml:space="preserve">) </w:t>
            </w:r>
            <w:r w:rsidRPr="004130B9">
              <w:rPr>
                <w:rFonts w:ascii="Times New Roman" w:eastAsiaTheme="minorEastAsia" w:hAnsi="Times New Roman"/>
                <w:sz w:val="16"/>
                <w:szCs w:val="16"/>
                <w:lang w:eastAsia="zh-HK"/>
              </w:rPr>
              <w:t xml:space="preserve">belong to the upper </w:t>
            </w:r>
            <w:r w:rsidR="00036B22">
              <w:rPr>
                <w:rFonts w:ascii="Times New Roman" w:eastAsiaTheme="minorEastAsia" w:hAnsi="Times New Roman"/>
                <w:sz w:val="16"/>
                <w:szCs w:val="16"/>
                <w:lang w:eastAsia="zh-HK"/>
              </w:rPr>
              <w:t>quartile</w:t>
            </w:r>
            <w:r w:rsidRPr="004130B9">
              <w:rPr>
                <w:rFonts w:ascii="Times New Roman" w:eastAsiaTheme="minorEastAsia" w:hAnsi="Times New Roman"/>
                <w:sz w:val="16"/>
                <w:szCs w:val="16"/>
                <w:lang w:eastAsia="zh-HK"/>
              </w:rPr>
              <w:t xml:space="preserve"> of the whole sample</w:t>
            </w:r>
            <w:r>
              <w:rPr>
                <w:rFonts w:ascii="Times New Roman" w:eastAsiaTheme="minorEastAsia" w:hAnsi="Times New Roman"/>
                <w:sz w:val="16"/>
                <w:szCs w:val="16"/>
                <w:lang w:eastAsia="zh-HK"/>
              </w:rPr>
              <w:t>, and 0 otherwise</w:t>
            </w:r>
          </w:p>
          <w:p w14:paraId="089CA189" w14:textId="6B91C8E2" w:rsidR="004130B9" w:rsidRDefault="004130B9" w:rsidP="004130B9">
            <w:pPr>
              <w:spacing w:after="0" w:line="200" w:lineRule="exact"/>
              <w:jc w:val="both"/>
              <w:rPr>
                <w:rFonts w:ascii="Times New Roman" w:eastAsiaTheme="minorEastAsia" w:hAnsi="Times New Roman"/>
                <w:sz w:val="16"/>
                <w:szCs w:val="16"/>
                <w:lang w:eastAsia="zh-HK"/>
              </w:rPr>
            </w:pPr>
          </w:p>
        </w:tc>
      </w:tr>
      <w:tr w:rsidR="003818B4" w:rsidRPr="00B86E32" w14:paraId="2D37D6AD" w14:textId="77777777" w:rsidTr="00247A99">
        <w:tc>
          <w:tcPr>
            <w:tcW w:w="3665" w:type="dxa"/>
            <w:gridSpan w:val="2"/>
          </w:tcPr>
          <w:p w14:paraId="4DEB5988" w14:textId="77777777" w:rsidR="003818B4"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Leverage</w:t>
            </w:r>
          </w:p>
          <w:p w14:paraId="58D696D6" w14:textId="77777777" w:rsidR="003818B4" w:rsidRPr="00B86E32" w:rsidRDefault="003818B4" w:rsidP="00247A99">
            <w:pPr>
              <w:spacing w:after="0" w:line="200" w:lineRule="exact"/>
              <w:rPr>
                <w:rFonts w:ascii="Times New Roman" w:eastAsiaTheme="minorEastAsia" w:hAnsi="Times New Roman"/>
                <w:sz w:val="16"/>
                <w:szCs w:val="16"/>
                <w:lang w:eastAsia="zh-HK"/>
              </w:rPr>
            </w:pPr>
          </w:p>
        </w:tc>
        <w:tc>
          <w:tcPr>
            <w:tcW w:w="6400" w:type="dxa"/>
          </w:tcPr>
          <w:p w14:paraId="3B65872E" w14:textId="77777777" w:rsidR="003818B4" w:rsidRDefault="003818B4" w:rsidP="00247A99">
            <w:pPr>
              <w:spacing w:after="0" w:line="200" w:lineRule="exact"/>
              <w:jc w:val="both"/>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[book value of asset</w:t>
            </w:r>
            <w:r>
              <w:rPr>
                <w:rFonts w:ascii="Times New Roman" w:eastAsiaTheme="minorEastAsia" w:hAnsi="Times New Roman"/>
                <w:sz w:val="16"/>
                <w:szCs w:val="16"/>
                <w:lang w:eastAsia="zh-HK"/>
              </w:rPr>
              <w:t xml:space="preserve"> (WC02999) – book value of equity (WC03501) + market value of equity (WC08001)] / [market value of equity (WC08001)]</w:t>
            </w:r>
          </w:p>
          <w:p w14:paraId="40FFB7B8" w14:textId="77777777" w:rsidR="003818B4" w:rsidRPr="00B86E32" w:rsidRDefault="003818B4" w:rsidP="00247A99">
            <w:pPr>
              <w:spacing w:after="0" w:line="200" w:lineRule="exact"/>
              <w:jc w:val="both"/>
              <w:rPr>
                <w:rFonts w:ascii="Times New Roman" w:eastAsiaTheme="minorEastAsia" w:hAnsi="Times New Roman"/>
                <w:sz w:val="16"/>
                <w:szCs w:val="16"/>
                <w:lang w:eastAsia="zh-HK"/>
              </w:rPr>
            </w:pPr>
          </w:p>
        </w:tc>
      </w:tr>
      <w:tr w:rsidR="003818B4" w:rsidRPr="00B86E32" w14:paraId="5DF0E4CE" w14:textId="77777777" w:rsidTr="00247A99">
        <w:tc>
          <w:tcPr>
            <w:tcW w:w="3665" w:type="dxa"/>
            <w:gridSpan w:val="2"/>
          </w:tcPr>
          <w:p w14:paraId="5233739A" w14:textId="77777777" w:rsidR="003818B4" w:rsidRDefault="003818B4" w:rsidP="00247A99">
            <w:pPr>
              <w:spacing w:after="0" w:line="200" w:lineRule="exact"/>
              <w:rPr>
                <w:rFonts w:ascii="Times New Roman" w:eastAsiaTheme="minorEastAsia" w:hAnsi="Times New Roman"/>
                <w:sz w:val="16"/>
                <w:szCs w:val="16"/>
                <w:lang w:eastAsia="zh-HK"/>
              </w:rPr>
            </w:pPr>
            <w:r>
              <w:rPr>
                <w:rFonts w:ascii="Times New Roman" w:hAnsi="Times New Roman"/>
                <w:sz w:val="16"/>
                <w:szCs w:val="16"/>
                <w:lang w:eastAsia="zh-HK"/>
              </w:rPr>
              <w:t>Life</w:t>
            </w:r>
            <w:r w:rsidRPr="00B86E32">
              <w:rPr>
                <w:rFonts w:ascii="Times New Roman" w:hAnsi="Times New Roman"/>
                <w:sz w:val="16"/>
                <w:szCs w:val="16"/>
                <w:lang w:eastAsia="zh-HK"/>
              </w:rPr>
              <w:t xml:space="preserve"> (1/0)</w:t>
            </w:r>
          </w:p>
        </w:tc>
        <w:tc>
          <w:tcPr>
            <w:tcW w:w="6400" w:type="dxa"/>
          </w:tcPr>
          <w:p w14:paraId="1AE6C319" w14:textId="1BE055D5" w:rsidR="003818B4" w:rsidRPr="00B86E32" w:rsidRDefault="003818B4" w:rsidP="00247A99">
            <w:pPr>
              <w:spacing w:after="0" w:line="200" w:lineRule="exact"/>
              <w:rPr>
                <w:rFonts w:ascii="Times New Roman" w:eastAsiaTheme="minorEastAsia" w:hAnsi="Times New Roman"/>
                <w:sz w:val="16"/>
                <w:szCs w:val="16"/>
                <w:lang w:eastAsia="zh-HK"/>
              </w:rPr>
            </w:pPr>
            <w:r w:rsidRPr="00B86E32">
              <w:rPr>
                <w:rFonts w:ascii="Times New Roman" w:hAnsi="Times New Roman"/>
                <w:sz w:val="16"/>
                <w:szCs w:val="16"/>
                <w:lang w:eastAsia="zh-HK"/>
              </w:rPr>
              <w:t xml:space="preserve">The </w:t>
            </w:r>
            <w:r>
              <w:rPr>
                <w:rFonts w:ascii="Times New Roman" w:hAnsi="Times New Roman"/>
                <w:sz w:val="16"/>
                <w:szCs w:val="16"/>
                <w:lang w:eastAsia="zh-HK"/>
              </w:rPr>
              <w:t>life</w:t>
            </w:r>
            <w:r w:rsidRPr="00B86E32">
              <w:rPr>
                <w:rFonts w:ascii="Times New Roman" w:hAnsi="Times New Roman"/>
                <w:sz w:val="16"/>
                <w:szCs w:val="16"/>
                <w:lang w:eastAsia="zh-HK"/>
              </w:rPr>
              <w:t xml:space="preserve"> </w:t>
            </w:r>
            <w:r>
              <w:rPr>
                <w:rFonts w:ascii="Times New Roman" w:hAnsi="Times New Roman"/>
                <w:sz w:val="16"/>
                <w:szCs w:val="16"/>
                <w:lang w:eastAsia="zh-HK"/>
              </w:rPr>
              <w:t>dummy</w:t>
            </w:r>
            <w:r w:rsidRPr="00B86E32">
              <w:rPr>
                <w:rFonts w:ascii="Times New Roman" w:hAnsi="Times New Roman"/>
                <w:sz w:val="16"/>
                <w:szCs w:val="16"/>
                <w:lang w:eastAsia="zh-HK"/>
              </w:rPr>
              <w:t xml:space="preserve">, which equals </w:t>
            </w:r>
            <w:r>
              <w:rPr>
                <w:rFonts w:ascii="Times New Roman" w:hAnsi="Times New Roman"/>
                <w:sz w:val="16"/>
                <w:szCs w:val="16"/>
                <w:lang w:eastAsia="zh-HK"/>
              </w:rPr>
              <w:t xml:space="preserve">to </w:t>
            </w:r>
            <w:r w:rsidRPr="00B86E32">
              <w:rPr>
                <w:rFonts w:ascii="Times New Roman" w:hAnsi="Times New Roman"/>
                <w:sz w:val="16"/>
                <w:szCs w:val="16"/>
                <w:lang w:eastAsia="zh-HK"/>
              </w:rPr>
              <w:t xml:space="preserve">1 </w:t>
            </w:r>
            <w:r>
              <w:rPr>
                <w:rFonts w:ascii="Times New Roman" w:hAnsi="Times New Roman"/>
                <w:sz w:val="16"/>
                <w:szCs w:val="16"/>
                <w:lang w:eastAsia="zh-HK"/>
              </w:rPr>
              <w:t>for life insurers</w:t>
            </w:r>
            <w:r w:rsidR="007B0A09">
              <w:rPr>
                <w:rFonts w:ascii="Times New Roman" w:hAnsi="Times New Roman"/>
                <w:sz w:val="16"/>
                <w:szCs w:val="16"/>
                <w:lang w:eastAsia="zh-HK"/>
              </w:rPr>
              <w:t xml:space="preserve"> (SIC code 6311 or 6321)</w:t>
            </w:r>
            <w:r>
              <w:rPr>
                <w:rFonts w:ascii="Times New Roman" w:hAnsi="Times New Roman"/>
                <w:sz w:val="16"/>
                <w:szCs w:val="16"/>
                <w:lang w:eastAsia="zh-HK"/>
              </w:rPr>
              <w:t>,</w:t>
            </w:r>
            <w:r w:rsidRPr="00B86E32">
              <w:rPr>
                <w:rFonts w:ascii="Times New Roman" w:hAnsi="Times New Roman"/>
                <w:sz w:val="16"/>
                <w:szCs w:val="16"/>
                <w:lang w:eastAsia="zh-HK"/>
              </w:rPr>
              <w:t xml:space="preserve"> and 0 </w:t>
            </w:r>
            <w:r>
              <w:rPr>
                <w:rFonts w:ascii="Times New Roman" w:hAnsi="Times New Roman"/>
                <w:sz w:val="16"/>
                <w:szCs w:val="16"/>
                <w:lang w:eastAsia="zh-HK"/>
              </w:rPr>
              <w:t>for non-life insurers</w:t>
            </w:r>
          </w:p>
          <w:p w14:paraId="21D75BFE" w14:textId="77777777" w:rsidR="003818B4" w:rsidRDefault="003818B4" w:rsidP="00247A99">
            <w:pPr>
              <w:spacing w:after="0" w:line="200" w:lineRule="exact"/>
              <w:jc w:val="both"/>
              <w:rPr>
                <w:rFonts w:ascii="Times New Roman" w:eastAsiaTheme="minorEastAsia" w:hAnsi="Times New Roman"/>
                <w:sz w:val="16"/>
                <w:szCs w:val="16"/>
                <w:lang w:eastAsia="zh-HK"/>
              </w:rPr>
            </w:pPr>
          </w:p>
        </w:tc>
      </w:tr>
      <w:tr w:rsidR="003818B4" w:rsidRPr="00B86E32" w14:paraId="2C2C1D1E" w14:textId="77777777" w:rsidTr="00247A99">
        <w:tc>
          <w:tcPr>
            <w:tcW w:w="3665" w:type="dxa"/>
            <w:gridSpan w:val="2"/>
          </w:tcPr>
          <w:p w14:paraId="7D86A240"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Liquidity</w:t>
            </w:r>
          </w:p>
          <w:p w14:paraId="310B7546" w14:textId="77777777" w:rsidR="003818B4" w:rsidRDefault="003818B4" w:rsidP="00247A99">
            <w:pPr>
              <w:spacing w:after="0" w:line="200" w:lineRule="exact"/>
              <w:rPr>
                <w:rFonts w:ascii="Times New Roman" w:hAnsi="Times New Roman"/>
                <w:sz w:val="16"/>
                <w:szCs w:val="16"/>
                <w:lang w:eastAsia="zh-HK"/>
              </w:rPr>
            </w:pPr>
          </w:p>
        </w:tc>
        <w:tc>
          <w:tcPr>
            <w:tcW w:w="6400" w:type="dxa"/>
          </w:tcPr>
          <w:p w14:paraId="1F9EDA5E" w14:textId="77777777" w:rsidR="003818B4" w:rsidRPr="00B86E32"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w:t>
            </w:r>
            <w:r>
              <w:rPr>
                <w:rFonts w:ascii="Times New Roman" w:hAnsi="Times New Roman"/>
                <w:sz w:val="16"/>
                <w:szCs w:val="16"/>
                <w:lang w:eastAsia="zh-HK"/>
              </w:rPr>
              <w:t>long term debts (WC03251)] / [total debts (WC03255)]</w:t>
            </w:r>
          </w:p>
        </w:tc>
      </w:tr>
      <w:tr w:rsidR="003818B4" w:rsidRPr="00B86E32" w14:paraId="39522A44" w14:textId="77777777" w:rsidTr="00247A99">
        <w:tc>
          <w:tcPr>
            <w:tcW w:w="3665" w:type="dxa"/>
            <w:gridSpan w:val="2"/>
          </w:tcPr>
          <w:p w14:paraId="3365E0FD" w14:textId="77777777" w:rsidR="003818B4" w:rsidRPr="00B86E32" w:rsidRDefault="003818B4" w:rsidP="00247A99">
            <w:pPr>
              <w:spacing w:after="0" w:line="200" w:lineRule="exact"/>
              <w:rPr>
                <w:rFonts w:ascii="Times New Roman" w:hAnsi="Times New Roman"/>
                <w:sz w:val="16"/>
                <w:szCs w:val="16"/>
                <w:lang w:eastAsia="zh-HK"/>
              </w:rPr>
            </w:pPr>
            <w:r>
              <w:rPr>
                <w:rFonts w:ascii="Times New Roman" w:eastAsiaTheme="minorEastAsia" w:hAnsi="Times New Roman"/>
                <w:sz w:val="16"/>
                <w:szCs w:val="16"/>
                <w:lang w:eastAsia="zh-HK"/>
              </w:rPr>
              <w:t>Log(Assets in billions)</w:t>
            </w:r>
          </w:p>
        </w:tc>
        <w:tc>
          <w:tcPr>
            <w:tcW w:w="6400" w:type="dxa"/>
          </w:tcPr>
          <w:p w14:paraId="667522A0" w14:textId="77777777" w:rsidR="003818B4"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sz w:val="16"/>
                <w:szCs w:val="16"/>
                <w:lang w:eastAsia="zh-HK"/>
              </w:rPr>
              <w:t>Natural logarithm of total assets (WC02999) in billions</w:t>
            </w:r>
          </w:p>
          <w:p w14:paraId="36BE305D" w14:textId="77777777" w:rsidR="003818B4" w:rsidRPr="00B86E32" w:rsidRDefault="003818B4" w:rsidP="00247A99">
            <w:pPr>
              <w:spacing w:after="0" w:line="200" w:lineRule="exact"/>
              <w:rPr>
                <w:rFonts w:ascii="Times New Roman" w:eastAsiaTheme="minorEastAsia" w:hAnsi="Times New Roman"/>
                <w:sz w:val="16"/>
                <w:szCs w:val="16"/>
                <w:lang w:eastAsia="zh-HK"/>
              </w:rPr>
            </w:pPr>
          </w:p>
        </w:tc>
      </w:tr>
      <w:tr w:rsidR="003818B4" w:rsidRPr="00B86E32" w14:paraId="36D843AE" w14:textId="77777777" w:rsidTr="00247A99">
        <w:tc>
          <w:tcPr>
            <w:tcW w:w="3665" w:type="dxa"/>
            <w:gridSpan w:val="2"/>
          </w:tcPr>
          <w:p w14:paraId="202C3B50" w14:textId="77777777" w:rsidR="003818B4"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Loss ratio</w:t>
            </w:r>
          </w:p>
        </w:tc>
        <w:tc>
          <w:tcPr>
            <w:tcW w:w="6400" w:type="dxa"/>
          </w:tcPr>
          <w:p w14:paraId="5BEC1FE9" w14:textId="77777777" w:rsidR="003818B4"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 xml:space="preserve">The aggregate of claims and </w:t>
            </w:r>
            <w:r>
              <w:rPr>
                <w:rFonts w:ascii="Times New Roman" w:eastAsiaTheme="minorEastAsia" w:hAnsi="Times New Roman"/>
                <w:sz w:val="16"/>
                <w:szCs w:val="16"/>
                <w:lang w:eastAsia="zh-HK"/>
              </w:rPr>
              <w:t>change</w:t>
            </w:r>
            <w:r>
              <w:rPr>
                <w:rFonts w:ascii="Times New Roman" w:eastAsiaTheme="minorEastAsia" w:hAnsi="Times New Roman" w:hint="eastAsia"/>
                <w:sz w:val="16"/>
                <w:szCs w:val="16"/>
                <w:lang w:eastAsia="zh-HK"/>
              </w:rPr>
              <w:t xml:space="preserve"> in reserve divided by earned premium (WC</w:t>
            </w:r>
            <w:r>
              <w:rPr>
                <w:rFonts w:ascii="Times New Roman" w:eastAsiaTheme="minorEastAsia" w:hAnsi="Times New Roman"/>
                <w:sz w:val="16"/>
                <w:szCs w:val="16"/>
                <w:lang w:eastAsia="zh-HK"/>
              </w:rPr>
              <w:t>15549)</w:t>
            </w:r>
          </w:p>
          <w:p w14:paraId="0C912229" w14:textId="77777777" w:rsidR="003818B4" w:rsidRDefault="003818B4" w:rsidP="00247A99">
            <w:pPr>
              <w:spacing w:after="0" w:line="200" w:lineRule="exact"/>
              <w:rPr>
                <w:rFonts w:ascii="Times New Roman" w:eastAsiaTheme="minorEastAsia" w:hAnsi="Times New Roman"/>
                <w:sz w:val="16"/>
                <w:szCs w:val="16"/>
                <w:lang w:eastAsia="zh-HK"/>
              </w:rPr>
            </w:pPr>
          </w:p>
        </w:tc>
      </w:tr>
      <w:tr w:rsidR="003818B4" w:rsidRPr="00B86E32" w14:paraId="419BFD92" w14:textId="77777777" w:rsidTr="00247A99">
        <w:tc>
          <w:tcPr>
            <w:tcW w:w="3665" w:type="dxa"/>
            <w:gridSpan w:val="2"/>
          </w:tcPr>
          <w:p w14:paraId="21A93A50" w14:textId="77777777" w:rsidR="003818B4"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Market-to-book ratio</w:t>
            </w:r>
          </w:p>
          <w:p w14:paraId="742EC934" w14:textId="77777777" w:rsidR="003818B4" w:rsidRDefault="003818B4" w:rsidP="00247A99">
            <w:pPr>
              <w:spacing w:after="0" w:line="200" w:lineRule="exact"/>
              <w:rPr>
                <w:rFonts w:ascii="Times New Roman" w:eastAsiaTheme="minorEastAsia" w:hAnsi="Times New Roman"/>
                <w:sz w:val="16"/>
                <w:szCs w:val="16"/>
                <w:lang w:eastAsia="zh-HK"/>
              </w:rPr>
            </w:pPr>
          </w:p>
        </w:tc>
        <w:tc>
          <w:tcPr>
            <w:tcW w:w="6400" w:type="dxa"/>
          </w:tcPr>
          <w:p w14:paraId="41E9CE4B" w14:textId="77777777" w:rsidR="003818B4"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w:t>
            </w:r>
            <w:r>
              <w:rPr>
                <w:rFonts w:ascii="Times New Roman" w:eastAsiaTheme="minorEastAsia" w:hAnsi="Times New Roman"/>
                <w:sz w:val="16"/>
                <w:szCs w:val="16"/>
                <w:lang w:eastAsia="zh-HK"/>
              </w:rPr>
              <w:t>market value of equity (WC08001)] / [book value of equity (WC03501)]</w:t>
            </w:r>
          </w:p>
        </w:tc>
      </w:tr>
      <w:tr w:rsidR="003818B4" w:rsidRPr="00B86E32" w14:paraId="5CFDCCD6" w14:textId="77777777" w:rsidTr="00247A99">
        <w:tc>
          <w:tcPr>
            <w:tcW w:w="3665" w:type="dxa"/>
            <w:gridSpan w:val="2"/>
          </w:tcPr>
          <w:p w14:paraId="185B9A37" w14:textId="77777777" w:rsidR="003818B4"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MES</w:t>
            </w:r>
          </w:p>
        </w:tc>
        <w:tc>
          <w:tcPr>
            <w:tcW w:w="6400" w:type="dxa"/>
          </w:tcPr>
          <w:p w14:paraId="0D37F119" w14:textId="1F408E7F" w:rsidR="003818B4" w:rsidRDefault="00A96B89"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Marginal E</w:t>
            </w:r>
            <w:r w:rsidR="003818B4">
              <w:rPr>
                <w:rFonts w:ascii="Times New Roman" w:eastAsiaTheme="minorEastAsia" w:hAnsi="Times New Roman" w:hint="eastAsia"/>
                <w:sz w:val="16"/>
                <w:szCs w:val="16"/>
                <w:lang w:eastAsia="zh-HK"/>
              </w:rPr>
              <w:t xml:space="preserve">xpected </w:t>
            </w:r>
            <w:r>
              <w:rPr>
                <w:rFonts w:ascii="Times New Roman" w:eastAsiaTheme="minorEastAsia" w:hAnsi="Times New Roman"/>
                <w:sz w:val="16"/>
                <w:szCs w:val="16"/>
                <w:lang w:eastAsia="zh-HK"/>
              </w:rPr>
              <w:t>S</w:t>
            </w:r>
            <w:r w:rsidR="003818B4">
              <w:rPr>
                <w:rFonts w:ascii="Times New Roman" w:eastAsiaTheme="minorEastAsia" w:hAnsi="Times New Roman" w:hint="eastAsia"/>
                <w:sz w:val="16"/>
                <w:szCs w:val="16"/>
                <w:lang w:eastAsia="zh-HK"/>
              </w:rPr>
              <w:t>hortfall is the</w:t>
            </w:r>
            <w:r w:rsidR="003818B4" w:rsidRPr="00934EAD">
              <w:rPr>
                <w:rFonts w:ascii="Times New Roman" w:eastAsiaTheme="minorEastAsia" w:hAnsi="Times New Roman"/>
                <w:sz w:val="16"/>
                <w:szCs w:val="16"/>
                <w:lang w:eastAsia="zh-HK"/>
              </w:rPr>
              <w:t xml:space="preserve"> losses of a</w:t>
            </w:r>
            <w:r w:rsidR="003818B4">
              <w:rPr>
                <w:rFonts w:ascii="Times New Roman" w:eastAsiaTheme="minorEastAsia" w:hAnsi="Times New Roman"/>
                <w:sz w:val="16"/>
                <w:szCs w:val="16"/>
                <w:lang w:eastAsia="zh-HK"/>
              </w:rPr>
              <w:t>n</w:t>
            </w:r>
            <w:r w:rsidR="003818B4" w:rsidRPr="00934EAD">
              <w:rPr>
                <w:rFonts w:ascii="Times New Roman" w:eastAsiaTheme="minorEastAsia" w:hAnsi="Times New Roman"/>
                <w:sz w:val="16"/>
                <w:szCs w:val="16"/>
                <w:lang w:eastAsia="zh-HK"/>
              </w:rPr>
              <w:t xml:space="preserve"> </w:t>
            </w:r>
            <w:r w:rsidR="003818B4">
              <w:rPr>
                <w:rFonts w:ascii="Times New Roman" w:eastAsiaTheme="minorEastAsia" w:hAnsi="Times New Roman"/>
                <w:sz w:val="16"/>
                <w:szCs w:val="16"/>
                <w:lang w:eastAsia="zh-HK"/>
              </w:rPr>
              <w:t>insurer</w:t>
            </w:r>
            <w:r w:rsidR="003818B4" w:rsidRPr="00934EAD">
              <w:rPr>
                <w:rFonts w:ascii="Times New Roman" w:eastAsiaTheme="minorEastAsia" w:hAnsi="Times New Roman"/>
                <w:sz w:val="16"/>
                <w:szCs w:val="16"/>
                <w:lang w:eastAsia="zh-HK"/>
              </w:rPr>
              <w:t xml:space="preserve"> in the tail of the aggregate sector’s loss distribution</w:t>
            </w:r>
            <w:r w:rsidR="003818B4">
              <w:rPr>
                <w:rFonts w:ascii="Times New Roman" w:eastAsiaTheme="minorEastAsia" w:hAnsi="Times New Roman"/>
                <w:sz w:val="16"/>
                <w:szCs w:val="16"/>
                <w:lang w:eastAsia="zh-HK"/>
              </w:rPr>
              <w:t>. Refer to section 2.2 for detailed methodology and calculation.</w:t>
            </w:r>
          </w:p>
          <w:p w14:paraId="3628F9A4" w14:textId="77777777" w:rsidR="003818B4" w:rsidRDefault="003818B4" w:rsidP="00247A99">
            <w:pPr>
              <w:spacing w:after="0" w:line="200" w:lineRule="exact"/>
              <w:rPr>
                <w:rFonts w:ascii="Times New Roman" w:eastAsiaTheme="minorEastAsia" w:hAnsi="Times New Roman"/>
                <w:sz w:val="16"/>
                <w:szCs w:val="16"/>
                <w:lang w:eastAsia="zh-HK"/>
              </w:rPr>
            </w:pPr>
          </w:p>
        </w:tc>
      </w:tr>
      <w:tr w:rsidR="003818B4" w:rsidRPr="00B86E32" w14:paraId="47A0EAC8" w14:textId="77777777" w:rsidTr="00247A99">
        <w:tc>
          <w:tcPr>
            <w:tcW w:w="3665" w:type="dxa"/>
            <w:gridSpan w:val="2"/>
          </w:tcPr>
          <w:p w14:paraId="0FA819CB" w14:textId="77777777" w:rsidR="003818B4" w:rsidRPr="00B86E32"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Non-insurance activities</w:t>
            </w:r>
          </w:p>
        </w:tc>
        <w:tc>
          <w:tcPr>
            <w:tcW w:w="6400" w:type="dxa"/>
          </w:tcPr>
          <w:p w14:paraId="3EF23160"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w:t>
            </w:r>
            <w:r>
              <w:rPr>
                <w:rFonts w:ascii="Times New Roman" w:hAnsi="Times New Roman"/>
                <w:sz w:val="16"/>
                <w:szCs w:val="16"/>
                <w:lang w:eastAsia="zh-HK"/>
              </w:rPr>
              <w:t>total liabilities (WC03351) – insurance reserves (WC03030)] / [total liabilities (WC03351)]</w:t>
            </w:r>
          </w:p>
          <w:p w14:paraId="6C5D054A" w14:textId="77777777" w:rsidR="003818B4" w:rsidRPr="00B22286" w:rsidRDefault="003818B4" w:rsidP="00247A99">
            <w:pPr>
              <w:spacing w:after="0" w:line="200" w:lineRule="exact"/>
              <w:rPr>
                <w:rFonts w:ascii="Times New Roman" w:hAnsi="Times New Roman"/>
                <w:sz w:val="16"/>
                <w:szCs w:val="16"/>
                <w:lang w:eastAsia="zh-HK"/>
              </w:rPr>
            </w:pPr>
          </w:p>
        </w:tc>
      </w:tr>
      <w:tr w:rsidR="00036B22" w:rsidRPr="00B86E32" w14:paraId="1939E578" w14:textId="77777777" w:rsidTr="00247A99">
        <w:tc>
          <w:tcPr>
            <w:tcW w:w="3665" w:type="dxa"/>
            <w:gridSpan w:val="2"/>
          </w:tcPr>
          <w:p w14:paraId="33E85C5E" w14:textId="77777777" w:rsidR="00036B22" w:rsidRDefault="00036B22"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Non-insurance revenue indicator</w:t>
            </w:r>
          </w:p>
          <w:p w14:paraId="07E6BD36" w14:textId="09C3B44B" w:rsidR="00036B22" w:rsidRDefault="00036B22" w:rsidP="00247A99">
            <w:pPr>
              <w:spacing w:after="0" w:line="200" w:lineRule="exact"/>
              <w:rPr>
                <w:rFonts w:ascii="Times New Roman" w:hAnsi="Times New Roman"/>
                <w:sz w:val="16"/>
                <w:szCs w:val="16"/>
                <w:lang w:eastAsia="zh-HK"/>
              </w:rPr>
            </w:pPr>
          </w:p>
        </w:tc>
        <w:tc>
          <w:tcPr>
            <w:tcW w:w="6400" w:type="dxa"/>
          </w:tcPr>
          <w:p w14:paraId="2CA6A70E" w14:textId="77777777" w:rsidR="00036B22" w:rsidRDefault="00036B22" w:rsidP="00247A99">
            <w:pPr>
              <w:spacing w:after="0" w:line="200" w:lineRule="exact"/>
              <w:rPr>
                <w:rFonts w:ascii="Times New Roman" w:hAnsi="Times New Roman"/>
                <w:sz w:val="16"/>
                <w:szCs w:val="16"/>
                <w:lang w:eastAsia="zh-HK"/>
              </w:rPr>
            </w:pPr>
            <w:r>
              <w:rPr>
                <w:rFonts w:ascii="Times New Roman" w:hAnsi="Times New Roman"/>
                <w:sz w:val="16"/>
                <w:szCs w:val="16"/>
                <w:lang w:eastAsia="zh-HK"/>
              </w:rPr>
              <w:t>Other incomes besides operating incomes (WC01262) scaled by the aggregation of other incomes besides operating incomes for the whole sample</w:t>
            </w:r>
          </w:p>
          <w:p w14:paraId="39F57944" w14:textId="4026D42D" w:rsidR="00036B22" w:rsidRDefault="00036B22" w:rsidP="00247A99">
            <w:pPr>
              <w:spacing w:after="0" w:line="200" w:lineRule="exact"/>
              <w:rPr>
                <w:rFonts w:ascii="Times New Roman" w:hAnsi="Times New Roman"/>
                <w:sz w:val="16"/>
                <w:szCs w:val="16"/>
                <w:lang w:eastAsia="zh-HK"/>
              </w:rPr>
            </w:pPr>
            <w:r>
              <w:rPr>
                <w:rFonts w:ascii="Times New Roman" w:hAnsi="Times New Roman"/>
                <w:sz w:val="16"/>
                <w:szCs w:val="16"/>
                <w:lang w:eastAsia="zh-HK"/>
              </w:rPr>
              <w:t xml:space="preserve"> </w:t>
            </w:r>
          </w:p>
        </w:tc>
      </w:tr>
      <w:tr w:rsidR="003200D9" w:rsidRPr="00B86E32" w14:paraId="1EDAAF0D" w14:textId="77777777" w:rsidTr="00247A99">
        <w:tc>
          <w:tcPr>
            <w:tcW w:w="3665" w:type="dxa"/>
            <w:gridSpan w:val="2"/>
          </w:tcPr>
          <w:p w14:paraId="11DA8AF3" w14:textId="77777777" w:rsidR="003200D9" w:rsidRDefault="003200D9"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Non-policyholder liability indicator</w:t>
            </w:r>
          </w:p>
          <w:p w14:paraId="1641BB65" w14:textId="655891B4" w:rsidR="003200D9" w:rsidRDefault="003200D9" w:rsidP="00247A99">
            <w:pPr>
              <w:spacing w:after="0" w:line="200" w:lineRule="exact"/>
              <w:rPr>
                <w:rFonts w:ascii="Times New Roman" w:hAnsi="Times New Roman"/>
                <w:sz w:val="16"/>
                <w:szCs w:val="16"/>
                <w:lang w:eastAsia="zh-HK"/>
              </w:rPr>
            </w:pPr>
          </w:p>
        </w:tc>
        <w:tc>
          <w:tcPr>
            <w:tcW w:w="6400" w:type="dxa"/>
          </w:tcPr>
          <w:p w14:paraId="48380935" w14:textId="1CB20835" w:rsidR="003200D9" w:rsidRDefault="003200D9"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 xml:space="preserve">The difference between total liabilities (WC03351) and insurance reserves (WC03030), scaled by the aggregation of </w:t>
            </w:r>
            <w:r>
              <w:rPr>
                <w:rFonts w:ascii="Times New Roman" w:hAnsi="Times New Roman"/>
                <w:sz w:val="16"/>
                <w:szCs w:val="16"/>
                <w:lang w:eastAsia="zh-HK"/>
              </w:rPr>
              <w:t>the difference between total liabilities and insurance reserves for the whole sample</w:t>
            </w:r>
          </w:p>
          <w:p w14:paraId="72BEDABE" w14:textId="4AAC1F42" w:rsidR="003200D9" w:rsidRDefault="003200D9" w:rsidP="00247A99">
            <w:pPr>
              <w:spacing w:after="0" w:line="200" w:lineRule="exact"/>
              <w:rPr>
                <w:rFonts w:ascii="Times New Roman" w:hAnsi="Times New Roman"/>
                <w:sz w:val="16"/>
                <w:szCs w:val="16"/>
                <w:lang w:eastAsia="zh-HK"/>
              </w:rPr>
            </w:pPr>
          </w:p>
        </w:tc>
      </w:tr>
      <w:tr w:rsidR="003818B4" w:rsidRPr="00B86E32" w14:paraId="61BC193E" w14:textId="77777777" w:rsidTr="00247A99">
        <w:tc>
          <w:tcPr>
            <w:tcW w:w="3665" w:type="dxa"/>
            <w:gridSpan w:val="2"/>
          </w:tcPr>
          <w:p w14:paraId="035BE116"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lastRenderedPageBreak/>
              <w:t>Operating expenses</w:t>
            </w:r>
          </w:p>
          <w:p w14:paraId="76D6C814" w14:textId="77777777" w:rsidR="003818B4" w:rsidRDefault="003818B4" w:rsidP="00247A99">
            <w:pPr>
              <w:spacing w:after="0" w:line="200" w:lineRule="exact"/>
              <w:rPr>
                <w:rFonts w:ascii="Times New Roman" w:hAnsi="Times New Roman"/>
                <w:sz w:val="16"/>
                <w:szCs w:val="16"/>
                <w:lang w:eastAsia="zh-HK"/>
              </w:rPr>
            </w:pPr>
          </w:p>
        </w:tc>
        <w:tc>
          <w:tcPr>
            <w:tcW w:w="6400" w:type="dxa"/>
          </w:tcPr>
          <w:p w14:paraId="28C6A539"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[operating expenses (</w:t>
            </w:r>
            <w:r>
              <w:rPr>
                <w:rFonts w:ascii="Times New Roman" w:hAnsi="Times New Roman"/>
                <w:sz w:val="16"/>
                <w:szCs w:val="16"/>
                <w:lang w:eastAsia="zh-HK"/>
              </w:rPr>
              <w:t xml:space="preserve">WC01249)] / [net sales or </w:t>
            </w:r>
            <w:r w:rsidRPr="00B374E7">
              <w:rPr>
                <w:rFonts w:ascii="Times New Roman" w:hAnsi="Times New Roman"/>
                <w:sz w:val="16"/>
                <w:szCs w:val="16"/>
                <w:lang w:eastAsia="zh-HK"/>
              </w:rPr>
              <w:t>revenues</w:t>
            </w:r>
            <w:r>
              <w:rPr>
                <w:rFonts w:ascii="Times New Roman" w:hAnsi="Times New Roman"/>
                <w:sz w:val="16"/>
                <w:szCs w:val="16"/>
                <w:lang w:eastAsia="zh-HK"/>
              </w:rPr>
              <w:t xml:space="preserve"> (WC01001)]</w:t>
            </w:r>
          </w:p>
          <w:p w14:paraId="67BD3C38" w14:textId="77777777" w:rsidR="003818B4" w:rsidRPr="00B374E7" w:rsidRDefault="003818B4" w:rsidP="00247A99">
            <w:pPr>
              <w:spacing w:after="0" w:line="200" w:lineRule="exact"/>
              <w:rPr>
                <w:rFonts w:ascii="Times New Roman" w:hAnsi="Times New Roman"/>
                <w:sz w:val="16"/>
                <w:szCs w:val="16"/>
                <w:lang w:eastAsia="zh-HK"/>
              </w:rPr>
            </w:pPr>
          </w:p>
        </w:tc>
      </w:tr>
      <w:tr w:rsidR="003818B4" w:rsidRPr="00B86E32" w14:paraId="0C9AA151" w14:textId="77777777" w:rsidTr="00247A99">
        <w:tc>
          <w:tcPr>
            <w:tcW w:w="3665" w:type="dxa"/>
            <w:gridSpan w:val="2"/>
          </w:tcPr>
          <w:p w14:paraId="082144C1"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Other incomes</w:t>
            </w:r>
          </w:p>
        </w:tc>
        <w:tc>
          <w:tcPr>
            <w:tcW w:w="6400" w:type="dxa"/>
          </w:tcPr>
          <w:p w14:paraId="7F5762CC"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w:t>
            </w:r>
            <w:r>
              <w:rPr>
                <w:rFonts w:ascii="Times New Roman" w:hAnsi="Times New Roman"/>
                <w:sz w:val="16"/>
                <w:szCs w:val="16"/>
                <w:lang w:eastAsia="zh-HK"/>
              </w:rPr>
              <w:t xml:space="preserve">other incomes besides operating incomes (WC01262)] / [net sales or </w:t>
            </w:r>
            <w:r w:rsidRPr="00B374E7">
              <w:rPr>
                <w:rFonts w:ascii="Times New Roman" w:hAnsi="Times New Roman"/>
                <w:sz w:val="16"/>
                <w:szCs w:val="16"/>
                <w:lang w:eastAsia="zh-HK"/>
              </w:rPr>
              <w:t>revenues</w:t>
            </w:r>
            <w:r>
              <w:rPr>
                <w:rFonts w:ascii="Times New Roman" w:hAnsi="Times New Roman"/>
                <w:sz w:val="16"/>
                <w:szCs w:val="16"/>
                <w:lang w:eastAsia="zh-HK"/>
              </w:rPr>
              <w:t xml:space="preserve"> (WC01001)]</w:t>
            </w:r>
          </w:p>
          <w:p w14:paraId="56761F46" w14:textId="77777777" w:rsidR="003818B4" w:rsidRPr="00B86E32" w:rsidRDefault="003818B4" w:rsidP="00247A99">
            <w:pPr>
              <w:spacing w:after="0" w:line="200" w:lineRule="exact"/>
              <w:rPr>
                <w:rFonts w:ascii="Times New Roman" w:hAnsi="Times New Roman"/>
                <w:sz w:val="16"/>
                <w:szCs w:val="16"/>
                <w:lang w:eastAsia="zh-HK"/>
              </w:rPr>
            </w:pPr>
          </w:p>
        </w:tc>
      </w:tr>
      <w:tr w:rsidR="003818B4" w:rsidRPr="00B86E32" w14:paraId="769C9A01" w14:textId="77777777" w:rsidTr="00247A99">
        <w:tc>
          <w:tcPr>
            <w:tcW w:w="3665" w:type="dxa"/>
            <w:gridSpan w:val="2"/>
          </w:tcPr>
          <w:p w14:paraId="232B4E95"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Policy (1/0)</w:t>
            </w:r>
          </w:p>
        </w:tc>
        <w:tc>
          <w:tcPr>
            <w:tcW w:w="6400" w:type="dxa"/>
          </w:tcPr>
          <w:p w14:paraId="4F727FC5" w14:textId="77777777" w:rsidR="003818B4" w:rsidRDefault="003818B4" w:rsidP="00247A99">
            <w:pPr>
              <w:spacing w:after="0" w:line="200" w:lineRule="exact"/>
              <w:rPr>
                <w:rFonts w:ascii="Times New Roman" w:hAnsi="Times New Roman"/>
                <w:sz w:val="16"/>
                <w:szCs w:val="16"/>
                <w:lang w:eastAsia="zh-HK"/>
              </w:rPr>
            </w:pPr>
            <w:r>
              <w:rPr>
                <w:rFonts w:ascii="Times New Roman" w:eastAsiaTheme="minorEastAsia" w:hAnsi="Times New Roman" w:hint="eastAsia"/>
                <w:sz w:val="16"/>
                <w:szCs w:val="16"/>
                <w:lang w:eastAsia="zh-HK"/>
              </w:rPr>
              <w:t>The policy dummy, which equals to 1 from 201</w:t>
            </w:r>
            <w:r>
              <w:rPr>
                <w:rFonts w:ascii="Times New Roman" w:eastAsiaTheme="minorEastAsia" w:hAnsi="Times New Roman"/>
                <w:sz w:val="16"/>
                <w:szCs w:val="16"/>
                <w:lang w:eastAsia="zh-HK"/>
              </w:rPr>
              <w:t>2</w:t>
            </w:r>
            <w:r>
              <w:rPr>
                <w:rFonts w:ascii="Times New Roman" w:eastAsiaTheme="minorEastAsia" w:hAnsi="Times New Roman" w:hint="eastAsia"/>
                <w:sz w:val="16"/>
                <w:szCs w:val="16"/>
                <w:lang w:eastAsia="zh-HK"/>
              </w:rPr>
              <w:t xml:space="preserve"> Q</w:t>
            </w:r>
            <w:r>
              <w:rPr>
                <w:rFonts w:ascii="Times New Roman" w:eastAsiaTheme="minorEastAsia" w:hAnsi="Times New Roman"/>
                <w:sz w:val="16"/>
                <w:szCs w:val="16"/>
                <w:lang w:eastAsia="zh-HK"/>
              </w:rPr>
              <w:t>1</w:t>
            </w:r>
            <w:r>
              <w:rPr>
                <w:rFonts w:ascii="Times New Roman" w:eastAsiaTheme="minorEastAsia" w:hAnsi="Times New Roman" w:hint="eastAsia"/>
                <w:sz w:val="16"/>
                <w:szCs w:val="16"/>
                <w:lang w:eastAsia="zh-HK"/>
              </w:rPr>
              <w:t xml:space="preserve"> to 2015</w:t>
            </w:r>
            <w:r>
              <w:rPr>
                <w:rFonts w:ascii="Times New Roman" w:eastAsiaTheme="minorEastAsia" w:hAnsi="Times New Roman"/>
                <w:sz w:val="16"/>
                <w:szCs w:val="16"/>
                <w:lang w:eastAsia="zh-HK"/>
              </w:rPr>
              <w:t xml:space="preserve"> Q4, and 0 on or before 2011 Q4</w:t>
            </w:r>
          </w:p>
        </w:tc>
      </w:tr>
      <w:tr w:rsidR="00763179" w:rsidRPr="00B86E32" w14:paraId="016B2103" w14:textId="77777777" w:rsidTr="00247A99">
        <w:tc>
          <w:tcPr>
            <w:tcW w:w="3665" w:type="dxa"/>
            <w:gridSpan w:val="2"/>
          </w:tcPr>
          <w:p w14:paraId="46A3B39A" w14:textId="5AAF4878" w:rsidR="00763179" w:rsidRDefault="00763179" w:rsidP="00247A99">
            <w:pPr>
              <w:spacing w:after="0" w:line="200" w:lineRule="exact"/>
              <w:rPr>
                <w:rFonts w:ascii="Times New Roman" w:eastAsiaTheme="minorEastAsia" w:hAnsi="Times New Roman"/>
                <w:sz w:val="16"/>
                <w:szCs w:val="16"/>
                <w:lang w:eastAsia="zh-HK"/>
              </w:rPr>
            </w:pPr>
          </w:p>
          <w:p w14:paraId="117C1A6F" w14:textId="4D97B17D" w:rsidR="00BB102D" w:rsidRDefault="00BB102D"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Reinsurance indicator</w:t>
            </w:r>
          </w:p>
          <w:p w14:paraId="235AE325" w14:textId="77777777" w:rsidR="00BB102D" w:rsidRDefault="00BB102D" w:rsidP="00247A99">
            <w:pPr>
              <w:spacing w:after="0" w:line="200" w:lineRule="exact"/>
              <w:rPr>
                <w:rFonts w:ascii="Times New Roman" w:eastAsiaTheme="minorEastAsia" w:hAnsi="Times New Roman"/>
                <w:sz w:val="16"/>
                <w:szCs w:val="16"/>
                <w:lang w:eastAsia="zh-HK"/>
              </w:rPr>
            </w:pPr>
          </w:p>
          <w:p w14:paraId="14CBDC4C" w14:textId="5F768CF3" w:rsidR="00763179" w:rsidRPr="00763179" w:rsidRDefault="00763179"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Revenue indicator</w:t>
            </w:r>
          </w:p>
        </w:tc>
        <w:tc>
          <w:tcPr>
            <w:tcW w:w="6400" w:type="dxa"/>
          </w:tcPr>
          <w:p w14:paraId="7EA50969" w14:textId="77777777" w:rsidR="00763179" w:rsidRDefault="00763179" w:rsidP="00247A99">
            <w:pPr>
              <w:spacing w:after="0" w:line="200" w:lineRule="exact"/>
              <w:rPr>
                <w:rFonts w:ascii="Times New Roman" w:eastAsiaTheme="minorEastAsia" w:hAnsi="Times New Roman"/>
                <w:sz w:val="16"/>
                <w:szCs w:val="16"/>
                <w:lang w:eastAsia="zh-HK"/>
              </w:rPr>
            </w:pPr>
          </w:p>
          <w:p w14:paraId="40F70CF6" w14:textId="3438BB99" w:rsidR="00BB102D" w:rsidRDefault="00BB102D"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Reinsurance reserve (WC</w:t>
            </w:r>
            <w:r>
              <w:rPr>
                <w:rFonts w:ascii="Times New Roman" w:hAnsi="Times New Roman"/>
                <w:sz w:val="16"/>
                <w:szCs w:val="16"/>
                <w:lang w:eastAsia="zh-HK"/>
              </w:rPr>
              <w:t>01005) scaled by the aggregation of reinsurance reserve for the whole sample</w:t>
            </w:r>
          </w:p>
          <w:p w14:paraId="3FD5D779" w14:textId="77777777" w:rsidR="00BB102D" w:rsidRDefault="00BB102D" w:rsidP="00247A99">
            <w:pPr>
              <w:spacing w:after="0" w:line="200" w:lineRule="exact"/>
              <w:rPr>
                <w:rFonts w:ascii="Times New Roman" w:hAnsi="Times New Roman"/>
                <w:sz w:val="16"/>
                <w:szCs w:val="16"/>
                <w:lang w:eastAsia="zh-HK"/>
              </w:rPr>
            </w:pPr>
          </w:p>
          <w:p w14:paraId="6BCF0E79" w14:textId="286B84E4" w:rsidR="00763179" w:rsidRPr="00BB102D" w:rsidRDefault="00BB102D" w:rsidP="00247A99">
            <w:pPr>
              <w:spacing w:after="0" w:line="200" w:lineRule="exact"/>
              <w:rPr>
                <w:rFonts w:ascii="Times New Roman" w:hAnsi="Times New Roman"/>
                <w:sz w:val="16"/>
                <w:szCs w:val="16"/>
                <w:lang w:eastAsia="zh-HK"/>
              </w:rPr>
            </w:pPr>
            <w:r>
              <w:rPr>
                <w:rFonts w:ascii="Times New Roman" w:hAnsi="Times New Roman"/>
                <w:sz w:val="16"/>
                <w:szCs w:val="16"/>
                <w:lang w:eastAsia="zh-HK"/>
              </w:rPr>
              <w:t>N</w:t>
            </w:r>
            <w:r w:rsidR="00B92CF5">
              <w:rPr>
                <w:rFonts w:ascii="Times New Roman" w:hAnsi="Times New Roman"/>
                <w:sz w:val="16"/>
                <w:szCs w:val="16"/>
                <w:lang w:eastAsia="zh-HK"/>
              </w:rPr>
              <w:t xml:space="preserve">et sales or </w:t>
            </w:r>
            <w:r w:rsidR="00B92CF5" w:rsidRPr="00B374E7">
              <w:rPr>
                <w:rFonts w:ascii="Times New Roman" w:hAnsi="Times New Roman"/>
                <w:sz w:val="16"/>
                <w:szCs w:val="16"/>
                <w:lang w:eastAsia="zh-HK"/>
              </w:rPr>
              <w:t>revenues</w:t>
            </w:r>
            <w:r w:rsidR="00B92CF5">
              <w:rPr>
                <w:rFonts w:ascii="Times New Roman" w:hAnsi="Times New Roman"/>
                <w:sz w:val="16"/>
                <w:szCs w:val="16"/>
                <w:lang w:eastAsia="zh-HK"/>
              </w:rPr>
              <w:t xml:space="preserve"> (WC01001) scaled by the aggregation of</w:t>
            </w:r>
            <w:r w:rsidR="0062786C">
              <w:rPr>
                <w:rFonts w:ascii="Times New Roman" w:hAnsi="Times New Roman"/>
                <w:sz w:val="16"/>
                <w:szCs w:val="16"/>
                <w:lang w:eastAsia="zh-HK"/>
              </w:rPr>
              <w:t xml:space="preserve"> sales for the whole sample</w:t>
            </w:r>
            <w:r w:rsidR="00B92CF5">
              <w:rPr>
                <w:rFonts w:ascii="Times New Roman" w:hAnsi="Times New Roman"/>
                <w:sz w:val="16"/>
                <w:szCs w:val="16"/>
                <w:lang w:eastAsia="zh-HK"/>
              </w:rPr>
              <w:t xml:space="preserve"> </w:t>
            </w:r>
          </w:p>
        </w:tc>
      </w:tr>
      <w:tr w:rsidR="003818B4" w:rsidRPr="00B86E32" w14:paraId="57BE9773" w14:textId="77777777" w:rsidTr="00247A99">
        <w:tc>
          <w:tcPr>
            <w:tcW w:w="3665" w:type="dxa"/>
            <w:gridSpan w:val="2"/>
          </w:tcPr>
          <w:p w14:paraId="70CD18B6" w14:textId="77777777" w:rsidR="003818B4" w:rsidRPr="00B86E32" w:rsidRDefault="003818B4" w:rsidP="00247A99">
            <w:pPr>
              <w:spacing w:after="0" w:line="200" w:lineRule="exact"/>
              <w:rPr>
                <w:rFonts w:ascii="Times New Roman" w:hAnsi="Times New Roman"/>
                <w:sz w:val="16"/>
                <w:szCs w:val="16"/>
                <w:lang w:eastAsia="zh-HK"/>
              </w:rPr>
            </w:pPr>
          </w:p>
        </w:tc>
        <w:tc>
          <w:tcPr>
            <w:tcW w:w="6400" w:type="dxa"/>
          </w:tcPr>
          <w:p w14:paraId="073A042B" w14:textId="77777777" w:rsidR="003818B4" w:rsidRPr="00B86E32" w:rsidRDefault="003818B4" w:rsidP="00247A99">
            <w:pPr>
              <w:spacing w:after="0" w:line="200" w:lineRule="exact"/>
              <w:rPr>
                <w:rFonts w:ascii="Times New Roman" w:eastAsiaTheme="minorEastAsia" w:hAnsi="Times New Roman"/>
                <w:sz w:val="16"/>
                <w:szCs w:val="16"/>
                <w:lang w:eastAsia="zh-HK"/>
              </w:rPr>
            </w:pPr>
          </w:p>
        </w:tc>
      </w:tr>
      <w:tr w:rsidR="003818B4" w:rsidRPr="00B86E32" w14:paraId="078DDCA2" w14:textId="77777777" w:rsidTr="00247A99">
        <w:tc>
          <w:tcPr>
            <w:tcW w:w="3665" w:type="dxa"/>
            <w:gridSpan w:val="2"/>
          </w:tcPr>
          <w:p w14:paraId="45C4E899" w14:textId="77777777" w:rsidR="003818B4" w:rsidRPr="00B86E32"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ROA</w:t>
            </w:r>
          </w:p>
        </w:tc>
        <w:tc>
          <w:tcPr>
            <w:tcW w:w="6400" w:type="dxa"/>
          </w:tcPr>
          <w:p w14:paraId="2E1C1CE9" w14:textId="77777777" w:rsidR="003818B4" w:rsidRPr="00B86E32"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Return on assets (WC</w:t>
            </w:r>
            <w:r>
              <w:rPr>
                <w:rFonts w:ascii="Times New Roman" w:eastAsiaTheme="minorEastAsia" w:hAnsi="Times New Roman"/>
                <w:sz w:val="16"/>
                <w:szCs w:val="16"/>
                <w:lang w:eastAsia="zh-HK"/>
              </w:rPr>
              <w:t>08326)</w:t>
            </w:r>
          </w:p>
        </w:tc>
      </w:tr>
      <w:tr w:rsidR="00F51FDA" w:rsidRPr="00B86E32" w14:paraId="2BF7D8ED" w14:textId="77777777" w:rsidTr="00247A99">
        <w:tc>
          <w:tcPr>
            <w:tcW w:w="3665" w:type="dxa"/>
            <w:gridSpan w:val="2"/>
          </w:tcPr>
          <w:p w14:paraId="665F986E" w14:textId="77777777" w:rsidR="00F51FDA" w:rsidRDefault="00F51FDA" w:rsidP="00247A99">
            <w:pPr>
              <w:spacing w:after="0" w:line="200" w:lineRule="exact"/>
              <w:rPr>
                <w:rFonts w:ascii="Times New Roman" w:eastAsiaTheme="minorEastAsia" w:hAnsi="Times New Roman"/>
                <w:sz w:val="16"/>
                <w:szCs w:val="16"/>
                <w:lang w:eastAsia="zh-HK"/>
              </w:rPr>
            </w:pPr>
          </w:p>
          <w:p w14:paraId="7FB98194" w14:textId="2694C103" w:rsidR="00F51FDA" w:rsidRPr="00F51FDA" w:rsidRDefault="00F51FDA"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Short term funding indicator</w:t>
            </w:r>
          </w:p>
        </w:tc>
        <w:tc>
          <w:tcPr>
            <w:tcW w:w="6400" w:type="dxa"/>
          </w:tcPr>
          <w:p w14:paraId="553D6B6E" w14:textId="77777777" w:rsidR="00F51FDA" w:rsidRDefault="00F51FDA" w:rsidP="00247A99">
            <w:pPr>
              <w:spacing w:after="0" w:line="200" w:lineRule="exact"/>
              <w:rPr>
                <w:rFonts w:ascii="Times New Roman" w:eastAsiaTheme="minorEastAsia" w:hAnsi="Times New Roman"/>
                <w:sz w:val="16"/>
                <w:szCs w:val="16"/>
                <w:lang w:eastAsia="zh-HK"/>
              </w:rPr>
            </w:pPr>
          </w:p>
          <w:p w14:paraId="0AAD0DD2" w14:textId="4A51811B" w:rsidR="00F51FDA" w:rsidRDefault="00F51FDA"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 xml:space="preserve">The difference between total debt </w:t>
            </w:r>
            <w:r>
              <w:rPr>
                <w:rFonts w:ascii="Times New Roman" w:eastAsiaTheme="minorEastAsia" w:hAnsi="Times New Roman"/>
                <w:sz w:val="16"/>
                <w:szCs w:val="16"/>
                <w:lang w:eastAsia="zh-HK"/>
              </w:rPr>
              <w:t xml:space="preserve">(WC03255) </w:t>
            </w:r>
            <w:r>
              <w:rPr>
                <w:rFonts w:ascii="Times New Roman" w:eastAsiaTheme="minorEastAsia" w:hAnsi="Times New Roman" w:hint="eastAsia"/>
                <w:sz w:val="16"/>
                <w:szCs w:val="16"/>
                <w:lang w:eastAsia="zh-HK"/>
              </w:rPr>
              <w:t xml:space="preserve">and long term debt </w:t>
            </w:r>
            <w:r>
              <w:rPr>
                <w:rFonts w:ascii="Times New Roman" w:eastAsiaTheme="minorEastAsia" w:hAnsi="Times New Roman"/>
                <w:sz w:val="16"/>
                <w:szCs w:val="16"/>
                <w:lang w:eastAsia="zh-HK"/>
              </w:rPr>
              <w:t>(WC03251), scaled by the aggregation of the difference between total debt and long term debt for the whole sample</w:t>
            </w:r>
          </w:p>
        </w:tc>
      </w:tr>
      <w:tr w:rsidR="003818B4" w:rsidRPr="00B86E32" w14:paraId="16CB65BF" w14:textId="77777777" w:rsidTr="00247A99">
        <w:tc>
          <w:tcPr>
            <w:tcW w:w="3665" w:type="dxa"/>
            <w:gridSpan w:val="2"/>
          </w:tcPr>
          <w:p w14:paraId="6855D8FD" w14:textId="77777777" w:rsidR="003818B4" w:rsidRDefault="003818B4" w:rsidP="00247A99">
            <w:pPr>
              <w:spacing w:after="0" w:line="200" w:lineRule="exact"/>
              <w:rPr>
                <w:rFonts w:ascii="Times New Roman" w:eastAsiaTheme="minorEastAsia" w:hAnsi="Times New Roman"/>
                <w:sz w:val="16"/>
                <w:szCs w:val="16"/>
                <w:lang w:eastAsia="zh-HK"/>
              </w:rPr>
            </w:pPr>
          </w:p>
          <w:p w14:paraId="40724D35" w14:textId="77777777" w:rsidR="003818B4" w:rsidRPr="00120ED7"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SRISK</w:t>
            </w:r>
          </w:p>
        </w:tc>
        <w:tc>
          <w:tcPr>
            <w:tcW w:w="6400" w:type="dxa"/>
          </w:tcPr>
          <w:p w14:paraId="7C08C849" w14:textId="77777777" w:rsidR="003818B4" w:rsidRDefault="003818B4" w:rsidP="00247A99">
            <w:pPr>
              <w:spacing w:after="0" w:line="200" w:lineRule="exact"/>
              <w:rPr>
                <w:rFonts w:ascii="Times New Roman" w:eastAsiaTheme="minorEastAsia" w:hAnsi="Times New Roman"/>
                <w:sz w:val="16"/>
                <w:szCs w:val="16"/>
                <w:lang w:eastAsia="zh-HK"/>
              </w:rPr>
            </w:pPr>
          </w:p>
          <w:p w14:paraId="77F89725" w14:textId="7AF4A157" w:rsidR="003818B4" w:rsidRDefault="00A96B89"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hint="eastAsia"/>
                <w:sz w:val="16"/>
                <w:szCs w:val="16"/>
                <w:lang w:eastAsia="zh-HK"/>
              </w:rPr>
              <w:t>Systemic R</w:t>
            </w:r>
            <w:r w:rsidR="003818B4">
              <w:rPr>
                <w:rFonts w:ascii="Times New Roman" w:eastAsiaTheme="minorEastAsia" w:hAnsi="Times New Roman" w:hint="eastAsia"/>
                <w:sz w:val="16"/>
                <w:szCs w:val="16"/>
                <w:lang w:eastAsia="zh-HK"/>
              </w:rPr>
              <w:t>is</w:t>
            </w:r>
            <w:r>
              <w:rPr>
                <w:rFonts w:ascii="Times New Roman" w:eastAsiaTheme="minorEastAsia" w:hAnsi="Times New Roman" w:hint="eastAsia"/>
                <w:sz w:val="16"/>
                <w:szCs w:val="16"/>
                <w:lang w:eastAsia="zh-HK"/>
              </w:rPr>
              <w:t>k I</w:t>
            </w:r>
            <w:r w:rsidR="003818B4">
              <w:rPr>
                <w:rFonts w:ascii="Times New Roman" w:eastAsiaTheme="minorEastAsia" w:hAnsi="Times New Roman" w:hint="eastAsia"/>
                <w:sz w:val="16"/>
                <w:szCs w:val="16"/>
                <w:lang w:eastAsia="zh-HK"/>
              </w:rPr>
              <w:t xml:space="preserve">ndex is </w:t>
            </w:r>
            <w:r w:rsidR="003818B4">
              <w:rPr>
                <w:rFonts w:ascii="Times New Roman" w:eastAsiaTheme="minorEastAsia" w:hAnsi="Times New Roman"/>
                <w:sz w:val="16"/>
                <w:szCs w:val="16"/>
                <w:lang w:eastAsia="zh-HK"/>
              </w:rPr>
              <w:t xml:space="preserve">the expected </w:t>
            </w:r>
            <w:r w:rsidR="003818B4" w:rsidRPr="00120ED7">
              <w:rPr>
                <w:rFonts w:ascii="Times New Roman" w:eastAsiaTheme="minorEastAsia" w:hAnsi="Times New Roman"/>
                <w:sz w:val="16"/>
                <w:szCs w:val="16"/>
                <w:lang w:eastAsia="zh-HK"/>
              </w:rPr>
              <w:t xml:space="preserve">capital shortfall of </w:t>
            </w:r>
            <w:r w:rsidR="003818B4">
              <w:rPr>
                <w:rFonts w:ascii="Times New Roman" w:eastAsiaTheme="minorEastAsia" w:hAnsi="Times New Roman"/>
                <w:sz w:val="16"/>
                <w:szCs w:val="16"/>
                <w:lang w:eastAsia="zh-HK"/>
              </w:rPr>
              <w:t>an insurer</w:t>
            </w:r>
            <w:r w:rsidR="003818B4" w:rsidRPr="00120ED7">
              <w:rPr>
                <w:rFonts w:ascii="Times New Roman" w:eastAsiaTheme="minorEastAsia" w:hAnsi="Times New Roman"/>
                <w:sz w:val="16"/>
                <w:szCs w:val="16"/>
                <w:lang w:eastAsia="zh-HK"/>
              </w:rPr>
              <w:t xml:space="preserve"> during financial crisis</w:t>
            </w:r>
            <w:r w:rsidR="003818B4">
              <w:rPr>
                <w:rFonts w:ascii="Times New Roman" w:eastAsiaTheme="minorEastAsia" w:hAnsi="Times New Roman"/>
                <w:sz w:val="16"/>
                <w:szCs w:val="16"/>
                <w:lang w:eastAsia="zh-HK"/>
              </w:rPr>
              <w:t>. Refer to section 2.2 for detailed methodology and calculation.</w:t>
            </w:r>
          </w:p>
        </w:tc>
      </w:tr>
      <w:tr w:rsidR="003818B4" w:rsidRPr="00B86E32" w14:paraId="4D08CC48" w14:textId="77777777" w:rsidTr="00247A99">
        <w:tc>
          <w:tcPr>
            <w:tcW w:w="3665" w:type="dxa"/>
            <w:gridSpan w:val="2"/>
          </w:tcPr>
          <w:p w14:paraId="140B1B3E" w14:textId="77777777" w:rsidR="003818B4" w:rsidRPr="00B86E32" w:rsidRDefault="003818B4" w:rsidP="00247A99">
            <w:pPr>
              <w:spacing w:after="0" w:line="200" w:lineRule="exact"/>
              <w:rPr>
                <w:rFonts w:ascii="Times New Roman" w:eastAsiaTheme="minorEastAsia" w:hAnsi="Times New Roman"/>
                <w:sz w:val="16"/>
                <w:szCs w:val="16"/>
                <w:lang w:eastAsia="zh-HK"/>
              </w:rPr>
            </w:pPr>
          </w:p>
        </w:tc>
        <w:tc>
          <w:tcPr>
            <w:tcW w:w="6400" w:type="dxa"/>
          </w:tcPr>
          <w:p w14:paraId="0920DE9C" w14:textId="77777777" w:rsidR="003818B4" w:rsidRPr="00B86E32" w:rsidRDefault="003818B4" w:rsidP="00247A99">
            <w:pPr>
              <w:spacing w:after="0" w:line="200" w:lineRule="exact"/>
              <w:jc w:val="both"/>
              <w:rPr>
                <w:rFonts w:ascii="Times New Roman" w:eastAsiaTheme="minorEastAsia" w:hAnsi="Times New Roman"/>
                <w:sz w:val="16"/>
                <w:szCs w:val="16"/>
                <w:lang w:eastAsia="zh-HK"/>
              </w:rPr>
            </w:pPr>
          </w:p>
        </w:tc>
      </w:tr>
    </w:tbl>
    <w:p w14:paraId="52014C7F" w14:textId="628CC265" w:rsidR="003818B4" w:rsidRDefault="003818B4" w:rsidP="00C80FDC">
      <w:pPr>
        <w:spacing w:after="0" w:line="200" w:lineRule="exact"/>
        <w:rPr>
          <w:rFonts w:ascii="Times New Roman" w:eastAsiaTheme="minorEastAsia" w:hAnsi="Times New Roman"/>
          <w:b/>
          <w:sz w:val="16"/>
          <w:szCs w:val="16"/>
          <w:lang w:eastAsia="zh-HK"/>
        </w:rPr>
      </w:pPr>
    </w:p>
    <w:p w14:paraId="225FC660" w14:textId="77777777" w:rsidR="003818B4" w:rsidRDefault="003818B4" w:rsidP="003818B4">
      <w:pPr>
        <w:spacing w:after="0" w:line="260" w:lineRule="exact"/>
        <w:rPr>
          <w:rFonts w:ascii="Times New Roman" w:eastAsiaTheme="minorEastAsia" w:hAnsi="Times New Roman"/>
          <w:b/>
          <w:sz w:val="20"/>
          <w:szCs w:val="20"/>
          <w:lang w:eastAsia="zh-HK"/>
        </w:rPr>
      </w:pPr>
    </w:p>
    <w:p w14:paraId="4F4A259E" w14:textId="77777777" w:rsidR="003818B4" w:rsidRPr="00B86E32" w:rsidRDefault="003818B4" w:rsidP="003818B4">
      <w:pPr>
        <w:spacing w:after="0" w:line="200" w:lineRule="exact"/>
        <w:jc w:val="center"/>
        <w:rPr>
          <w:rFonts w:ascii="Times New Roman" w:eastAsiaTheme="minorEastAsia" w:hAnsi="Times New Roman"/>
          <w:sz w:val="16"/>
          <w:szCs w:val="16"/>
          <w:lang w:eastAsia="zh-HK"/>
        </w:rPr>
      </w:pPr>
      <w:r w:rsidRPr="00B86E32">
        <w:rPr>
          <w:rFonts w:ascii="Times New Roman" w:hAnsi="Times New Roman"/>
          <w:b/>
          <w:sz w:val="16"/>
          <w:szCs w:val="16"/>
          <w:lang w:eastAsia="zh-HK"/>
        </w:rPr>
        <w:t xml:space="preserve">Table </w:t>
      </w:r>
      <w:r w:rsidRPr="00B86E32">
        <w:rPr>
          <w:rFonts w:ascii="Times New Roman" w:eastAsiaTheme="minorEastAsia" w:hAnsi="Times New Roman"/>
          <w:b/>
          <w:sz w:val="16"/>
          <w:szCs w:val="16"/>
          <w:lang w:eastAsia="zh-HK"/>
        </w:rPr>
        <w:t>I</w:t>
      </w:r>
      <w:r>
        <w:rPr>
          <w:rFonts w:ascii="Times New Roman" w:eastAsiaTheme="minorEastAsia" w:hAnsi="Times New Roman"/>
          <w:b/>
          <w:sz w:val="16"/>
          <w:szCs w:val="16"/>
          <w:lang w:eastAsia="zh-HK"/>
        </w:rPr>
        <w:t>I</w:t>
      </w:r>
      <w:r>
        <w:rPr>
          <w:rFonts w:ascii="Times New Roman" w:eastAsiaTheme="minorEastAsia" w:hAnsi="Times New Roman" w:hint="eastAsia"/>
          <w:b/>
          <w:sz w:val="16"/>
          <w:szCs w:val="16"/>
          <w:lang w:eastAsia="zh-HK"/>
        </w:rPr>
        <w:t>I</w:t>
      </w:r>
      <w:r w:rsidRPr="00B86E32">
        <w:rPr>
          <w:rFonts w:ascii="Times New Roman" w:eastAsiaTheme="minorEastAsia" w:hAnsi="Times New Roman"/>
          <w:b/>
          <w:sz w:val="16"/>
          <w:szCs w:val="16"/>
          <w:lang w:eastAsia="zh-HK"/>
        </w:rPr>
        <w:t>.</w:t>
      </w:r>
      <w:r w:rsidRPr="00B86E32">
        <w:rPr>
          <w:rFonts w:ascii="Times New Roman" w:eastAsiaTheme="minorEastAsia" w:hAnsi="Times New Roman"/>
          <w:sz w:val="16"/>
          <w:szCs w:val="16"/>
          <w:lang w:eastAsia="zh-HK"/>
        </w:rPr>
        <w:t xml:space="preserve"> </w:t>
      </w:r>
      <w:r w:rsidRPr="00B86E32">
        <w:rPr>
          <w:rFonts w:ascii="Times New Roman" w:eastAsiaTheme="minorEastAsia" w:hAnsi="Times New Roman"/>
          <w:b/>
          <w:sz w:val="16"/>
          <w:szCs w:val="16"/>
          <w:lang w:eastAsia="zh-HK"/>
        </w:rPr>
        <w:t>Summary statistics</w:t>
      </w:r>
    </w:p>
    <w:p w14:paraId="6A9208F2" w14:textId="77777777" w:rsidR="003818B4" w:rsidRPr="00B86E32" w:rsidRDefault="003818B4" w:rsidP="003818B4">
      <w:pPr>
        <w:spacing w:after="0" w:line="200" w:lineRule="exact"/>
        <w:jc w:val="both"/>
        <w:rPr>
          <w:rFonts w:ascii="Times New Roman" w:eastAsiaTheme="minorEastAsia" w:hAnsi="Times New Roman"/>
          <w:sz w:val="16"/>
          <w:szCs w:val="16"/>
          <w:lang w:eastAsia="zh-HK"/>
        </w:rPr>
      </w:pPr>
    </w:p>
    <w:tbl>
      <w:tblPr>
        <w:tblStyle w:val="TableGrid"/>
        <w:tblW w:w="10947" w:type="dxa"/>
        <w:tblInd w:w="-19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873"/>
        <w:gridCol w:w="941"/>
        <w:gridCol w:w="866"/>
        <w:gridCol w:w="941"/>
        <w:gridCol w:w="860"/>
        <w:gridCol w:w="805"/>
        <w:gridCol w:w="810"/>
        <w:gridCol w:w="830"/>
        <w:gridCol w:w="830"/>
        <w:gridCol w:w="880"/>
      </w:tblGrid>
      <w:tr w:rsidR="003818B4" w:rsidRPr="00B86E32" w14:paraId="0055D99E" w14:textId="77777777" w:rsidTr="003818B4">
        <w:tc>
          <w:tcPr>
            <w:tcW w:w="2311" w:type="dxa"/>
            <w:tcBorders>
              <w:top w:val="single" w:sz="4" w:space="0" w:color="auto"/>
              <w:bottom w:val="nil"/>
              <w:right w:val="nil"/>
            </w:tcBorders>
          </w:tcPr>
          <w:p w14:paraId="7F6E10FD" w14:textId="77777777" w:rsidR="003818B4" w:rsidRPr="00B86E32" w:rsidRDefault="003818B4" w:rsidP="00247A99">
            <w:pPr>
              <w:spacing w:before="100" w:beforeAutospacing="1" w:after="0" w:line="200" w:lineRule="exact"/>
              <w:rPr>
                <w:rFonts w:ascii="Times New Roman" w:hAnsi="Times New Roman"/>
                <w:b/>
                <w:sz w:val="16"/>
                <w:szCs w:val="16"/>
                <w:lang w:eastAsia="zh-HK"/>
              </w:rPr>
            </w:pPr>
          </w:p>
        </w:tc>
        <w:tc>
          <w:tcPr>
            <w:tcW w:w="3621" w:type="dxa"/>
            <w:gridSpan w:val="4"/>
            <w:tcBorders>
              <w:top w:val="single" w:sz="4" w:space="0" w:color="auto"/>
              <w:left w:val="nil"/>
              <w:bottom w:val="single" w:sz="4" w:space="0" w:color="auto"/>
              <w:right w:val="nil"/>
            </w:tcBorders>
          </w:tcPr>
          <w:p w14:paraId="3C8EBB63"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Pr>
                <w:rFonts w:ascii="Times New Roman" w:hAnsi="Times New Roman" w:hint="eastAsia"/>
                <w:b/>
                <w:sz w:val="16"/>
                <w:szCs w:val="16"/>
                <w:lang w:eastAsia="zh-HK"/>
              </w:rPr>
              <w:t>M</w:t>
            </w:r>
            <w:r>
              <w:rPr>
                <w:rFonts w:ascii="Times New Roman" w:hAnsi="Times New Roman"/>
                <w:b/>
                <w:sz w:val="16"/>
                <w:szCs w:val="16"/>
                <w:lang w:eastAsia="zh-HK"/>
              </w:rPr>
              <w:t>oments</w:t>
            </w:r>
          </w:p>
        </w:tc>
        <w:tc>
          <w:tcPr>
            <w:tcW w:w="4135" w:type="dxa"/>
            <w:gridSpan w:val="5"/>
            <w:tcBorders>
              <w:top w:val="single" w:sz="4" w:space="0" w:color="auto"/>
              <w:left w:val="nil"/>
              <w:bottom w:val="single" w:sz="4" w:space="0" w:color="auto"/>
              <w:right w:val="nil"/>
            </w:tcBorders>
          </w:tcPr>
          <w:p w14:paraId="4AB79A02"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Pr>
                <w:rFonts w:ascii="Times New Roman" w:hAnsi="Times New Roman" w:hint="eastAsia"/>
                <w:b/>
                <w:sz w:val="16"/>
                <w:szCs w:val="16"/>
                <w:lang w:eastAsia="zh-HK"/>
              </w:rPr>
              <w:t>Percentiles</w:t>
            </w:r>
          </w:p>
        </w:tc>
        <w:tc>
          <w:tcPr>
            <w:tcW w:w="880" w:type="dxa"/>
            <w:tcBorders>
              <w:top w:val="single" w:sz="4" w:space="0" w:color="auto"/>
              <w:left w:val="nil"/>
              <w:bottom w:val="nil"/>
            </w:tcBorders>
          </w:tcPr>
          <w:p w14:paraId="009C1ECA" w14:textId="77777777" w:rsidR="003818B4" w:rsidRPr="00B86E32" w:rsidRDefault="003818B4" w:rsidP="00247A99">
            <w:pPr>
              <w:spacing w:before="100" w:beforeAutospacing="1" w:after="0" w:line="200" w:lineRule="exact"/>
              <w:rPr>
                <w:rFonts w:ascii="Times New Roman" w:hAnsi="Times New Roman"/>
                <w:b/>
                <w:sz w:val="16"/>
                <w:szCs w:val="16"/>
                <w:lang w:eastAsia="zh-HK"/>
              </w:rPr>
            </w:pPr>
          </w:p>
        </w:tc>
      </w:tr>
      <w:tr w:rsidR="003818B4" w:rsidRPr="00B86E32" w14:paraId="3F649027" w14:textId="77777777" w:rsidTr="00B135C7">
        <w:tc>
          <w:tcPr>
            <w:tcW w:w="2311" w:type="dxa"/>
            <w:tcBorders>
              <w:top w:val="nil"/>
              <w:bottom w:val="single" w:sz="4" w:space="0" w:color="auto"/>
              <w:right w:val="nil"/>
            </w:tcBorders>
          </w:tcPr>
          <w:p w14:paraId="788A38A5"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sidRPr="00B86E32">
              <w:rPr>
                <w:rFonts w:ascii="Times New Roman" w:hAnsi="Times New Roman"/>
                <w:b/>
                <w:sz w:val="16"/>
                <w:szCs w:val="16"/>
                <w:lang w:eastAsia="zh-HK"/>
              </w:rPr>
              <w:t>Variable</w:t>
            </w:r>
          </w:p>
        </w:tc>
        <w:tc>
          <w:tcPr>
            <w:tcW w:w="873" w:type="dxa"/>
            <w:tcBorders>
              <w:top w:val="single" w:sz="4" w:space="0" w:color="auto"/>
              <w:left w:val="nil"/>
              <w:bottom w:val="single" w:sz="4" w:space="0" w:color="auto"/>
              <w:right w:val="nil"/>
            </w:tcBorders>
          </w:tcPr>
          <w:p w14:paraId="69AC0AC2"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sidRPr="00B86E32">
              <w:rPr>
                <w:rFonts w:ascii="Times New Roman" w:hAnsi="Times New Roman"/>
                <w:b/>
                <w:sz w:val="16"/>
                <w:szCs w:val="16"/>
                <w:lang w:eastAsia="zh-HK"/>
              </w:rPr>
              <w:t>Mean</w:t>
            </w:r>
          </w:p>
        </w:tc>
        <w:tc>
          <w:tcPr>
            <w:tcW w:w="941" w:type="dxa"/>
            <w:tcBorders>
              <w:top w:val="single" w:sz="4" w:space="0" w:color="auto"/>
              <w:left w:val="nil"/>
              <w:bottom w:val="single" w:sz="4" w:space="0" w:color="auto"/>
              <w:right w:val="nil"/>
            </w:tcBorders>
          </w:tcPr>
          <w:p w14:paraId="0825AFBD"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sidRPr="00B86E32">
              <w:rPr>
                <w:rFonts w:ascii="Times New Roman" w:hAnsi="Times New Roman"/>
                <w:b/>
                <w:sz w:val="16"/>
                <w:szCs w:val="16"/>
                <w:lang w:eastAsia="zh-HK"/>
              </w:rPr>
              <w:t>Std. dev</w:t>
            </w:r>
          </w:p>
        </w:tc>
        <w:tc>
          <w:tcPr>
            <w:tcW w:w="866" w:type="dxa"/>
            <w:tcBorders>
              <w:top w:val="single" w:sz="4" w:space="0" w:color="auto"/>
              <w:left w:val="nil"/>
              <w:bottom w:val="single" w:sz="4" w:space="0" w:color="auto"/>
              <w:right w:val="nil"/>
            </w:tcBorders>
          </w:tcPr>
          <w:p w14:paraId="28D3916C"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Pr>
                <w:rFonts w:ascii="Times New Roman" w:hAnsi="Times New Roman"/>
                <w:b/>
                <w:sz w:val="16"/>
                <w:szCs w:val="16"/>
                <w:lang w:eastAsia="zh-HK"/>
              </w:rPr>
              <w:t>Skewness</w:t>
            </w:r>
          </w:p>
        </w:tc>
        <w:tc>
          <w:tcPr>
            <w:tcW w:w="941" w:type="dxa"/>
            <w:tcBorders>
              <w:top w:val="single" w:sz="4" w:space="0" w:color="auto"/>
              <w:left w:val="nil"/>
              <w:bottom w:val="single" w:sz="4" w:space="0" w:color="auto"/>
              <w:right w:val="nil"/>
            </w:tcBorders>
          </w:tcPr>
          <w:p w14:paraId="577E92B5"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Pr>
                <w:rFonts w:ascii="Times New Roman" w:hAnsi="Times New Roman"/>
                <w:b/>
                <w:sz w:val="16"/>
                <w:szCs w:val="16"/>
                <w:lang w:eastAsia="zh-HK"/>
              </w:rPr>
              <w:t>Kurtosis</w:t>
            </w:r>
          </w:p>
        </w:tc>
        <w:tc>
          <w:tcPr>
            <w:tcW w:w="860" w:type="dxa"/>
            <w:tcBorders>
              <w:top w:val="single" w:sz="4" w:space="0" w:color="auto"/>
              <w:left w:val="nil"/>
              <w:bottom w:val="single" w:sz="4" w:space="0" w:color="auto"/>
              <w:right w:val="nil"/>
            </w:tcBorders>
          </w:tcPr>
          <w:p w14:paraId="2DCF059E"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Pr>
                <w:rFonts w:ascii="Times New Roman" w:hAnsi="Times New Roman"/>
                <w:b/>
                <w:sz w:val="16"/>
                <w:szCs w:val="16"/>
                <w:lang w:eastAsia="zh-HK"/>
              </w:rPr>
              <w:t>10</w:t>
            </w:r>
            <w:r w:rsidRPr="00B86E32">
              <w:rPr>
                <w:rFonts w:ascii="Times New Roman" w:hAnsi="Times New Roman"/>
                <w:b/>
                <w:sz w:val="16"/>
                <w:szCs w:val="16"/>
                <w:vertAlign w:val="superscript"/>
                <w:lang w:eastAsia="zh-HK"/>
              </w:rPr>
              <w:t>th</w:t>
            </w:r>
          </w:p>
        </w:tc>
        <w:tc>
          <w:tcPr>
            <w:tcW w:w="805" w:type="dxa"/>
            <w:tcBorders>
              <w:top w:val="single" w:sz="4" w:space="0" w:color="auto"/>
              <w:left w:val="nil"/>
              <w:bottom w:val="single" w:sz="4" w:space="0" w:color="auto"/>
              <w:right w:val="nil"/>
            </w:tcBorders>
          </w:tcPr>
          <w:p w14:paraId="7A174C65"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Pr>
                <w:rFonts w:ascii="Times New Roman" w:hAnsi="Times New Roman"/>
                <w:b/>
                <w:sz w:val="16"/>
                <w:szCs w:val="16"/>
                <w:lang w:eastAsia="zh-HK"/>
              </w:rPr>
              <w:t>2</w:t>
            </w:r>
            <w:r w:rsidRPr="00B86E32">
              <w:rPr>
                <w:rFonts w:ascii="Times New Roman" w:hAnsi="Times New Roman"/>
                <w:b/>
                <w:sz w:val="16"/>
                <w:szCs w:val="16"/>
                <w:lang w:eastAsia="zh-HK"/>
              </w:rPr>
              <w:t>5</w:t>
            </w:r>
            <w:r w:rsidRPr="00B86E32">
              <w:rPr>
                <w:rFonts w:ascii="Times New Roman" w:hAnsi="Times New Roman"/>
                <w:b/>
                <w:sz w:val="16"/>
                <w:szCs w:val="16"/>
                <w:vertAlign w:val="superscript"/>
                <w:lang w:eastAsia="zh-HK"/>
              </w:rPr>
              <w:t>th</w:t>
            </w:r>
          </w:p>
        </w:tc>
        <w:tc>
          <w:tcPr>
            <w:tcW w:w="810" w:type="dxa"/>
            <w:tcBorders>
              <w:top w:val="single" w:sz="4" w:space="0" w:color="auto"/>
              <w:left w:val="nil"/>
              <w:bottom w:val="single" w:sz="4" w:space="0" w:color="auto"/>
              <w:right w:val="nil"/>
            </w:tcBorders>
          </w:tcPr>
          <w:p w14:paraId="6ADAC243"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Pr>
                <w:rFonts w:ascii="Times New Roman" w:hAnsi="Times New Roman"/>
                <w:b/>
                <w:sz w:val="16"/>
                <w:szCs w:val="16"/>
                <w:lang w:eastAsia="zh-HK"/>
              </w:rPr>
              <w:t>50</w:t>
            </w:r>
            <w:r w:rsidRPr="00B86E32">
              <w:rPr>
                <w:rFonts w:ascii="Times New Roman" w:hAnsi="Times New Roman"/>
                <w:b/>
                <w:sz w:val="16"/>
                <w:szCs w:val="16"/>
                <w:vertAlign w:val="superscript"/>
                <w:lang w:eastAsia="zh-HK"/>
              </w:rPr>
              <w:t>th</w:t>
            </w:r>
          </w:p>
        </w:tc>
        <w:tc>
          <w:tcPr>
            <w:tcW w:w="830" w:type="dxa"/>
            <w:tcBorders>
              <w:top w:val="single" w:sz="4" w:space="0" w:color="auto"/>
              <w:left w:val="nil"/>
              <w:bottom w:val="single" w:sz="4" w:space="0" w:color="auto"/>
              <w:right w:val="nil"/>
            </w:tcBorders>
          </w:tcPr>
          <w:p w14:paraId="655B830B"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sidRPr="00B86E32">
              <w:rPr>
                <w:rFonts w:ascii="Times New Roman" w:hAnsi="Times New Roman"/>
                <w:b/>
                <w:sz w:val="16"/>
                <w:szCs w:val="16"/>
                <w:lang w:eastAsia="zh-HK"/>
              </w:rPr>
              <w:t>75</w:t>
            </w:r>
            <w:r w:rsidRPr="00B86E32">
              <w:rPr>
                <w:rFonts w:ascii="Times New Roman" w:hAnsi="Times New Roman"/>
                <w:b/>
                <w:sz w:val="16"/>
                <w:szCs w:val="16"/>
                <w:vertAlign w:val="superscript"/>
                <w:lang w:eastAsia="zh-HK"/>
              </w:rPr>
              <w:t>th</w:t>
            </w:r>
          </w:p>
        </w:tc>
        <w:tc>
          <w:tcPr>
            <w:tcW w:w="830" w:type="dxa"/>
            <w:tcBorders>
              <w:top w:val="single" w:sz="4" w:space="0" w:color="auto"/>
              <w:left w:val="nil"/>
              <w:bottom w:val="single" w:sz="4" w:space="0" w:color="auto"/>
              <w:right w:val="nil"/>
            </w:tcBorders>
          </w:tcPr>
          <w:p w14:paraId="02BF1CD5"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Pr>
                <w:rFonts w:ascii="Times New Roman" w:hAnsi="Times New Roman"/>
                <w:b/>
                <w:sz w:val="16"/>
                <w:szCs w:val="16"/>
                <w:lang w:eastAsia="zh-HK"/>
              </w:rPr>
              <w:t>90</w:t>
            </w:r>
            <w:r w:rsidRPr="00B86E32">
              <w:rPr>
                <w:rFonts w:ascii="Times New Roman" w:hAnsi="Times New Roman"/>
                <w:b/>
                <w:sz w:val="16"/>
                <w:szCs w:val="16"/>
                <w:vertAlign w:val="superscript"/>
                <w:lang w:eastAsia="zh-HK"/>
              </w:rPr>
              <w:t>th</w:t>
            </w:r>
          </w:p>
        </w:tc>
        <w:tc>
          <w:tcPr>
            <w:tcW w:w="880" w:type="dxa"/>
            <w:tcBorders>
              <w:top w:val="nil"/>
              <w:left w:val="nil"/>
              <w:bottom w:val="single" w:sz="4" w:space="0" w:color="auto"/>
            </w:tcBorders>
          </w:tcPr>
          <w:p w14:paraId="78C1D711" w14:textId="77777777" w:rsidR="003818B4" w:rsidRPr="00B86E32" w:rsidRDefault="003818B4" w:rsidP="00247A99">
            <w:pPr>
              <w:spacing w:before="100" w:beforeAutospacing="1" w:after="0" w:line="200" w:lineRule="exact"/>
              <w:jc w:val="center"/>
              <w:rPr>
                <w:rFonts w:ascii="Times New Roman" w:hAnsi="Times New Roman"/>
                <w:b/>
                <w:sz w:val="16"/>
                <w:szCs w:val="16"/>
                <w:lang w:eastAsia="zh-HK"/>
              </w:rPr>
            </w:pPr>
            <w:r w:rsidRPr="00B86E32">
              <w:rPr>
                <w:rFonts w:ascii="Times New Roman" w:hAnsi="Times New Roman"/>
                <w:b/>
                <w:sz w:val="16"/>
                <w:szCs w:val="16"/>
                <w:lang w:eastAsia="zh-HK"/>
              </w:rPr>
              <w:t>N</w:t>
            </w:r>
          </w:p>
        </w:tc>
      </w:tr>
      <w:tr w:rsidR="003818B4" w:rsidRPr="00B86E32" w14:paraId="2D8CBD1E" w14:textId="77777777" w:rsidTr="00B135C7">
        <w:tc>
          <w:tcPr>
            <w:tcW w:w="7597" w:type="dxa"/>
            <w:gridSpan w:val="7"/>
            <w:tcBorders>
              <w:top w:val="single" w:sz="4" w:space="0" w:color="auto"/>
              <w:left w:val="nil"/>
              <w:bottom w:val="single" w:sz="4" w:space="0" w:color="auto"/>
              <w:right w:val="nil"/>
            </w:tcBorders>
          </w:tcPr>
          <w:p w14:paraId="0FFB0502" w14:textId="77777777" w:rsidR="003818B4" w:rsidRPr="00B86E32" w:rsidRDefault="003818B4" w:rsidP="00247A99">
            <w:pPr>
              <w:spacing w:after="0" w:line="200" w:lineRule="exact"/>
              <w:rPr>
                <w:rFonts w:ascii="Times New Roman" w:hAnsi="Times New Roman"/>
                <w:sz w:val="16"/>
                <w:szCs w:val="16"/>
                <w:lang w:eastAsia="zh-HK"/>
              </w:rPr>
            </w:pPr>
            <w:r w:rsidRPr="00B86E32">
              <w:rPr>
                <w:rFonts w:ascii="Times New Roman" w:hAnsi="Times New Roman"/>
                <w:b/>
                <w:i/>
                <w:sz w:val="16"/>
                <w:szCs w:val="16"/>
                <w:lang w:eastAsia="zh-HK"/>
              </w:rPr>
              <w:t xml:space="preserve">Panel A: </w:t>
            </w:r>
            <w:r>
              <w:rPr>
                <w:rFonts w:ascii="Times New Roman" w:hAnsi="Times New Roman"/>
                <w:b/>
                <w:i/>
                <w:sz w:val="16"/>
                <w:szCs w:val="16"/>
                <w:lang w:eastAsia="zh-HK"/>
              </w:rPr>
              <w:t>Systemic risk measures</w:t>
            </w:r>
          </w:p>
        </w:tc>
        <w:tc>
          <w:tcPr>
            <w:tcW w:w="810" w:type="dxa"/>
            <w:tcBorders>
              <w:top w:val="single" w:sz="4" w:space="0" w:color="auto"/>
              <w:left w:val="nil"/>
              <w:bottom w:val="single" w:sz="4" w:space="0" w:color="auto"/>
              <w:right w:val="nil"/>
            </w:tcBorders>
          </w:tcPr>
          <w:p w14:paraId="2BFBD33A" w14:textId="77777777" w:rsidR="003818B4" w:rsidRPr="00B86E32" w:rsidRDefault="003818B4" w:rsidP="00247A99">
            <w:pPr>
              <w:spacing w:after="0" w:line="200" w:lineRule="exact"/>
              <w:rPr>
                <w:rFonts w:ascii="Times New Roman" w:hAnsi="Times New Roman"/>
                <w:sz w:val="16"/>
                <w:szCs w:val="16"/>
                <w:lang w:eastAsia="zh-HK"/>
              </w:rPr>
            </w:pPr>
          </w:p>
        </w:tc>
        <w:tc>
          <w:tcPr>
            <w:tcW w:w="830" w:type="dxa"/>
            <w:tcBorders>
              <w:top w:val="single" w:sz="4" w:space="0" w:color="auto"/>
              <w:left w:val="nil"/>
              <w:bottom w:val="single" w:sz="4" w:space="0" w:color="auto"/>
              <w:right w:val="nil"/>
            </w:tcBorders>
          </w:tcPr>
          <w:p w14:paraId="76E32611" w14:textId="77777777" w:rsidR="003818B4" w:rsidRPr="00B86E32" w:rsidRDefault="003818B4" w:rsidP="00247A99">
            <w:pPr>
              <w:spacing w:after="0" w:line="200" w:lineRule="exact"/>
              <w:rPr>
                <w:rFonts w:ascii="Times New Roman" w:hAnsi="Times New Roman"/>
                <w:sz w:val="16"/>
                <w:szCs w:val="16"/>
                <w:lang w:eastAsia="zh-HK"/>
              </w:rPr>
            </w:pPr>
          </w:p>
        </w:tc>
        <w:tc>
          <w:tcPr>
            <w:tcW w:w="830" w:type="dxa"/>
            <w:tcBorders>
              <w:top w:val="single" w:sz="4" w:space="0" w:color="auto"/>
              <w:left w:val="nil"/>
              <w:bottom w:val="single" w:sz="4" w:space="0" w:color="auto"/>
              <w:right w:val="nil"/>
            </w:tcBorders>
          </w:tcPr>
          <w:p w14:paraId="03385DC1" w14:textId="77777777" w:rsidR="003818B4" w:rsidRPr="00B86E32" w:rsidRDefault="003818B4" w:rsidP="00247A99">
            <w:pPr>
              <w:spacing w:after="0" w:line="200" w:lineRule="exact"/>
              <w:rPr>
                <w:rFonts w:ascii="Times New Roman" w:hAnsi="Times New Roman"/>
                <w:sz w:val="16"/>
                <w:szCs w:val="16"/>
                <w:lang w:eastAsia="zh-HK"/>
              </w:rPr>
            </w:pPr>
          </w:p>
        </w:tc>
        <w:tc>
          <w:tcPr>
            <w:tcW w:w="880" w:type="dxa"/>
            <w:tcBorders>
              <w:top w:val="single" w:sz="4" w:space="0" w:color="auto"/>
              <w:left w:val="nil"/>
              <w:bottom w:val="single" w:sz="4" w:space="0" w:color="auto"/>
              <w:right w:val="nil"/>
            </w:tcBorders>
          </w:tcPr>
          <w:p w14:paraId="24716718" w14:textId="77777777" w:rsidR="003818B4" w:rsidRPr="00B86E32" w:rsidRDefault="003818B4" w:rsidP="00247A99">
            <w:pPr>
              <w:spacing w:after="0" w:line="200" w:lineRule="exact"/>
              <w:rPr>
                <w:rFonts w:ascii="Times New Roman" w:hAnsi="Times New Roman"/>
                <w:sz w:val="16"/>
                <w:szCs w:val="16"/>
                <w:lang w:eastAsia="zh-HK"/>
              </w:rPr>
            </w:pPr>
          </w:p>
        </w:tc>
      </w:tr>
      <w:tr w:rsidR="003818B4" w:rsidRPr="00B86E32" w14:paraId="6A52A8D5" w14:textId="77777777" w:rsidTr="00B135C7">
        <w:tc>
          <w:tcPr>
            <w:tcW w:w="2311" w:type="dxa"/>
            <w:tcBorders>
              <w:top w:val="single" w:sz="4" w:space="0" w:color="auto"/>
              <w:left w:val="nil"/>
              <w:bottom w:val="nil"/>
              <w:right w:val="nil"/>
            </w:tcBorders>
          </w:tcPr>
          <w:p w14:paraId="0B3FF7A0" w14:textId="77777777" w:rsidR="003818B4" w:rsidRPr="00B86E32" w:rsidRDefault="003818B4" w:rsidP="00247A99">
            <w:pPr>
              <w:spacing w:after="0" w:line="200" w:lineRule="exact"/>
              <w:rPr>
                <w:rFonts w:ascii="Times New Roman" w:hAnsi="Times New Roman"/>
                <w:sz w:val="16"/>
                <w:szCs w:val="16"/>
                <w:lang w:eastAsia="zh-HK"/>
              </w:rPr>
            </w:pPr>
            <w:r>
              <w:rPr>
                <w:rFonts w:ascii="Times New Roman" w:hAnsi="Times New Roman"/>
                <w:sz w:val="16"/>
                <w:szCs w:val="16"/>
                <w:lang w:eastAsia="zh-HK"/>
              </w:rPr>
              <w:t>MES (%)</w:t>
            </w:r>
          </w:p>
        </w:tc>
        <w:tc>
          <w:tcPr>
            <w:tcW w:w="873" w:type="dxa"/>
            <w:tcBorders>
              <w:top w:val="single" w:sz="4" w:space="0" w:color="auto"/>
              <w:left w:val="nil"/>
              <w:bottom w:val="nil"/>
              <w:right w:val="nil"/>
            </w:tcBorders>
          </w:tcPr>
          <w:p w14:paraId="300B72C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2.15</w:t>
            </w:r>
          </w:p>
        </w:tc>
        <w:tc>
          <w:tcPr>
            <w:tcW w:w="941" w:type="dxa"/>
            <w:tcBorders>
              <w:top w:val="single" w:sz="4" w:space="0" w:color="auto"/>
              <w:left w:val="nil"/>
              <w:bottom w:val="nil"/>
              <w:right w:val="nil"/>
            </w:tcBorders>
          </w:tcPr>
          <w:p w14:paraId="423F9C07"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2.09</w:t>
            </w:r>
          </w:p>
        </w:tc>
        <w:tc>
          <w:tcPr>
            <w:tcW w:w="866" w:type="dxa"/>
            <w:tcBorders>
              <w:top w:val="single" w:sz="4" w:space="0" w:color="auto"/>
              <w:left w:val="nil"/>
              <w:bottom w:val="nil"/>
              <w:right w:val="nil"/>
            </w:tcBorders>
          </w:tcPr>
          <w:p w14:paraId="1D51A0EC"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3.47</w:t>
            </w:r>
          </w:p>
        </w:tc>
        <w:tc>
          <w:tcPr>
            <w:tcW w:w="941" w:type="dxa"/>
            <w:tcBorders>
              <w:top w:val="single" w:sz="4" w:space="0" w:color="auto"/>
              <w:left w:val="nil"/>
              <w:bottom w:val="nil"/>
              <w:right w:val="nil"/>
            </w:tcBorders>
          </w:tcPr>
          <w:p w14:paraId="5F97322F"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33.48</w:t>
            </w:r>
          </w:p>
        </w:tc>
        <w:tc>
          <w:tcPr>
            <w:tcW w:w="860" w:type="dxa"/>
            <w:tcBorders>
              <w:top w:val="single" w:sz="4" w:space="0" w:color="auto"/>
              <w:left w:val="nil"/>
              <w:bottom w:val="nil"/>
              <w:right w:val="nil"/>
            </w:tcBorders>
          </w:tcPr>
          <w:p w14:paraId="466D149C"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0.17</w:t>
            </w:r>
          </w:p>
        </w:tc>
        <w:tc>
          <w:tcPr>
            <w:tcW w:w="805" w:type="dxa"/>
            <w:tcBorders>
              <w:top w:val="single" w:sz="4" w:space="0" w:color="auto"/>
              <w:left w:val="nil"/>
              <w:bottom w:val="nil"/>
              <w:right w:val="nil"/>
            </w:tcBorders>
          </w:tcPr>
          <w:p w14:paraId="61BC6ED9"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0.85</w:t>
            </w:r>
          </w:p>
        </w:tc>
        <w:tc>
          <w:tcPr>
            <w:tcW w:w="810" w:type="dxa"/>
            <w:tcBorders>
              <w:top w:val="single" w:sz="4" w:space="0" w:color="auto"/>
              <w:left w:val="nil"/>
              <w:bottom w:val="nil"/>
              <w:right w:val="nil"/>
            </w:tcBorders>
          </w:tcPr>
          <w:p w14:paraId="14F5744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1.67</w:t>
            </w:r>
          </w:p>
        </w:tc>
        <w:tc>
          <w:tcPr>
            <w:tcW w:w="830" w:type="dxa"/>
            <w:tcBorders>
              <w:top w:val="single" w:sz="4" w:space="0" w:color="auto"/>
              <w:left w:val="nil"/>
              <w:bottom w:val="nil"/>
              <w:right w:val="nil"/>
            </w:tcBorders>
          </w:tcPr>
          <w:p w14:paraId="277B2595"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2.86</w:t>
            </w:r>
          </w:p>
        </w:tc>
        <w:tc>
          <w:tcPr>
            <w:tcW w:w="830" w:type="dxa"/>
            <w:tcBorders>
              <w:top w:val="single" w:sz="4" w:space="0" w:color="auto"/>
              <w:left w:val="nil"/>
              <w:bottom w:val="nil"/>
              <w:right w:val="nil"/>
            </w:tcBorders>
          </w:tcPr>
          <w:p w14:paraId="3A5D91C8"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4.43</w:t>
            </w:r>
          </w:p>
        </w:tc>
        <w:tc>
          <w:tcPr>
            <w:tcW w:w="880" w:type="dxa"/>
            <w:tcBorders>
              <w:top w:val="single" w:sz="4" w:space="0" w:color="auto"/>
              <w:left w:val="nil"/>
              <w:bottom w:val="nil"/>
              <w:right w:val="nil"/>
            </w:tcBorders>
          </w:tcPr>
          <w:p w14:paraId="32AE7887"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5422</w:t>
            </w:r>
          </w:p>
        </w:tc>
      </w:tr>
      <w:tr w:rsidR="003818B4" w:rsidRPr="00B86E32" w14:paraId="7448E193" w14:textId="77777777" w:rsidTr="003818B4">
        <w:tc>
          <w:tcPr>
            <w:tcW w:w="2311" w:type="dxa"/>
            <w:tcBorders>
              <w:top w:val="nil"/>
              <w:left w:val="nil"/>
              <w:bottom w:val="nil"/>
              <w:right w:val="nil"/>
            </w:tcBorders>
          </w:tcPr>
          <w:p w14:paraId="0023F2C3" w14:textId="77777777" w:rsidR="003818B4" w:rsidRPr="00B86E32" w:rsidRDefault="003818B4" w:rsidP="00247A99">
            <w:pPr>
              <w:spacing w:after="0" w:line="200" w:lineRule="exact"/>
              <w:rPr>
                <w:rFonts w:ascii="Times New Roman" w:hAnsi="Times New Roman"/>
                <w:sz w:val="16"/>
                <w:szCs w:val="16"/>
                <w:lang w:eastAsia="zh-HK"/>
              </w:rPr>
            </w:pPr>
            <w:r>
              <w:rPr>
                <w:rFonts w:ascii="Times New Roman" w:hAnsi="Times New Roman"/>
                <w:sz w:val="16"/>
                <w:szCs w:val="16"/>
                <w:lang w:eastAsia="zh-HK"/>
              </w:rPr>
              <w:t>SRISK (in billions)</w:t>
            </w:r>
          </w:p>
        </w:tc>
        <w:tc>
          <w:tcPr>
            <w:tcW w:w="873" w:type="dxa"/>
            <w:tcBorders>
              <w:top w:val="nil"/>
              <w:left w:val="nil"/>
              <w:bottom w:val="nil"/>
              <w:right w:val="nil"/>
            </w:tcBorders>
          </w:tcPr>
          <w:p w14:paraId="7E24CE38"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3.36</w:t>
            </w:r>
          </w:p>
        </w:tc>
        <w:tc>
          <w:tcPr>
            <w:tcW w:w="941" w:type="dxa"/>
            <w:tcBorders>
              <w:top w:val="nil"/>
              <w:left w:val="nil"/>
              <w:bottom w:val="nil"/>
              <w:right w:val="nil"/>
            </w:tcBorders>
          </w:tcPr>
          <w:p w14:paraId="65084110"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9.07</w:t>
            </w:r>
          </w:p>
        </w:tc>
        <w:tc>
          <w:tcPr>
            <w:tcW w:w="866" w:type="dxa"/>
            <w:tcBorders>
              <w:top w:val="nil"/>
              <w:left w:val="nil"/>
              <w:bottom w:val="nil"/>
              <w:right w:val="nil"/>
            </w:tcBorders>
          </w:tcPr>
          <w:p w14:paraId="08B501A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3.89</w:t>
            </w:r>
          </w:p>
        </w:tc>
        <w:tc>
          <w:tcPr>
            <w:tcW w:w="941" w:type="dxa"/>
            <w:tcBorders>
              <w:top w:val="nil"/>
              <w:left w:val="nil"/>
              <w:bottom w:val="nil"/>
              <w:right w:val="nil"/>
            </w:tcBorders>
          </w:tcPr>
          <w:p w14:paraId="230DC474"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18.55</w:t>
            </w:r>
          </w:p>
        </w:tc>
        <w:tc>
          <w:tcPr>
            <w:tcW w:w="860" w:type="dxa"/>
            <w:tcBorders>
              <w:top w:val="nil"/>
              <w:left w:val="nil"/>
              <w:bottom w:val="nil"/>
              <w:right w:val="nil"/>
            </w:tcBorders>
          </w:tcPr>
          <w:p w14:paraId="62366CF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0.00</w:t>
            </w:r>
          </w:p>
        </w:tc>
        <w:tc>
          <w:tcPr>
            <w:tcW w:w="805" w:type="dxa"/>
            <w:tcBorders>
              <w:top w:val="nil"/>
              <w:left w:val="nil"/>
              <w:bottom w:val="nil"/>
              <w:right w:val="nil"/>
            </w:tcBorders>
          </w:tcPr>
          <w:p w14:paraId="5CFFC707"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0.00</w:t>
            </w:r>
          </w:p>
        </w:tc>
        <w:tc>
          <w:tcPr>
            <w:tcW w:w="810" w:type="dxa"/>
            <w:tcBorders>
              <w:top w:val="nil"/>
              <w:left w:val="nil"/>
              <w:bottom w:val="nil"/>
              <w:right w:val="nil"/>
            </w:tcBorders>
          </w:tcPr>
          <w:p w14:paraId="5B833C52"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0.00</w:t>
            </w:r>
          </w:p>
        </w:tc>
        <w:tc>
          <w:tcPr>
            <w:tcW w:w="830" w:type="dxa"/>
            <w:tcBorders>
              <w:top w:val="nil"/>
              <w:left w:val="nil"/>
              <w:bottom w:val="nil"/>
              <w:right w:val="nil"/>
            </w:tcBorders>
          </w:tcPr>
          <w:p w14:paraId="54ADFB64"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1.11</w:t>
            </w:r>
          </w:p>
        </w:tc>
        <w:tc>
          <w:tcPr>
            <w:tcW w:w="830" w:type="dxa"/>
            <w:tcBorders>
              <w:top w:val="nil"/>
              <w:left w:val="nil"/>
              <w:bottom w:val="nil"/>
              <w:right w:val="nil"/>
            </w:tcBorders>
          </w:tcPr>
          <w:p w14:paraId="319210D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10.68</w:t>
            </w:r>
          </w:p>
        </w:tc>
        <w:tc>
          <w:tcPr>
            <w:tcW w:w="880" w:type="dxa"/>
            <w:tcBorders>
              <w:top w:val="nil"/>
              <w:left w:val="nil"/>
              <w:bottom w:val="nil"/>
              <w:right w:val="nil"/>
            </w:tcBorders>
          </w:tcPr>
          <w:p w14:paraId="4B9D801E"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5422</w:t>
            </w:r>
          </w:p>
        </w:tc>
      </w:tr>
      <w:tr w:rsidR="003818B4" w:rsidRPr="00B86E32" w14:paraId="32C2339B" w14:textId="77777777" w:rsidTr="003818B4">
        <w:tc>
          <w:tcPr>
            <w:tcW w:w="2311" w:type="dxa"/>
            <w:tcBorders>
              <w:top w:val="nil"/>
              <w:left w:val="nil"/>
              <w:bottom w:val="nil"/>
              <w:right w:val="nil"/>
            </w:tcBorders>
          </w:tcPr>
          <w:p w14:paraId="2B02CD13" w14:textId="77777777" w:rsidR="003818B4" w:rsidRPr="00B86E32" w:rsidRDefault="003818B4" w:rsidP="00247A99">
            <w:pPr>
              <w:spacing w:after="0" w:line="200" w:lineRule="exact"/>
              <w:rPr>
                <w:rFonts w:ascii="Times New Roman" w:eastAsiaTheme="minorEastAsia" w:hAnsi="Times New Roman"/>
                <w:sz w:val="16"/>
                <w:szCs w:val="16"/>
                <w:lang w:eastAsia="zh-HK"/>
              </w:rPr>
            </w:pPr>
            <w:r w:rsidRPr="002054F1">
              <w:rPr>
                <w:rFonts w:ascii="Times New Roman" w:hAnsi="Times New Roman" w:hint="eastAsia"/>
                <w:sz w:val="16"/>
                <w:szCs w:val="16"/>
                <w:lang w:eastAsia="zh-HK"/>
              </w:rPr>
              <w:t>Δ</w:t>
            </w:r>
            <w:proofErr w:type="spellStart"/>
            <w:r w:rsidRPr="002054F1">
              <w:rPr>
                <w:rFonts w:ascii="Times New Roman" w:hAnsi="Times New Roman"/>
                <w:sz w:val="16"/>
                <w:szCs w:val="16"/>
                <w:lang w:eastAsia="zh-HK"/>
              </w:rPr>
              <w:t>CoVAR</w:t>
            </w:r>
            <w:proofErr w:type="spellEnd"/>
            <w:r>
              <w:rPr>
                <w:rFonts w:ascii="Times New Roman" w:hAnsi="Times New Roman"/>
                <w:sz w:val="16"/>
                <w:szCs w:val="16"/>
                <w:lang w:eastAsia="zh-HK"/>
              </w:rPr>
              <w:t xml:space="preserve"> (%)</w:t>
            </w:r>
          </w:p>
        </w:tc>
        <w:tc>
          <w:tcPr>
            <w:tcW w:w="873" w:type="dxa"/>
            <w:tcBorders>
              <w:top w:val="nil"/>
              <w:left w:val="nil"/>
              <w:bottom w:val="nil"/>
              <w:right w:val="nil"/>
            </w:tcBorders>
          </w:tcPr>
          <w:p w14:paraId="2582115E"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-0.98</w:t>
            </w:r>
          </w:p>
        </w:tc>
        <w:tc>
          <w:tcPr>
            <w:tcW w:w="941" w:type="dxa"/>
            <w:tcBorders>
              <w:top w:val="nil"/>
              <w:left w:val="nil"/>
              <w:bottom w:val="nil"/>
              <w:right w:val="nil"/>
            </w:tcBorders>
          </w:tcPr>
          <w:p w14:paraId="09E11739"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0.85</w:t>
            </w:r>
          </w:p>
        </w:tc>
        <w:tc>
          <w:tcPr>
            <w:tcW w:w="866" w:type="dxa"/>
            <w:tcBorders>
              <w:top w:val="nil"/>
              <w:left w:val="nil"/>
              <w:bottom w:val="nil"/>
              <w:right w:val="nil"/>
            </w:tcBorders>
          </w:tcPr>
          <w:p w14:paraId="1B44918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-1.76</w:t>
            </w:r>
          </w:p>
        </w:tc>
        <w:tc>
          <w:tcPr>
            <w:tcW w:w="941" w:type="dxa"/>
            <w:tcBorders>
              <w:top w:val="nil"/>
              <w:left w:val="nil"/>
              <w:bottom w:val="nil"/>
              <w:right w:val="nil"/>
            </w:tcBorders>
          </w:tcPr>
          <w:p w14:paraId="30903EF0"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4.31</w:t>
            </w:r>
          </w:p>
        </w:tc>
        <w:tc>
          <w:tcPr>
            <w:tcW w:w="860" w:type="dxa"/>
            <w:tcBorders>
              <w:top w:val="nil"/>
              <w:left w:val="nil"/>
              <w:bottom w:val="nil"/>
              <w:right w:val="nil"/>
            </w:tcBorders>
          </w:tcPr>
          <w:p w14:paraId="28CB54EE"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-2.03</w:t>
            </w:r>
          </w:p>
        </w:tc>
        <w:tc>
          <w:tcPr>
            <w:tcW w:w="805" w:type="dxa"/>
            <w:tcBorders>
              <w:top w:val="nil"/>
              <w:left w:val="nil"/>
              <w:bottom w:val="nil"/>
              <w:right w:val="nil"/>
            </w:tcBorders>
          </w:tcPr>
          <w:p w14:paraId="1B85FCD7"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-1.32</w:t>
            </w:r>
          </w:p>
        </w:tc>
        <w:tc>
          <w:tcPr>
            <w:tcW w:w="810" w:type="dxa"/>
            <w:tcBorders>
              <w:top w:val="nil"/>
              <w:left w:val="nil"/>
              <w:bottom w:val="nil"/>
              <w:right w:val="nil"/>
            </w:tcBorders>
          </w:tcPr>
          <w:p w14:paraId="7E41776E"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-0.77</w:t>
            </w:r>
          </w:p>
        </w:tc>
        <w:tc>
          <w:tcPr>
            <w:tcW w:w="830" w:type="dxa"/>
            <w:tcBorders>
              <w:top w:val="nil"/>
              <w:left w:val="nil"/>
              <w:bottom w:val="nil"/>
              <w:right w:val="nil"/>
            </w:tcBorders>
          </w:tcPr>
          <w:p w14:paraId="308FA110"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-0.39</w:t>
            </w:r>
          </w:p>
        </w:tc>
        <w:tc>
          <w:tcPr>
            <w:tcW w:w="830" w:type="dxa"/>
            <w:tcBorders>
              <w:top w:val="nil"/>
              <w:left w:val="nil"/>
              <w:bottom w:val="nil"/>
              <w:right w:val="nil"/>
            </w:tcBorders>
          </w:tcPr>
          <w:p w14:paraId="11229E15"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-0.15</w:t>
            </w:r>
          </w:p>
        </w:tc>
        <w:tc>
          <w:tcPr>
            <w:tcW w:w="880" w:type="dxa"/>
            <w:tcBorders>
              <w:top w:val="nil"/>
              <w:left w:val="nil"/>
              <w:bottom w:val="nil"/>
              <w:right w:val="nil"/>
            </w:tcBorders>
          </w:tcPr>
          <w:p w14:paraId="7817591A"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5422</w:t>
            </w:r>
          </w:p>
        </w:tc>
      </w:tr>
      <w:tr w:rsidR="003818B4" w:rsidRPr="00B86E32" w14:paraId="350450B5" w14:textId="77777777" w:rsidTr="00B135C7">
        <w:tc>
          <w:tcPr>
            <w:tcW w:w="2311" w:type="dxa"/>
            <w:tcBorders>
              <w:top w:val="nil"/>
              <w:left w:val="nil"/>
              <w:bottom w:val="single" w:sz="4" w:space="0" w:color="auto"/>
              <w:right w:val="nil"/>
            </w:tcBorders>
          </w:tcPr>
          <w:p w14:paraId="5F429035" w14:textId="77777777" w:rsidR="003818B4" w:rsidRPr="00B86E32" w:rsidRDefault="003818B4" w:rsidP="00247A99">
            <w:pPr>
              <w:spacing w:after="0" w:line="200" w:lineRule="exact"/>
              <w:rPr>
                <w:rFonts w:ascii="Times New Roman" w:hAnsi="Times New Roman"/>
                <w:sz w:val="16"/>
                <w:szCs w:val="16"/>
                <w:lang w:eastAsia="zh-HK"/>
              </w:rPr>
            </w:pPr>
          </w:p>
        </w:tc>
        <w:tc>
          <w:tcPr>
            <w:tcW w:w="873" w:type="dxa"/>
            <w:tcBorders>
              <w:top w:val="nil"/>
              <w:left w:val="nil"/>
              <w:bottom w:val="single" w:sz="4" w:space="0" w:color="auto"/>
              <w:right w:val="nil"/>
            </w:tcBorders>
          </w:tcPr>
          <w:p w14:paraId="17A3255C" w14:textId="77777777" w:rsidR="003818B4" w:rsidRPr="00B86E32" w:rsidRDefault="003818B4" w:rsidP="00247A99">
            <w:pPr>
              <w:spacing w:after="0" w:line="200" w:lineRule="exact"/>
              <w:jc w:val="center"/>
              <w:rPr>
                <w:rFonts w:ascii="Times New Roman" w:hAnsi="Times New Roman"/>
                <w:sz w:val="16"/>
                <w:szCs w:val="16"/>
                <w:lang w:eastAsia="zh-HK"/>
              </w:rPr>
            </w:pPr>
          </w:p>
        </w:tc>
        <w:tc>
          <w:tcPr>
            <w:tcW w:w="941" w:type="dxa"/>
            <w:tcBorders>
              <w:top w:val="nil"/>
              <w:left w:val="nil"/>
              <w:bottom w:val="single" w:sz="4" w:space="0" w:color="auto"/>
              <w:right w:val="nil"/>
            </w:tcBorders>
          </w:tcPr>
          <w:p w14:paraId="68DD07AC" w14:textId="77777777" w:rsidR="003818B4" w:rsidRPr="00B86E32" w:rsidRDefault="003818B4" w:rsidP="00247A99">
            <w:pPr>
              <w:spacing w:after="0" w:line="200" w:lineRule="exact"/>
              <w:jc w:val="center"/>
              <w:rPr>
                <w:rFonts w:ascii="Times New Roman" w:hAnsi="Times New Roman"/>
                <w:sz w:val="16"/>
                <w:szCs w:val="16"/>
                <w:lang w:eastAsia="zh-HK"/>
              </w:rPr>
            </w:pPr>
          </w:p>
        </w:tc>
        <w:tc>
          <w:tcPr>
            <w:tcW w:w="866" w:type="dxa"/>
            <w:tcBorders>
              <w:top w:val="nil"/>
              <w:left w:val="nil"/>
              <w:bottom w:val="single" w:sz="4" w:space="0" w:color="auto"/>
              <w:right w:val="nil"/>
            </w:tcBorders>
          </w:tcPr>
          <w:p w14:paraId="027C35BE" w14:textId="77777777" w:rsidR="003818B4" w:rsidRPr="00B86E32" w:rsidRDefault="003818B4" w:rsidP="00247A99">
            <w:pPr>
              <w:spacing w:after="0" w:line="200" w:lineRule="exact"/>
              <w:jc w:val="center"/>
              <w:rPr>
                <w:rFonts w:ascii="Times New Roman" w:hAnsi="Times New Roman"/>
                <w:sz w:val="16"/>
                <w:szCs w:val="16"/>
                <w:lang w:eastAsia="zh-HK"/>
              </w:rPr>
            </w:pPr>
          </w:p>
        </w:tc>
        <w:tc>
          <w:tcPr>
            <w:tcW w:w="941" w:type="dxa"/>
            <w:tcBorders>
              <w:top w:val="nil"/>
              <w:left w:val="nil"/>
              <w:bottom w:val="single" w:sz="4" w:space="0" w:color="auto"/>
              <w:right w:val="nil"/>
            </w:tcBorders>
          </w:tcPr>
          <w:p w14:paraId="72266ED8" w14:textId="77777777" w:rsidR="003818B4" w:rsidRPr="00B86E32" w:rsidRDefault="003818B4" w:rsidP="00247A99">
            <w:pPr>
              <w:spacing w:after="0" w:line="200" w:lineRule="exact"/>
              <w:jc w:val="center"/>
              <w:rPr>
                <w:rFonts w:ascii="Times New Roman" w:hAnsi="Times New Roman"/>
                <w:sz w:val="16"/>
                <w:szCs w:val="16"/>
                <w:lang w:eastAsia="zh-HK"/>
              </w:rPr>
            </w:pPr>
          </w:p>
        </w:tc>
        <w:tc>
          <w:tcPr>
            <w:tcW w:w="860" w:type="dxa"/>
            <w:tcBorders>
              <w:top w:val="nil"/>
              <w:left w:val="nil"/>
              <w:bottom w:val="single" w:sz="4" w:space="0" w:color="auto"/>
              <w:right w:val="nil"/>
            </w:tcBorders>
          </w:tcPr>
          <w:p w14:paraId="477756D9" w14:textId="77777777" w:rsidR="003818B4" w:rsidRPr="00B86E32" w:rsidRDefault="003818B4" w:rsidP="00247A99">
            <w:pPr>
              <w:spacing w:after="0" w:line="200" w:lineRule="exact"/>
              <w:jc w:val="center"/>
              <w:rPr>
                <w:rFonts w:ascii="Times New Roman" w:hAnsi="Times New Roman"/>
                <w:sz w:val="16"/>
                <w:szCs w:val="16"/>
                <w:lang w:eastAsia="zh-HK"/>
              </w:rPr>
            </w:pPr>
          </w:p>
        </w:tc>
        <w:tc>
          <w:tcPr>
            <w:tcW w:w="805" w:type="dxa"/>
            <w:tcBorders>
              <w:top w:val="nil"/>
              <w:left w:val="nil"/>
              <w:bottom w:val="single" w:sz="4" w:space="0" w:color="auto"/>
              <w:right w:val="nil"/>
            </w:tcBorders>
          </w:tcPr>
          <w:p w14:paraId="484B8F7C" w14:textId="77777777" w:rsidR="003818B4" w:rsidRPr="00B86E32" w:rsidRDefault="003818B4" w:rsidP="00247A99">
            <w:pPr>
              <w:spacing w:after="0" w:line="200" w:lineRule="exact"/>
              <w:jc w:val="center"/>
              <w:rPr>
                <w:rFonts w:ascii="Times New Roman" w:hAnsi="Times New Roman"/>
                <w:sz w:val="16"/>
                <w:szCs w:val="16"/>
                <w:lang w:eastAsia="zh-HK"/>
              </w:rPr>
            </w:pPr>
          </w:p>
        </w:tc>
        <w:tc>
          <w:tcPr>
            <w:tcW w:w="810" w:type="dxa"/>
            <w:tcBorders>
              <w:top w:val="nil"/>
              <w:left w:val="nil"/>
              <w:bottom w:val="single" w:sz="4" w:space="0" w:color="auto"/>
              <w:right w:val="nil"/>
            </w:tcBorders>
          </w:tcPr>
          <w:p w14:paraId="15CC5AEC" w14:textId="77777777" w:rsidR="003818B4" w:rsidRPr="00B86E32" w:rsidRDefault="003818B4" w:rsidP="00247A99">
            <w:pPr>
              <w:spacing w:after="0" w:line="200" w:lineRule="exact"/>
              <w:jc w:val="center"/>
              <w:rPr>
                <w:rFonts w:ascii="Times New Roman" w:hAnsi="Times New Roman"/>
                <w:sz w:val="16"/>
                <w:szCs w:val="16"/>
                <w:lang w:eastAsia="zh-HK"/>
              </w:rPr>
            </w:pPr>
          </w:p>
        </w:tc>
        <w:tc>
          <w:tcPr>
            <w:tcW w:w="830" w:type="dxa"/>
            <w:tcBorders>
              <w:top w:val="nil"/>
              <w:left w:val="nil"/>
              <w:bottom w:val="single" w:sz="4" w:space="0" w:color="auto"/>
              <w:right w:val="nil"/>
            </w:tcBorders>
          </w:tcPr>
          <w:p w14:paraId="5BC8BF2A" w14:textId="77777777" w:rsidR="003818B4" w:rsidRPr="00B86E32" w:rsidRDefault="003818B4" w:rsidP="00247A99">
            <w:pPr>
              <w:spacing w:after="0" w:line="200" w:lineRule="exact"/>
              <w:jc w:val="center"/>
              <w:rPr>
                <w:rFonts w:ascii="Times New Roman" w:hAnsi="Times New Roman"/>
                <w:sz w:val="16"/>
                <w:szCs w:val="16"/>
                <w:lang w:eastAsia="zh-HK"/>
              </w:rPr>
            </w:pPr>
          </w:p>
        </w:tc>
        <w:tc>
          <w:tcPr>
            <w:tcW w:w="830" w:type="dxa"/>
            <w:tcBorders>
              <w:top w:val="nil"/>
              <w:left w:val="nil"/>
              <w:bottom w:val="single" w:sz="4" w:space="0" w:color="auto"/>
              <w:right w:val="nil"/>
            </w:tcBorders>
          </w:tcPr>
          <w:p w14:paraId="3F5A8746" w14:textId="77777777" w:rsidR="003818B4" w:rsidRPr="00B86E32" w:rsidRDefault="003818B4" w:rsidP="00247A99">
            <w:pPr>
              <w:spacing w:after="0" w:line="200" w:lineRule="exact"/>
              <w:jc w:val="center"/>
              <w:rPr>
                <w:rFonts w:ascii="Times New Roman" w:hAnsi="Times New Roman"/>
                <w:sz w:val="16"/>
                <w:szCs w:val="16"/>
                <w:lang w:eastAsia="zh-HK"/>
              </w:rPr>
            </w:pPr>
          </w:p>
        </w:tc>
        <w:tc>
          <w:tcPr>
            <w:tcW w:w="880" w:type="dxa"/>
            <w:tcBorders>
              <w:top w:val="nil"/>
              <w:left w:val="nil"/>
              <w:bottom w:val="single" w:sz="4" w:space="0" w:color="auto"/>
              <w:right w:val="nil"/>
            </w:tcBorders>
          </w:tcPr>
          <w:p w14:paraId="0F045A2E" w14:textId="77777777" w:rsidR="003818B4" w:rsidRPr="00B86E32" w:rsidRDefault="003818B4" w:rsidP="00247A99">
            <w:pPr>
              <w:spacing w:after="0" w:line="200" w:lineRule="exact"/>
              <w:jc w:val="center"/>
              <w:rPr>
                <w:rFonts w:ascii="Times New Roman" w:hAnsi="Times New Roman"/>
                <w:sz w:val="16"/>
                <w:szCs w:val="16"/>
                <w:lang w:eastAsia="zh-HK"/>
              </w:rPr>
            </w:pPr>
          </w:p>
        </w:tc>
      </w:tr>
      <w:tr w:rsidR="003818B4" w:rsidRPr="00B86E32" w14:paraId="5C97DDA4" w14:textId="77777777" w:rsidTr="00B135C7">
        <w:tc>
          <w:tcPr>
            <w:tcW w:w="7597" w:type="dxa"/>
            <w:gridSpan w:val="7"/>
            <w:tcBorders>
              <w:top w:val="single" w:sz="4" w:space="0" w:color="auto"/>
              <w:left w:val="nil"/>
              <w:bottom w:val="single" w:sz="4" w:space="0" w:color="auto"/>
              <w:right w:val="nil"/>
            </w:tcBorders>
          </w:tcPr>
          <w:p w14:paraId="0198F9DD" w14:textId="77777777" w:rsidR="003818B4" w:rsidRPr="002054F1" w:rsidRDefault="003818B4" w:rsidP="00247A99">
            <w:pPr>
              <w:spacing w:after="0" w:line="200" w:lineRule="exact"/>
              <w:rPr>
                <w:rFonts w:ascii="Times New Roman" w:hAnsi="Times New Roman"/>
                <w:b/>
                <w:i/>
                <w:sz w:val="16"/>
                <w:szCs w:val="16"/>
                <w:lang w:eastAsia="zh-HK"/>
              </w:rPr>
            </w:pPr>
            <w:r w:rsidRPr="002054F1">
              <w:rPr>
                <w:rFonts w:ascii="Times New Roman" w:hAnsi="Times New Roman" w:hint="eastAsia"/>
                <w:b/>
                <w:i/>
                <w:sz w:val="16"/>
                <w:szCs w:val="16"/>
                <w:lang w:eastAsia="zh-HK"/>
              </w:rPr>
              <w:t>Panel B: Firm characteristics</w:t>
            </w:r>
          </w:p>
        </w:tc>
        <w:tc>
          <w:tcPr>
            <w:tcW w:w="810" w:type="dxa"/>
            <w:tcBorders>
              <w:top w:val="single" w:sz="4" w:space="0" w:color="auto"/>
              <w:left w:val="nil"/>
              <w:bottom w:val="single" w:sz="4" w:space="0" w:color="auto"/>
              <w:right w:val="nil"/>
            </w:tcBorders>
          </w:tcPr>
          <w:p w14:paraId="64B6390C" w14:textId="77777777" w:rsidR="003818B4" w:rsidRPr="00B86E32" w:rsidRDefault="003818B4" w:rsidP="00247A99">
            <w:pPr>
              <w:spacing w:after="0" w:line="200" w:lineRule="exact"/>
              <w:rPr>
                <w:rFonts w:ascii="Times New Roman" w:hAnsi="Times New Roman"/>
                <w:sz w:val="16"/>
                <w:szCs w:val="16"/>
                <w:lang w:eastAsia="zh-HK"/>
              </w:rPr>
            </w:pPr>
          </w:p>
        </w:tc>
        <w:tc>
          <w:tcPr>
            <w:tcW w:w="830" w:type="dxa"/>
            <w:tcBorders>
              <w:top w:val="single" w:sz="4" w:space="0" w:color="auto"/>
              <w:left w:val="nil"/>
              <w:bottom w:val="single" w:sz="4" w:space="0" w:color="auto"/>
              <w:right w:val="nil"/>
            </w:tcBorders>
          </w:tcPr>
          <w:p w14:paraId="3DB7702E" w14:textId="77777777" w:rsidR="003818B4" w:rsidRPr="00B86E32" w:rsidRDefault="003818B4" w:rsidP="00247A99">
            <w:pPr>
              <w:spacing w:after="0" w:line="200" w:lineRule="exact"/>
              <w:rPr>
                <w:rFonts w:ascii="Times New Roman" w:hAnsi="Times New Roman"/>
                <w:sz w:val="16"/>
                <w:szCs w:val="16"/>
                <w:lang w:eastAsia="zh-HK"/>
              </w:rPr>
            </w:pPr>
          </w:p>
        </w:tc>
        <w:tc>
          <w:tcPr>
            <w:tcW w:w="830" w:type="dxa"/>
            <w:tcBorders>
              <w:top w:val="single" w:sz="4" w:space="0" w:color="auto"/>
              <w:left w:val="nil"/>
              <w:bottom w:val="single" w:sz="4" w:space="0" w:color="auto"/>
              <w:right w:val="nil"/>
            </w:tcBorders>
          </w:tcPr>
          <w:p w14:paraId="41576C74" w14:textId="77777777" w:rsidR="003818B4" w:rsidRPr="00B86E32" w:rsidRDefault="003818B4" w:rsidP="00247A99">
            <w:pPr>
              <w:spacing w:after="0" w:line="200" w:lineRule="exact"/>
              <w:rPr>
                <w:rFonts w:ascii="Times New Roman" w:hAnsi="Times New Roman"/>
                <w:sz w:val="16"/>
                <w:szCs w:val="16"/>
                <w:lang w:eastAsia="zh-HK"/>
              </w:rPr>
            </w:pPr>
          </w:p>
        </w:tc>
        <w:tc>
          <w:tcPr>
            <w:tcW w:w="880" w:type="dxa"/>
            <w:tcBorders>
              <w:top w:val="single" w:sz="4" w:space="0" w:color="auto"/>
              <w:left w:val="nil"/>
              <w:bottom w:val="single" w:sz="4" w:space="0" w:color="auto"/>
              <w:right w:val="nil"/>
            </w:tcBorders>
          </w:tcPr>
          <w:p w14:paraId="51E86C84" w14:textId="77777777" w:rsidR="003818B4" w:rsidRPr="00B86E32" w:rsidRDefault="003818B4" w:rsidP="00247A99">
            <w:pPr>
              <w:spacing w:after="0" w:line="200" w:lineRule="exact"/>
              <w:rPr>
                <w:rFonts w:ascii="Times New Roman" w:hAnsi="Times New Roman"/>
                <w:sz w:val="16"/>
                <w:szCs w:val="16"/>
                <w:lang w:eastAsia="zh-HK"/>
              </w:rPr>
            </w:pPr>
          </w:p>
        </w:tc>
      </w:tr>
      <w:tr w:rsidR="003818B4" w:rsidRPr="00B86E32" w14:paraId="1D449FD1" w14:textId="77777777" w:rsidTr="00B135C7">
        <w:tc>
          <w:tcPr>
            <w:tcW w:w="2311" w:type="dxa"/>
            <w:tcBorders>
              <w:top w:val="single" w:sz="4" w:space="0" w:color="auto"/>
              <w:left w:val="nil"/>
              <w:bottom w:val="nil"/>
              <w:right w:val="nil"/>
            </w:tcBorders>
          </w:tcPr>
          <w:p w14:paraId="491EC6AD" w14:textId="77777777" w:rsidR="003818B4" w:rsidRPr="00B86E32"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sz w:val="16"/>
                <w:szCs w:val="16"/>
                <w:lang w:eastAsia="zh-HK"/>
              </w:rPr>
              <w:t>Log (Assets in billions)</w:t>
            </w:r>
          </w:p>
        </w:tc>
        <w:tc>
          <w:tcPr>
            <w:tcW w:w="873" w:type="dxa"/>
            <w:tcBorders>
              <w:top w:val="single" w:sz="4" w:space="0" w:color="auto"/>
              <w:left w:val="nil"/>
              <w:bottom w:val="nil"/>
              <w:right w:val="nil"/>
            </w:tcBorders>
          </w:tcPr>
          <w:p w14:paraId="3CB8BC7B"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3.30</w:t>
            </w:r>
          </w:p>
        </w:tc>
        <w:tc>
          <w:tcPr>
            <w:tcW w:w="941" w:type="dxa"/>
            <w:tcBorders>
              <w:top w:val="single" w:sz="4" w:space="0" w:color="auto"/>
              <w:left w:val="nil"/>
              <w:bottom w:val="nil"/>
              <w:right w:val="nil"/>
            </w:tcBorders>
          </w:tcPr>
          <w:p w14:paraId="1623882A"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1.90</w:t>
            </w:r>
          </w:p>
        </w:tc>
        <w:tc>
          <w:tcPr>
            <w:tcW w:w="866" w:type="dxa"/>
            <w:tcBorders>
              <w:top w:val="single" w:sz="4" w:space="0" w:color="auto"/>
              <w:left w:val="nil"/>
              <w:bottom w:val="nil"/>
              <w:right w:val="nil"/>
            </w:tcBorders>
          </w:tcPr>
          <w:p w14:paraId="6C2B5FB0"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-0.38</w:t>
            </w:r>
          </w:p>
        </w:tc>
        <w:tc>
          <w:tcPr>
            <w:tcW w:w="941" w:type="dxa"/>
            <w:tcBorders>
              <w:top w:val="single" w:sz="4" w:space="0" w:color="auto"/>
              <w:left w:val="nil"/>
              <w:bottom w:val="nil"/>
              <w:right w:val="nil"/>
            </w:tcBorders>
          </w:tcPr>
          <w:p w14:paraId="5702D820"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0.16</w:t>
            </w:r>
          </w:p>
        </w:tc>
        <w:tc>
          <w:tcPr>
            <w:tcW w:w="860" w:type="dxa"/>
            <w:tcBorders>
              <w:top w:val="single" w:sz="4" w:space="0" w:color="auto"/>
              <w:left w:val="nil"/>
              <w:bottom w:val="nil"/>
              <w:right w:val="nil"/>
            </w:tcBorders>
          </w:tcPr>
          <w:p w14:paraId="232A20C3"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0.78</w:t>
            </w:r>
          </w:p>
        </w:tc>
        <w:tc>
          <w:tcPr>
            <w:tcW w:w="805" w:type="dxa"/>
            <w:tcBorders>
              <w:top w:val="single" w:sz="4" w:space="0" w:color="auto"/>
              <w:left w:val="nil"/>
              <w:bottom w:val="nil"/>
              <w:right w:val="nil"/>
            </w:tcBorders>
          </w:tcPr>
          <w:p w14:paraId="2237AA37"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2.08</w:t>
            </w:r>
          </w:p>
        </w:tc>
        <w:tc>
          <w:tcPr>
            <w:tcW w:w="810" w:type="dxa"/>
            <w:tcBorders>
              <w:top w:val="single" w:sz="4" w:space="0" w:color="auto"/>
              <w:left w:val="nil"/>
              <w:bottom w:val="nil"/>
              <w:right w:val="nil"/>
            </w:tcBorders>
          </w:tcPr>
          <w:p w14:paraId="4C89BD7F"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3.30</w:t>
            </w:r>
          </w:p>
        </w:tc>
        <w:tc>
          <w:tcPr>
            <w:tcW w:w="830" w:type="dxa"/>
            <w:tcBorders>
              <w:top w:val="single" w:sz="4" w:space="0" w:color="auto"/>
              <w:left w:val="nil"/>
              <w:bottom w:val="nil"/>
              <w:right w:val="nil"/>
            </w:tcBorders>
          </w:tcPr>
          <w:p w14:paraId="5B378FD8"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4.72</w:t>
            </w:r>
          </w:p>
        </w:tc>
        <w:tc>
          <w:tcPr>
            <w:tcW w:w="830" w:type="dxa"/>
            <w:tcBorders>
              <w:top w:val="single" w:sz="4" w:space="0" w:color="auto"/>
              <w:left w:val="nil"/>
              <w:bottom w:val="nil"/>
              <w:right w:val="nil"/>
            </w:tcBorders>
          </w:tcPr>
          <w:p w14:paraId="7D964215"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5.87</w:t>
            </w:r>
          </w:p>
        </w:tc>
        <w:tc>
          <w:tcPr>
            <w:tcW w:w="880" w:type="dxa"/>
            <w:tcBorders>
              <w:top w:val="single" w:sz="4" w:space="0" w:color="auto"/>
              <w:left w:val="nil"/>
              <w:bottom w:val="nil"/>
              <w:right w:val="nil"/>
            </w:tcBorders>
          </w:tcPr>
          <w:p w14:paraId="0872200F"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5390</w:t>
            </w:r>
          </w:p>
        </w:tc>
      </w:tr>
      <w:tr w:rsidR="00B81BC1" w:rsidRPr="00B86E32" w14:paraId="5811D549" w14:textId="77777777" w:rsidTr="003818B4">
        <w:trPr>
          <w:trHeight w:val="420"/>
        </w:trPr>
        <w:tc>
          <w:tcPr>
            <w:tcW w:w="2311" w:type="dxa"/>
            <w:tcBorders>
              <w:top w:val="nil"/>
              <w:left w:val="nil"/>
              <w:bottom w:val="nil"/>
              <w:right w:val="nil"/>
            </w:tcBorders>
          </w:tcPr>
          <w:p w14:paraId="6CB3C986" w14:textId="77777777" w:rsidR="00B81BC1" w:rsidRPr="00B86E32" w:rsidRDefault="00B81BC1" w:rsidP="00B81BC1">
            <w:pPr>
              <w:spacing w:after="0" w:line="200" w:lineRule="exact"/>
              <w:rPr>
                <w:rFonts w:ascii="Times New Roman" w:hAnsi="Times New Roman"/>
                <w:sz w:val="16"/>
                <w:szCs w:val="16"/>
                <w:lang w:eastAsia="zh-HK"/>
              </w:rPr>
            </w:pPr>
            <w:r>
              <w:rPr>
                <w:rFonts w:ascii="Times New Roman" w:hAnsi="Times New Roman"/>
                <w:sz w:val="16"/>
                <w:szCs w:val="16"/>
                <w:lang w:eastAsia="zh-HK"/>
              </w:rPr>
              <w:t>Leverage</w:t>
            </w:r>
          </w:p>
        </w:tc>
        <w:tc>
          <w:tcPr>
            <w:tcW w:w="873" w:type="dxa"/>
            <w:tcBorders>
              <w:top w:val="nil"/>
              <w:left w:val="nil"/>
              <w:bottom w:val="nil"/>
              <w:right w:val="nil"/>
            </w:tcBorders>
          </w:tcPr>
          <w:p w14:paraId="48470726" w14:textId="7DE52797" w:rsidR="00B81BC1" w:rsidRPr="00CE18A6" w:rsidRDefault="00B81BC1" w:rsidP="00B81BC1">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10.08</w:t>
            </w:r>
          </w:p>
        </w:tc>
        <w:tc>
          <w:tcPr>
            <w:tcW w:w="941" w:type="dxa"/>
            <w:tcBorders>
              <w:top w:val="nil"/>
              <w:left w:val="nil"/>
              <w:bottom w:val="nil"/>
              <w:right w:val="nil"/>
            </w:tcBorders>
          </w:tcPr>
          <w:p w14:paraId="67EA252D" w14:textId="6240DA50" w:rsidR="00B81BC1" w:rsidRPr="00CE18A6" w:rsidRDefault="00B81BC1" w:rsidP="00B81BC1">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13.41</w:t>
            </w:r>
          </w:p>
        </w:tc>
        <w:tc>
          <w:tcPr>
            <w:tcW w:w="866" w:type="dxa"/>
            <w:tcBorders>
              <w:top w:val="nil"/>
              <w:left w:val="nil"/>
              <w:bottom w:val="nil"/>
              <w:right w:val="nil"/>
            </w:tcBorders>
          </w:tcPr>
          <w:p w14:paraId="1CA13087" w14:textId="51A21763" w:rsidR="00B81BC1" w:rsidRPr="00CE18A6" w:rsidRDefault="00B81BC1" w:rsidP="00B81BC1">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6.41</w:t>
            </w:r>
          </w:p>
        </w:tc>
        <w:tc>
          <w:tcPr>
            <w:tcW w:w="941" w:type="dxa"/>
            <w:tcBorders>
              <w:top w:val="nil"/>
              <w:left w:val="nil"/>
              <w:bottom w:val="nil"/>
              <w:right w:val="nil"/>
            </w:tcBorders>
          </w:tcPr>
          <w:p w14:paraId="6ECF6436" w14:textId="7DD7C278" w:rsidR="00B81BC1" w:rsidRPr="00CE18A6" w:rsidRDefault="00B81BC1" w:rsidP="00B81BC1">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73.26</w:t>
            </w:r>
          </w:p>
        </w:tc>
        <w:tc>
          <w:tcPr>
            <w:tcW w:w="860" w:type="dxa"/>
            <w:tcBorders>
              <w:top w:val="nil"/>
              <w:left w:val="nil"/>
              <w:bottom w:val="nil"/>
              <w:right w:val="nil"/>
            </w:tcBorders>
          </w:tcPr>
          <w:p w14:paraId="25445C29" w14:textId="63673AD7" w:rsidR="00B81BC1" w:rsidRPr="00CE18A6" w:rsidRDefault="00B81BC1" w:rsidP="00B81BC1">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1.99</w:t>
            </w:r>
          </w:p>
        </w:tc>
        <w:tc>
          <w:tcPr>
            <w:tcW w:w="805" w:type="dxa"/>
            <w:tcBorders>
              <w:top w:val="nil"/>
              <w:left w:val="nil"/>
              <w:bottom w:val="nil"/>
              <w:right w:val="nil"/>
            </w:tcBorders>
          </w:tcPr>
          <w:p w14:paraId="4A906424" w14:textId="35701001" w:rsidR="00B81BC1" w:rsidRPr="00CE18A6" w:rsidRDefault="00B81BC1" w:rsidP="00B81BC1">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3.06</w:t>
            </w:r>
          </w:p>
        </w:tc>
        <w:tc>
          <w:tcPr>
            <w:tcW w:w="810" w:type="dxa"/>
            <w:tcBorders>
              <w:top w:val="nil"/>
              <w:left w:val="nil"/>
              <w:bottom w:val="nil"/>
              <w:right w:val="nil"/>
            </w:tcBorders>
          </w:tcPr>
          <w:p w14:paraId="205E8B5A" w14:textId="7F073C22" w:rsidR="00B81BC1" w:rsidRPr="00CE18A6" w:rsidRDefault="00B81BC1" w:rsidP="00B81BC1">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5.83</w:t>
            </w:r>
          </w:p>
        </w:tc>
        <w:tc>
          <w:tcPr>
            <w:tcW w:w="830" w:type="dxa"/>
            <w:tcBorders>
              <w:top w:val="nil"/>
              <w:left w:val="nil"/>
              <w:bottom w:val="nil"/>
              <w:right w:val="nil"/>
            </w:tcBorders>
          </w:tcPr>
          <w:p w14:paraId="6614C01A" w14:textId="7A3BB65D" w:rsidR="00B81BC1" w:rsidRPr="00CE18A6" w:rsidRDefault="00B81BC1" w:rsidP="00B81BC1">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11.9</w:t>
            </w:r>
          </w:p>
        </w:tc>
        <w:tc>
          <w:tcPr>
            <w:tcW w:w="830" w:type="dxa"/>
            <w:tcBorders>
              <w:top w:val="nil"/>
              <w:left w:val="nil"/>
              <w:bottom w:val="nil"/>
              <w:right w:val="nil"/>
            </w:tcBorders>
          </w:tcPr>
          <w:p w14:paraId="451A9F6E" w14:textId="4B90166A" w:rsidR="00B81BC1" w:rsidRPr="00CE18A6" w:rsidRDefault="00B81BC1" w:rsidP="00B81BC1">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22.34</w:t>
            </w:r>
          </w:p>
        </w:tc>
        <w:tc>
          <w:tcPr>
            <w:tcW w:w="880" w:type="dxa"/>
            <w:tcBorders>
              <w:top w:val="nil"/>
              <w:left w:val="nil"/>
              <w:bottom w:val="nil"/>
              <w:right w:val="nil"/>
            </w:tcBorders>
          </w:tcPr>
          <w:p w14:paraId="29630DB6" w14:textId="555EEAB0" w:rsidR="00B81BC1" w:rsidRPr="00CE18A6" w:rsidRDefault="00B81BC1" w:rsidP="00B81BC1">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5369</w:t>
            </w:r>
          </w:p>
        </w:tc>
      </w:tr>
      <w:tr w:rsidR="003818B4" w:rsidRPr="00B86E32" w14:paraId="3E228C22" w14:textId="77777777" w:rsidTr="003818B4">
        <w:trPr>
          <w:trHeight w:val="420"/>
        </w:trPr>
        <w:tc>
          <w:tcPr>
            <w:tcW w:w="2311" w:type="dxa"/>
            <w:tcBorders>
              <w:top w:val="nil"/>
              <w:left w:val="nil"/>
              <w:bottom w:val="nil"/>
              <w:right w:val="nil"/>
            </w:tcBorders>
          </w:tcPr>
          <w:p w14:paraId="3F302703" w14:textId="77777777" w:rsidR="003818B4" w:rsidRPr="00B86E32" w:rsidRDefault="003818B4" w:rsidP="00247A99">
            <w:pPr>
              <w:spacing w:after="0" w:line="200" w:lineRule="exact"/>
              <w:rPr>
                <w:rFonts w:ascii="Times New Roman" w:hAnsi="Times New Roman"/>
                <w:sz w:val="16"/>
                <w:szCs w:val="16"/>
                <w:lang w:eastAsia="zh-HK"/>
              </w:rPr>
            </w:pPr>
            <w:r>
              <w:rPr>
                <w:rFonts w:ascii="Times New Roman" w:hAnsi="Times New Roman"/>
                <w:sz w:val="16"/>
                <w:szCs w:val="16"/>
                <w:lang w:eastAsia="zh-HK"/>
              </w:rPr>
              <w:t>Non-insurance activities</w:t>
            </w:r>
          </w:p>
        </w:tc>
        <w:tc>
          <w:tcPr>
            <w:tcW w:w="873" w:type="dxa"/>
            <w:tcBorders>
              <w:top w:val="nil"/>
              <w:left w:val="nil"/>
              <w:bottom w:val="nil"/>
              <w:right w:val="nil"/>
            </w:tcBorders>
          </w:tcPr>
          <w:p w14:paraId="35558198"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0.30</w:t>
            </w:r>
          </w:p>
        </w:tc>
        <w:tc>
          <w:tcPr>
            <w:tcW w:w="941" w:type="dxa"/>
            <w:tcBorders>
              <w:top w:val="nil"/>
              <w:left w:val="nil"/>
              <w:bottom w:val="nil"/>
              <w:right w:val="nil"/>
            </w:tcBorders>
          </w:tcPr>
          <w:p w14:paraId="2C598674"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0.27</w:t>
            </w:r>
          </w:p>
        </w:tc>
        <w:tc>
          <w:tcPr>
            <w:tcW w:w="866" w:type="dxa"/>
            <w:tcBorders>
              <w:top w:val="nil"/>
              <w:left w:val="nil"/>
              <w:bottom w:val="nil"/>
              <w:right w:val="nil"/>
            </w:tcBorders>
          </w:tcPr>
          <w:p w14:paraId="0187C8A4"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7.50</w:t>
            </w:r>
          </w:p>
        </w:tc>
        <w:tc>
          <w:tcPr>
            <w:tcW w:w="941" w:type="dxa"/>
            <w:tcBorders>
              <w:top w:val="nil"/>
              <w:left w:val="nil"/>
              <w:bottom w:val="nil"/>
              <w:right w:val="nil"/>
            </w:tcBorders>
          </w:tcPr>
          <w:p w14:paraId="5128ED68"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115.97</w:t>
            </w:r>
          </w:p>
        </w:tc>
        <w:tc>
          <w:tcPr>
            <w:tcW w:w="860" w:type="dxa"/>
            <w:tcBorders>
              <w:top w:val="nil"/>
              <w:left w:val="nil"/>
              <w:bottom w:val="nil"/>
              <w:right w:val="nil"/>
            </w:tcBorders>
          </w:tcPr>
          <w:p w14:paraId="2A28809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0.09</w:t>
            </w:r>
          </w:p>
        </w:tc>
        <w:tc>
          <w:tcPr>
            <w:tcW w:w="805" w:type="dxa"/>
            <w:tcBorders>
              <w:top w:val="nil"/>
              <w:left w:val="nil"/>
              <w:bottom w:val="nil"/>
              <w:right w:val="nil"/>
            </w:tcBorders>
          </w:tcPr>
          <w:p w14:paraId="6EDA86BC"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0.15</w:t>
            </w:r>
          </w:p>
        </w:tc>
        <w:tc>
          <w:tcPr>
            <w:tcW w:w="810" w:type="dxa"/>
            <w:tcBorders>
              <w:top w:val="nil"/>
              <w:left w:val="nil"/>
              <w:bottom w:val="nil"/>
              <w:right w:val="nil"/>
            </w:tcBorders>
          </w:tcPr>
          <w:p w14:paraId="506FBEA0"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0.24</w:t>
            </w:r>
          </w:p>
        </w:tc>
        <w:tc>
          <w:tcPr>
            <w:tcW w:w="830" w:type="dxa"/>
            <w:tcBorders>
              <w:top w:val="nil"/>
              <w:left w:val="nil"/>
              <w:bottom w:val="nil"/>
              <w:right w:val="nil"/>
            </w:tcBorders>
          </w:tcPr>
          <w:p w14:paraId="69F0E25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0.39</w:t>
            </w:r>
          </w:p>
        </w:tc>
        <w:tc>
          <w:tcPr>
            <w:tcW w:w="830" w:type="dxa"/>
            <w:tcBorders>
              <w:top w:val="nil"/>
              <w:left w:val="nil"/>
              <w:bottom w:val="nil"/>
              <w:right w:val="nil"/>
            </w:tcBorders>
          </w:tcPr>
          <w:p w14:paraId="59289BE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0.58</w:t>
            </w:r>
          </w:p>
        </w:tc>
        <w:tc>
          <w:tcPr>
            <w:tcW w:w="880" w:type="dxa"/>
            <w:tcBorders>
              <w:top w:val="nil"/>
              <w:left w:val="nil"/>
              <w:bottom w:val="nil"/>
              <w:right w:val="nil"/>
            </w:tcBorders>
          </w:tcPr>
          <w:p w14:paraId="05F25E91"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4896</w:t>
            </w:r>
          </w:p>
        </w:tc>
      </w:tr>
      <w:tr w:rsidR="003818B4" w:rsidRPr="00B86E32" w14:paraId="3F3E37E9" w14:textId="77777777" w:rsidTr="003818B4">
        <w:tc>
          <w:tcPr>
            <w:tcW w:w="2311" w:type="dxa"/>
            <w:tcBorders>
              <w:top w:val="nil"/>
              <w:left w:val="nil"/>
              <w:bottom w:val="nil"/>
              <w:right w:val="nil"/>
            </w:tcBorders>
          </w:tcPr>
          <w:p w14:paraId="4E66DBAD" w14:textId="77777777" w:rsidR="003818B4" w:rsidRPr="00B86E32" w:rsidRDefault="003818B4" w:rsidP="00247A99">
            <w:pPr>
              <w:spacing w:after="0" w:line="200" w:lineRule="exact"/>
              <w:rPr>
                <w:rFonts w:ascii="Times New Roman" w:eastAsiaTheme="minorEastAsia" w:hAnsi="Times New Roman"/>
                <w:sz w:val="16"/>
                <w:szCs w:val="16"/>
                <w:lang w:eastAsia="zh-HK"/>
              </w:rPr>
            </w:pPr>
            <w:r>
              <w:rPr>
                <w:rFonts w:ascii="Times New Roman" w:hAnsi="Times New Roman"/>
                <w:sz w:val="16"/>
                <w:szCs w:val="16"/>
                <w:lang w:eastAsia="zh-HK"/>
              </w:rPr>
              <w:t>Other incomes (%)</w:t>
            </w:r>
          </w:p>
        </w:tc>
        <w:tc>
          <w:tcPr>
            <w:tcW w:w="873" w:type="dxa"/>
            <w:tcBorders>
              <w:top w:val="nil"/>
              <w:left w:val="nil"/>
              <w:bottom w:val="nil"/>
              <w:right w:val="nil"/>
            </w:tcBorders>
          </w:tcPr>
          <w:p w14:paraId="5B066831"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0.05</w:t>
            </w:r>
          </w:p>
        </w:tc>
        <w:tc>
          <w:tcPr>
            <w:tcW w:w="941" w:type="dxa"/>
            <w:tcBorders>
              <w:top w:val="nil"/>
              <w:left w:val="nil"/>
              <w:bottom w:val="nil"/>
              <w:right w:val="nil"/>
            </w:tcBorders>
          </w:tcPr>
          <w:p w14:paraId="1FD812A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4.42</w:t>
            </w:r>
          </w:p>
        </w:tc>
        <w:tc>
          <w:tcPr>
            <w:tcW w:w="866" w:type="dxa"/>
            <w:tcBorders>
              <w:top w:val="nil"/>
              <w:left w:val="nil"/>
              <w:bottom w:val="nil"/>
              <w:right w:val="nil"/>
            </w:tcBorders>
          </w:tcPr>
          <w:p w14:paraId="3F50EF0E"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-9.29</w:t>
            </w:r>
          </w:p>
        </w:tc>
        <w:tc>
          <w:tcPr>
            <w:tcW w:w="941" w:type="dxa"/>
            <w:tcBorders>
              <w:top w:val="nil"/>
              <w:left w:val="nil"/>
              <w:bottom w:val="nil"/>
              <w:right w:val="nil"/>
            </w:tcBorders>
          </w:tcPr>
          <w:p w14:paraId="1EEFCA20"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161.71</w:t>
            </w:r>
          </w:p>
        </w:tc>
        <w:tc>
          <w:tcPr>
            <w:tcW w:w="860" w:type="dxa"/>
            <w:tcBorders>
              <w:top w:val="nil"/>
              <w:left w:val="nil"/>
              <w:bottom w:val="nil"/>
              <w:right w:val="nil"/>
            </w:tcBorders>
          </w:tcPr>
          <w:p w14:paraId="7029DF86"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-1.03</w:t>
            </w:r>
          </w:p>
        </w:tc>
        <w:tc>
          <w:tcPr>
            <w:tcW w:w="805" w:type="dxa"/>
            <w:tcBorders>
              <w:top w:val="nil"/>
              <w:left w:val="nil"/>
              <w:bottom w:val="nil"/>
              <w:right w:val="nil"/>
            </w:tcBorders>
          </w:tcPr>
          <w:p w14:paraId="117116D6"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-0.04</w:t>
            </w:r>
          </w:p>
        </w:tc>
        <w:tc>
          <w:tcPr>
            <w:tcW w:w="810" w:type="dxa"/>
            <w:tcBorders>
              <w:top w:val="nil"/>
              <w:left w:val="nil"/>
              <w:bottom w:val="nil"/>
              <w:right w:val="nil"/>
            </w:tcBorders>
          </w:tcPr>
          <w:p w14:paraId="3A85CCA9"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0.00</w:t>
            </w:r>
          </w:p>
        </w:tc>
        <w:tc>
          <w:tcPr>
            <w:tcW w:w="830" w:type="dxa"/>
            <w:tcBorders>
              <w:top w:val="nil"/>
              <w:left w:val="nil"/>
              <w:bottom w:val="nil"/>
              <w:right w:val="nil"/>
            </w:tcBorders>
          </w:tcPr>
          <w:p w14:paraId="3A093CB9"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0.18</w:t>
            </w:r>
          </w:p>
        </w:tc>
        <w:tc>
          <w:tcPr>
            <w:tcW w:w="830" w:type="dxa"/>
            <w:tcBorders>
              <w:top w:val="nil"/>
              <w:left w:val="nil"/>
              <w:bottom w:val="nil"/>
              <w:right w:val="nil"/>
            </w:tcBorders>
          </w:tcPr>
          <w:p w14:paraId="0F6B4A12"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1.52</w:t>
            </w:r>
          </w:p>
        </w:tc>
        <w:tc>
          <w:tcPr>
            <w:tcW w:w="880" w:type="dxa"/>
            <w:tcBorders>
              <w:top w:val="nil"/>
              <w:left w:val="nil"/>
              <w:bottom w:val="nil"/>
              <w:right w:val="nil"/>
            </w:tcBorders>
          </w:tcPr>
          <w:p w14:paraId="2205453F"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5390</w:t>
            </w:r>
          </w:p>
        </w:tc>
      </w:tr>
      <w:tr w:rsidR="00DB693E" w:rsidRPr="00B86E32" w14:paraId="00C9D82C" w14:textId="77777777" w:rsidTr="003818B4">
        <w:tc>
          <w:tcPr>
            <w:tcW w:w="2311" w:type="dxa"/>
            <w:tcBorders>
              <w:top w:val="nil"/>
              <w:left w:val="nil"/>
              <w:bottom w:val="nil"/>
              <w:right w:val="nil"/>
            </w:tcBorders>
          </w:tcPr>
          <w:p w14:paraId="50F3BE0F" w14:textId="6DAE21A7" w:rsidR="00DB693E" w:rsidRPr="00B86E32" w:rsidRDefault="00DB693E" w:rsidP="00DB693E">
            <w:pPr>
              <w:spacing w:after="0" w:line="200" w:lineRule="exact"/>
              <w:rPr>
                <w:rFonts w:ascii="Times New Roman" w:hAnsi="Times New Roman"/>
                <w:sz w:val="16"/>
                <w:szCs w:val="16"/>
                <w:lang w:eastAsia="zh-HK"/>
              </w:rPr>
            </w:pPr>
            <w:r>
              <w:rPr>
                <w:rFonts w:ascii="Times New Roman" w:hAnsi="Times New Roman"/>
                <w:sz w:val="16"/>
                <w:szCs w:val="16"/>
                <w:lang w:eastAsia="zh-HK"/>
              </w:rPr>
              <w:t>Global activities</w:t>
            </w:r>
          </w:p>
        </w:tc>
        <w:tc>
          <w:tcPr>
            <w:tcW w:w="873" w:type="dxa"/>
            <w:tcBorders>
              <w:top w:val="nil"/>
              <w:left w:val="nil"/>
              <w:bottom w:val="nil"/>
              <w:right w:val="nil"/>
            </w:tcBorders>
          </w:tcPr>
          <w:p w14:paraId="31CF2C2D" w14:textId="35154CC4" w:rsidR="00DB693E" w:rsidRPr="00DB693E" w:rsidRDefault="00DB693E" w:rsidP="00DB693E">
            <w:pPr>
              <w:spacing w:after="0" w:line="200" w:lineRule="exact"/>
              <w:jc w:val="center"/>
              <w:rPr>
                <w:rFonts w:ascii="Times New Roman" w:hAnsi="Times New Roman"/>
                <w:sz w:val="16"/>
                <w:szCs w:val="16"/>
                <w:lang w:eastAsia="zh-HK"/>
              </w:rPr>
            </w:pPr>
            <w:r w:rsidRPr="00DB693E">
              <w:rPr>
                <w:rFonts w:ascii="Times New Roman" w:hAnsi="Times New Roman"/>
                <w:sz w:val="16"/>
                <w:szCs w:val="16"/>
              </w:rPr>
              <w:t>0.27</w:t>
            </w:r>
          </w:p>
        </w:tc>
        <w:tc>
          <w:tcPr>
            <w:tcW w:w="941" w:type="dxa"/>
            <w:tcBorders>
              <w:top w:val="nil"/>
              <w:left w:val="nil"/>
              <w:bottom w:val="nil"/>
              <w:right w:val="nil"/>
            </w:tcBorders>
          </w:tcPr>
          <w:p w14:paraId="73DE954F" w14:textId="5809202B" w:rsidR="00DB693E" w:rsidRPr="00DB693E" w:rsidRDefault="00DB693E" w:rsidP="00DB693E">
            <w:pPr>
              <w:spacing w:after="0" w:line="200" w:lineRule="exact"/>
              <w:jc w:val="center"/>
              <w:rPr>
                <w:rFonts w:ascii="Times New Roman" w:hAnsi="Times New Roman"/>
                <w:sz w:val="16"/>
                <w:szCs w:val="16"/>
                <w:lang w:eastAsia="zh-HK"/>
              </w:rPr>
            </w:pPr>
            <w:r w:rsidRPr="00DB693E">
              <w:rPr>
                <w:rFonts w:ascii="Times New Roman" w:hAnsi="Times New Roman"/>
                <w:sz w:val="16"/>
                <w:szCs w:val="16"/>
              </w:rPr>
              <w:t>0.30</w:t>
            </w:r>
          </w:p>
        </w:tc>
        <w:tc>
          <w:tcPr>
            <w:tcW w:w="866" w:type="dxa"/>
            <w:tcBorders>
              <w:top w:val="nil"/>
              <w:left w:val="nil"/>
              <w:bottom w:val="nil"/>
              <w:right w:val="nil"/>
            </w:tcBorders>
          </w:tcPr>
          <w:p w14:paraId="3D12E52C" w14:textId="0B4ED10F" w:rsidR="00DB693E" w:rsidRPr="00DB693E" w:rsidRDefault="00DB693E" w:rsidP="00DB693E">
            <w:pPr>
              <w:spacing w:after="0" w:line="200" w:lineRule="exact"/>
              <w:jc w:val="center"/>
              <w:rPr>
                <w:rFonts w:ascii="Times New Roman" w:hAnsi="Times New Roman"/>
                <w:sz w:val="16"/>
                <w:szCs w:val="16"/>
                <w:lang w:eastAsia="zh-HK"/>
              </w:rPr>
            </w:pPr>
            <w:r w:rsidRPr="00DB693E">
              <w:rPr>
                <w:rFonts w:ascii="Times New Roman" w:hAnsi="Times New Roman"/>
                <w:sz w:val="16"/>
                <w:szCs w:val="16"/>
              </w:rPr>
              <w:t>0.81</w:t>
            </w:r>
          </w:p>
        </w:tc>
        <w:tc>
          <w:tcPr>
            <w:tcW w:w="941" w:type="dxa"/>
            <w:tcBorders>
              <w:top w:val="nil"/>
              <w:left w:val="nil"/>
              <w:bottom w:val="nil"/>
              <w:right w:val="nil"/>
            </w:tcBorders>
          </w:tcPr>
          <w:p w14:paraId="18EE8B00" w14:textId="277FDB5C" w:rsidR="00DB693E" w:rsidRPr="00DB693E" w:rsidRDefault="00DB693E" w:rsidP="00DB693E">
            <w:pPr>
              <w:spacing w:after="0" w:line="200" w:lineRule="exact"/>
              <w:jc w:val="center"/>
              <w:rPr>
                <w:rFonts w:ascii="Times New Roman" w:hAnsi="Times New Roman"/>
                <w:sz w:val="16"/>
                <w:szCs w:val="16"/>
                <w:lang w:eastAsia="zh-HK"/>
              </w:rPr>
            </w:pPr>
            <w:r w:rsidRPr="00DB693E">
              <w:rPr>
                <w:rFonts w:ascii="Times New Roman" w:hAnsi="Times New Roman"/>
                <w:sz w:val="16"/>
                <w:szCs w:val="16"/>
              </w:rPr>
              <w:t>-0.28</w:t>
            </w:r>
          </w:p>
        </w:tc>
        <w:tc>
          <w:tcPr>
            <w:tcW w:w="860" w:type="dxa"/>
            <w:tcBorders>
              <w:top w:val="nil"/>
              <w:left w:val="nil"/>
              <w:bottom w:val="nil"/>
              <w:right w:val="nil"/>
            </w:tcBorders>
          </w:tcPr>
          <w:p w14:paraId="12573374" w14:textId="30117F2D" w:rsidR="00DB693E" w:rsidRPr="00DB693E" w:rsidRDefault="00DB693E" w:rsidP="00DB693E">
            <w:pPr>
              <w:spacing w:after="0" w:line="200" w:lineRule="exact"/>
              <w:jc w:val="center"/>
              <w:rPr>
                <w:rFonts w:ascii="Times New Roman" w:hAnsi="Times New Roman"/>
                <w:sz w:val="16"/>
                <w:szCs w:val="16"/>
                <w:lang w:eastAsia="zh-HK"/>
              </w:rPr>
            </w:pPr>
            <w:r w:rsidRPr="00DB693E">
              <w:rPr>
                <w:rFonts w:ascii="Times New Roman" w:hAnsi="Times New Roman"/>
                <w:sz w:val="16"/>
                <w:szCs w:val="16"/>
              </w:rPr>
              <w:t>0.00</w:t>
            </w:r>
          </w:p>
        </w:tc>
        <w:tc>
          <w:tcPr>
            <w:tcW w:w="805" w:type="dxa"/>
            <w:tcBorders>
              <w:top w:val="nil"/>
              <w:left w:val="nil"/>
              <w:bottom w:val="nil"/>
              <w:right w:val="nil"/>
            </w:tcBorders>
          </w:tcPr>
          <w:p w14:paraId="365DA250" w14:textId="40341549" w:rsidR="00DB693E" w:rsidRPr="00DB693E" w:rsidRDefault="00DB693E" w:rsidP="00DB693E">
            <w:pPr>
              <w:spacing w:after="0" w:line="200" w:lineRule="exact"/>
              <w:jc w:val="center"/>
              <w:rPr>
                <w:rFonts w:ascii="Times New Roman" w:hAnsi="Times New Roman"/>
                <w:sz w:val="16"/>
                <w:szCs w:val="16"/>
                <w:lang w:eastAsia="zh-HK"/>
              </w:rPr>
            </w:pPr>
            <w:r w:rsidRPr="00DB693E">
              <w:rPr>
                <w:rFonts w:ascii="Times New Roman" w:hAnsi="Times New Roman"/>
                <w:sz w:val="16"/>
                <w:szCs w:val="16"/>
              </w:rPr>
              <w:t>0.00</w:t>
            </w:r>
          </w:p>
        </w:tc>
        <w:tc>
          <w:tcPr>
            <w:tcW w:w="810" w:type="dxa"/>
            <w:tcBorders>
              <w:top w:val="nil"/>
              <w:left w:val="nil"/>
              <w:bottom w:val="nil"/>
              <w:right w:val="nil"/>
            </w:tcBorders>
          </w:tcPr>
          <w:p w14:paraId="4128A13E" w14:textId="03512C64" w:rsidR="00DB693E" w:rsidRPr="00DB693E" w:rsidRDefault="00DB693E" w:rsidP="00DB693E">
            <w:pPr>
              <w:spacing w:after="0" w:line="200" w:lineRule="exact"/>
              <w:jc w:val="center"/>
              <w:rPr>
                <w:rFonts w:ascii="Times New Roman" w:hAnsi="Times New Roman"/>
                <w:sz w:val="16"/>
                <w:szCs w:val="16"/>
                <w:lang w:eastAsia="zh-HK"/>
              </w:rPr>
            </w:pPr>
            <w:r w:rsidRPr="00DB693E">
              <w:rPr>
                <w:rFonts w:ascii="Times New Roman" w:hAnsi="Times New Roman"/>
                <w:sz w:val="16"/>
                <w:szCs w:val="16"/>
              </w:rPr>
              <w:t>0.15</w:t>
            </w:r>
          </w:p>
        </w:tc>
        <w:tc>
          <w:tcPr>
            <w:tcW w:w="830" w:type="dxa"/>
            <w:tcBorders>
              <w:top w:val="nil"/>
              <w:left w:val="nil"/>
              <w:bottom w:val="nil"/>
              <w:right w:val="nil"/>
            </w:tcBorders>
          </w:tcPr>
          <w:p w14:paraId="4EBE9A9E" w14:textId="6A2169E4" w:rsidR="00DB693E" w:rsidRPr="00DB693E" w:rsidRDefault="00DB693E" w:rsidP="00DB693E">
            <w:pPr>
              <w:spacing w:after="0" w:line="200" w:lineRule="exact"/>
              <w:jc w:val="center"/>
              <w:rPr>
                <w:rFonts w:ascii="Times New Roman" w:hAnsi="Times New Roman"/>
                <w:sz w:val="16"/>
                <w:szCs w:val="16"/>
                <w:lang w:eastAsia="zh-HK"/>
              </w:rPr>
            </w:pPr>
            <w:r w:rsidRPr="00DB693E">
              <w:rPr>
                <w:rFonts w:ascii="Times New Roman" w:hAnsi="Times New Roman"/>
                <w:sz w:val="16"/>
                <w:szCs w:val="16"/>
              </w:rPr>
              <w:t>0.50</w:t>
            </w:r>
          </w:p>
        </w:tc>
        <w:tc>
          <w:tcPr>
            <w:tcW w:w="830" w:type="dxa"/>
            <w:tcBorders>
              <w:top w:val="nil"/>
              <w:left w:val="nil"/>
              <w:bottom w:val="nil"/>
              <w:right w:val="nil"/>
            </w:tcBorders>
          </w:tcPr>
          <w:p w14:paraId="013E8A1A" w14:textId="4E76158E" w:rsidR="00DB693E" w:rsidRPr="00DB693E" w:rsidRDefault="00DB693E" w:rsidP="00DB693E">
            <w:pPr>
              <w:spacing w:after="0" w:line="200" w:lineRule="exact"/>
              <w:jc w:val="center"/>
              <w:rPr>
                <w:rFonts w:ascii="Times New Roman" w:hAnsi="Times New Roman"/>
                <w:sz w:val="16"/>
                <w:szCs w:val="16"/>
                <w:lang w:eastAsia="zh-HK"/>
              </w:rPr>
            </w:pPr>
            <w:r w:rsidRPr="00DB693E">
              <w:rPr>
                <w:rFonts w:ascii="Times New Roman" w:hAnsi="Times New Roman"/>
                <w:sz w:val="16"/>
                <w:szCs w:val="16"/>
              </w:rPr>
              <w:t>0.73</w:t>
            </w:r>
          </w:p>
        </w:tc>
        <w:tc>
          <w:tcPr>
            <w:tcW w:w="880" w:type="dxa"/>
            <w:tcBorders>
              <w:top w:val="nil"/>
              <w:left w:val="nil"/>
              <w:bottom w:val="nil"/>
              <w:right w:val="nil"/>
            </w:tcBorders>
          </w:tcPr>
          <w:p w14:paraId="5744ADBC" w14:textId="77777777" w:rsidR="00DB693E" w:rsidRPr="00CE18A6" w:rsidRDefault="00DB693E" w:rsidP="00DB693E">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4125</w:t>
            </w:r>
          </w:p>
        </w:tc>
      </w:tr>
      <w:tr w:rsidR="003818B4" w:rsidRPr="00B86E32" w14:paraId="4BD4625D" w14:textId="77777777" w:rsidTr="003818B4">
        <w:tc>
          <w:tcPr>
            <w:tcW w:w="2311" w:type="dxa"/>
            <w:tcBorders>
              <w:top w:val="nil"/>
              <w:left w:val="nil"/>
              <w:bottom w:val="nil"/>
              <w:right w:val="nil"/>
            </w:tcBorders>
          </w:tcPr>
          <w:p w14:paraId="5A76CAE0" w14:textId="77777777" w:rsidR="003818B4" w:rsidRPr="00B86E32"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Liquidity</w:t>
            </w:r>
          </w:p>
        </w:tc>
        <w:tc>
          <w:tcPr>
            <w:tcW w:w="873" w:type="dxa"/>
            <w:tcBorders>
              <w:top w:val="nil"/>
              <w:left w:val="nil"/>
              <w:bottom w:val="nil"/>
              <w:right w:val="nil"/>
            </w:tcBorders>
          </w:tcPr>
          <w:p w14:paraId="1A51EABD"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0.82</w:t>
            </w:r>
          </w:p>
        </w:tc>
        <w:tc>
          <w:tcPr>
            <w:tcW w:w="941" w:type="dxa"/>
            <w:tcBorders>
              <w:top w:val="nil"/>
              <w:left w:val="nil"/>
              <w:bottom w:val="nil"/>
              <w:right w:val="nil"/>
            </w:tcBorders>
          </w:tcPr>
          <w:p w14:paraId="53A72129"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0.28</w:t>
            </w:r>
          </w:p>
        </w:tc>
        <w:tc>
          <w:tcPr>
            <w:tcW w:w="866" w:type="dxa"/>
            <w:tcBorders>
              <w:top w:val="nil"/>
              <w:left w:val="nil"/>
              <w:bottom w:val="nil"/>
              <w:right w:val="nil"/>
            </w:tcBorders>
          </w:tcPr>
          <w:p w14:paraId="4DB00D31"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-1.88</w:t>
            </w:r>
          </w:p>
        </w:tc>
        <w:tc>
          <w:tcPr>
            <w:tcW w:w="941" w:type="dxa"/>
            <w:tcBorders>
              <w:top w:val="nil"/>
              <w:left w:val="nil"/>
              <w:bottom w:val="nil"/>
              <w:right w:val="nil"/>
            </w:tcBorders>
          </w:tcPr>
          <w:p w14:paraId="75F6EED5"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2.57</w:t>
            </w:r>
          </w:p>
        </w:tc>
        <w:tc>
          <w:tcPr>
            <w:tcW w:w="860" w:type="dxa"/>
            <w:tcBorders>
              <w:top w:val="nil"/>
              <w:left w:val="nil"/>
              <w:bottom w:val="nil"/>
              <w:right w:val="nil"/>
            </w:tcBorders>
          </w:tcPr>
          <w:p w14:paraId="1D356003"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0.42</w:t>
            </w:r>
          </w:p>
        </w:tc>
        <w:tc>
          <w:tcPr>
            <w:tcW w:w="805" w:type="dxa"/>
            <w:tcBorders>
              <w:top w:val="nil"/>
              <w:left w:val="nil"/>
              <w:bottom w:val="nil"/>
              <w:right w:val="nil"/>
            </w:tcBorders>
          </w:tcPr>
          <w:p w14:paraId="23B105A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0.76</w:t>
            </w:r>
          </w:p>
        </w:tc>
        <w:tc>
          <w:tcPr>
            <w:tcW w:w="810" w:type="dxa"/>
            <w:tcBorders>
              <w:top w:val="nil"/>
              <w:left w:val="nil"/>
              <w:bottom w:val="nil"/>
              <w:right w:val="nil"/>
            </w:tcBorders>
          </w:tcPr>
          <w:p w14:paraId="59333BE6"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0.95</w:t>
            </w:r>
          </w:p>
        </w:tc>
        <w:tc>
          <w:tcPr>
            <w:tcW w:w="830" w:type="dxa"/>
            <w:tcBorders>
              <w:top w:val="nil"/>
              <w:left w:val="nil"/>
              <w:bottom w:val="nil"/>
              <w:right w:val="nil"/>
            </w:tcBorders>
          </w:tcPr>
          <w:p w14:paraId="1D8DCB09"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1.00</w:t>
            </w:r>
          </w:p>
        </w:tc>
        <w:tc>
          <w:tcPr>
            <w:tcW w:w="830" w:type="dxa"/>
            <w:tcBorders>
              <w:top w:val="nil"/>
              <w:left w:val="nil"/>
              <w:bottom w:val="nil"/>
              <w:right w:val="nil"/>
            </w:tcBorders>
          </w:tcPr>
          <w:p w14:paraId="63B2E1FF"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1.00</w:t>
            </w:r>
          </w:p>
        </w:tc>
        <w:tc>
          <w:tcPr>
            <w:tcW w:w="880" w:type="dxa"/>
            <w:tcBorders>
              <w:top w:val="nil"/>
              <w:left w:val="nil"/>
              <w:bottom w:val="nil"/>
              <w:right w:val="nil"/>
            </w:tcBorders>
          </w:tcPr>
          <w:p w14:paraId="6094E9A6"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5057</w:t>
            </w:r>
          </w:p>
        </w:tc>
      </w:tr>
      <w:tr w:rsidR="003818B4" w:rsidRPr="00B86E32" w14:paraId="13F7904D" w14:textId="77777777" w:rsidTr="003818B4">
        <w:tc>
          <w:tcPr>
            <w:tcW w:w="2311" w:type="dxa"/>
            <w:tcBorders>
              <w:top w:val="nil"/>
              <w:left w:val="nil"/>
              <w:bottom w:val="nil"/>
              <w:right w:val="nil"/>
            </w:tcBorders>
          </w:tcPr>
          <w:p w14:paraId="2DCE7A8E"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Market-to-book ratio</w:t>
            </w:r>
          </w:p>
        </w:tc>
        <w:tc>
          <w:tcPr>
            <w:tcW w:w="873" w:type="dxa"/>
            <w:tcBorders>
              <w:top w:val="nil"/>
              <w:left w:val="nil"/>
              <w:bottom w:val="nil"/>
              <w:right w:val="nil"/>
            </w:tcBorders>
          </w:tcPr>
          <w:p w14:paraId="65405B39"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1.74</w:t>
            </w:r>
          </w:p>
        </w:tc>
        <w:tc>
          <w:tcPr>
            <w:tcW w:w="941" w:type="dxa"/>
            <w:tcBorders>
              <w:top w:val="nil"/>
              <w:left w:val="nil"/>
              <w:bottom w:val="nil"/>
              <w:right w:val="nil"/>
            </w:tcBorders>
          </w:tcPr>
          <w:p w14:paraId="70F8780A"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1.36</w:t>
            </w:r>
          </w:p>
        </w:tc>
        <w:tc>
          <w:tcPr>
            <w:tcW w:w="866" w:type="dxa"/>
            <w:tcBorders>
              <w:top w:val="nil"/>
              <w:left w:val="nil"/>
              <w:bottom w:val="nil"/>
              <w:right w:val="nil"/>
            </w:tcBorders>
          </w:tcPr>
          <w:p w14:paraId="07220BC7"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3.15</w:t>
            </w:r>
          </w:p>
        </w:tc>
        <w:tc>
          <w:tcPr>
            <w:tcW w:w="941" w:type="dxa"/>
            <w:tcBorders>
              <w:top w:val="nil"/>
              <w:left w:val="nil"/>
              <w:bottom w:val="nil"/>
              <w:right w:val="nil"/>
            </w:tcBorders>
          </w:tcPr>
          <w:p w14:paraId="402A7363"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14.66</w:t>
            </w:r>
          </w:p>
        </w:tc>
        <w:tc>
          <w:tcPr>
            <w:tcW w:w="860" w:type="dxa"/>
            <w:tcBorders>
              <w:top w:val="nil"/>
              <w:left w:val="nil"/>
              <w:bottom w:val="nil"/>
              <w:right w:val="nil"/>
            </w:tcBorders>
          </w:tcPr>
          <w:p w14:paraId="3799693E"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0.75</w:t>
            </w:r>
          </w:p>
        </w:tc>
        <w:tc>
          <w:tcPr>
            <w:tcW w:w="805" w:type="dxa"/>
            <w:tcBorders>
              <w:top w:val="nil"/>
              <w:left w:val="nil"/>
              <w:bottom w:val="nil"/>
              <w:right w:val="nil"/>
            </w:tcBorders>
          </w:tcPr>
          <w:p w14:paraId="136745E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0.96</w:t>
            </w:r>
          </w:p>
        </w:tc>
        <w:tc>
          <w:tcPr>
            <w:tcW w:w="810" w:type="dxa"/>
            <w:tcBorders>
              <w:top w:val="nil"/>
              <w:left w:val="nil"/>
              <w:bottom w:val="nil"/>
              <w:right w:val="nil"/>
            </w:tcBorders>
          </w:tcPr>
          <w:p w14:paraId="7BF20C67"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1.34</w:t>
            </w:r>
          </w:p>
        </w:tc>
        <w:tc>
          <w:tcPr>
            <w:tcW w:w="830" w:type="dxa"/>
            <w:tcBorders>
              <w:top w:val="nil"/>
              <w:left w:val="nil"/>
              <w:bottom w:val="nil"/>
              <w:right w:val="nil"/>
            </w:tcBorders>
          </w:tcPr>
          <w:p w14:paraId="0FD2C8ED"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2.06</w:t>
            </w:r>
          </w:p>
        </w:tc>
        <w:tc>
          <w:tcPr>
            <w:tcW w:w="830" w:type="dxa"/>
            <w:tcBorders>
              <w:top w:val="nil"/>
              <w:left w:val="nil"/>
              <w:bottom w:val="nil"/>
              <w:right w:val="nil"/>
            </w:tcBorders>
          </w:tcPr>
          <w:p w14:paraId="2472E92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3.09</w:t>
            </w:r>
          </w:p>
        </w:tc>
        <w:tc>
          <w:tcPr>
            <w:tcW w:w="880" w:type="dxa"/>
            <w:tcBorders>
              <w:top w:val="nil"/>
              <w:left w:val="nil"/>
              <w:bottom w:val="nil"/>
              <w:right w:val="nil"/>
            </w:tcBorders>
          </w:tcPr>
          <w:p w14:paraId="6767CB85"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5369</w:t>
            </w:r>
          </w:p>
        </w:tc>
      </w:tr>
      <w:tr w:rsidR="003818B4" w:rsidRPr="00B86E32" w14:paraId="087BC2EE" w14:textId="77777777" w:rsidTr="003818B4">
        <w:tc>
          <w:tcPr>
            <w:tcW w:w="2311" w:type="dxa"/>
            <w:tcBorders>
              <w:top w:val="nil"/>
              <w:left w:val="nil"/>
              <w:bottom w:val="nil"/>
              <w:right w:val="nil"/>
            </w:tcBorders>
          </w:tcPr>
          <w:p w14:paraId="1B678B6E"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Life (1/0)</w:t>
            </w:r>
          </w:p>
        </w:tc>
        <w:tc>
          <w:tcPr>
            <w:tcW w:w="873" w:type="dxa"/>
            <w:tcBorders>
              <w:top w:val="nil"/>
              <w:left w:val="nil"/>
              <w:bottom w:val="nil"/>
              <w:right w:val="nil"/>
            </w:tcBorders>
          </w:tcPr>
          <w:p w14:paraId="6E5CA9F0"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0.41</w:t>
            </w:r>
          </w:p>
        </w:tc>
        <w:tc>
          <w:tcPr>
            <w:tcW w:w="941" w:type="dxa"/>
            <w:tcBorders>
              <w:top w:val="nil"/>
              <w:left w:val="nil"/>
              <w:bottom w:val="nil"/>
              <w:right w:val="nil"/>
            </w:tcBorders>
          </w:tcPr>
          <w:p w14:paraId="73F0581E"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0.49</w:t>
            </w:r>
          </w:p>
        </w:tc>
        <w:tc>
          <w:tcPr>
            <w:tcW w:w="866" w:type="dxa"/>
            <w:tcBorders>
              <w:top w:val="nil"/>
              <w:left w:val="nil"/>
              <w:bottom w:val="nil"/>
              <w:right w:val="nil"/>
            </w:tcBorders>
          </w:tcPr>
          <w:p w14:paraId="66716185"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0.35</w:t>
            </w:r>
          </w:p>
        </w:tc>
        <w:tc>
          <w:tcPr>
            <w:tcW w:w="941" w:type="dxa"/>
            <w:tcBorders>
              <w:top w:val="nil"/>
              <w:left w:val="nil"/>
              <w:bottom w:val="nil"/>
              <w:right w:val="nil"/>
            </w:tcBorders>
          </w:tcPr>
          <w:p w14:paraId="26B71771"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-1.88</w:t>
            </w:r>
          </w:p>
        </w:tc>
        <w:tc>
          <w:tcPr>
            <w:tcW w:w="860" w:type="dxa"/>
            <w:tcBorders>
              <w:top w:val="nil"/>
              <w:left w:val="nil"/>
              <w:bottom w:val="nil"/>
              <w:right w:val="nil"/>
            </w:tcBorders>
          </w:tcPr>
          <w:p w14:paraId="590B01A5"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0.00</w:t>
            </w:r>
          </w:p>
        </w:tc>
        <w:tc>
          <w:tcPr>
            <w:tcW w:w="805" w:type="dxa"/>
            <w:tcBorders>
              <w:top w:val="nil"/>
              <w:left w:val="nil"/>
              <w:bottom w:val="nil"/>
              <w:right w:val="nil"/>
            </w:tcBorders>
          </w:tcPr>
          <w:p w14:paraId="164B0E9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0.00</w:t>
            </w:r>
          </w:p>
        </w:tc>
        <w:tc>
          <w:tcPr>
            <w:tcW w:w="810" w:type="dxa"/>
            <w:tcBorders>
              <w:top w:val="nil"/>
              <w:left w:val="nil"/>
              <w:bottom w:val="nil"/>
              <w:right w:val="nil"/>
            </w:tcBorders>
          </w:tcPr>
          <w:p w14:paraId="587C06D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0.00</w:t>
            </w:r>
          </w:p>
        </w:tc>
        <w:tc>
          <w:tcPr>
            <w:tcW w:w="830" w:type="dxa"/>
            <w:tcBorders>
              <w:top w:val="nil"/>
              <w:left w:val="nil"/>
              <w:bottom w:val="nil"/>
              <w:right w:val="nil"/>
            </w:tcBorders>
          </w:tcPr>
          <w:p w14:paraId="291FE264"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1.00</w:t>
            </w:r>
          </w:p>
        </w:tc>
        <w:tc>
          <w:tcPr>
            <w:tcW w:w="830" w:type="dxa"/>
            <w:tcBorders>
              <w:top w:val="nil"/>
              <w:left w:val="nil"/>
              <w:bottom w:val="nil"/>
              <w:right w:val="nil"/>
            </w:tcBorders>
          </w:tcPr>
          <w:p w14:paraId="473CE035"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1.00</w:t>
            </w:r>
          </w:p>
        </w:tc>
        <w:tc>
          <w:tcPr>
            <w:tcW w:w="880" w:type="dxa"/>
            <w:tcBorders>
              <w:top w:val="nil"/>
              <w:left w:val="nil"/>
              <w:bottom w:val="nil"/>
              <w:right w:val="nil"/>
            </w:tcBorders>
          </w:tcPr>
          <w:p w14:paraId="05722ED8"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5422</w:t>
            </w:r>
          </w:p>
        </w:tc>
      </w:tr>
      <w:tr w:rsidR="003818B4" w:rsidRPr="00B86E32" w14:paraId="012457D4" w14:textId="77777777" w:rsidTr="003818B4">
        <w:tc>
          <w:tcPr>
            <w:tcW w:w="2311" w:type="dxa"/>
            <w:tcBorders>
              <w:top w:val="nil"/>
              <w:left w:val="nil"/>
              <w:bottom w:val="nil"/>
              <w:right w:val="nil"/>
            </w:tcBorders>
          </w:tcPr>
          <w:p w14:paraId="0EF1C941"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Loss ratio</w:t>
            </w:r>
          </w:p>
        </w:tc>
        <w:tc>
          <w:tcPr>
            <w:tcW w:w="873" w:type="dxa"/>
            <w:tcBorders>
              <w:top w:val="nil"/>
              <w:left w:val="nil"/>
              <w:bottom w:val="nil"/>
              <w:right w:val="nil"/>
            </w:tcBorders>
          </w:tcPr>
          <w:p w14:paraId="6CC27D34"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1.85</w:t>
            </w:r>
          </w:p>
        </w:tc>
        <w:tc>
          <w:tcPr>
            <w:tcW w:w="941" w:type="dxa"/>
            <w:tcBorders>
              <w:top w:val="nil"/>
              <w:left w:val="nil"/>
              <w:bottom w:val="nil"/>
              <w:right w:val="nil"/>
            </w:tcBorders>
          </w:tcPr>
          <w:p w14:paraId="7C4A35BD"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23.43</w:t>
            </w:r>
          </w:p>
        </w:tc>
        <w:tc>
          <w:tcPr>
            <w:tcW w:w="866" w:type="dxa"/>
            <w:tcBorders>
              <w:top w:val="nil"/>
              <w:left w:val="nil"/>
              <w:bottom w:val="nil"/>
              <w:right w:val="nil"/>
            </w:tcBorders>
          </w:tcPr>
          <w:p w14:paraId="45FC8B9F"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32.52</w:t>
            </w:r>
          </w:p>
        </w:tc>
        <w:tc>
          <w:tcPr>
            <w:tcW w:w="941" w:type="dxa"/>
            <w:tcBorders>
              <w:top w:val="nil"/>
              <w:left w:val="nil"/>
              <w:bottom w:val="nil"/>
              <w:right w:val="nil"/>
            </w:tcBorders>
          </w:tcPr>
          <w:p w14:paraId="04852543"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1094.53</w:t>
            </w:r>
          </w:p>
        </w:tc>
        <w:tc>
          <w:tcPr>
            <w:tcW w:w="860" w:type="dxa"/>
            <w:tcBorders>
              <w:top w:val="nil"/>
              <w:left w:val="nil"/>
              <w:bottom w:val="nil"/>
              <w:right w:val="nil"/>
            </w:tcBorders>
          </w:tcPr>
          <w:p w14:paraId="02F32E4C"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0.52</w:t>
            </w:r>
          </w:p>
        </w:tc>
        <w:tc>
          <w:tcPr>
            <w:tcW w:w="805" w:type="dxa"/>
            <w:tcBorders>
              <w:top w:val="nil"/>
              <w:left w:val="nil"/>
              <w:bottom w:val="nil"/>
              <w:right w:val="nil"/>
            </w:tcBorders>
          </w:tcPr>
          <w:p w14:paraId="4643BA81"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0.66</w:t>
            </w:r>
          </w:p>
        </w:tc>
        <w:tc>
          <w:tcPr>
            <w:tcW w:w="810" w:type="dxa"/>
            <w:tcBorders>
              <w:top w:val="nil"/>
              <w:left w:val="nil"/>
              <w:bottom w:val="nil"/>
              <w:right w:val="nil"/>
            </w:tcBorders>
          </w:tcPr>
          <w:p w14:paraId="2F56B6BE"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0.80</w:t>
            </w:r>
          </w:p>
        </w:tc>
        <w:tc>
          <w:tcPr>
            <w:tcW w:w="830" w:type="dxa"/>
            <w:tcBorders>
              <w:top w:val="nil"/>
              <w:left w:val="nil"/>
              <w:bottom w:val="nil"/>
              <w:right w:val="nil"/>
            </w:tcBorders>
          </w:tcPr>
          <w:p w14:paraId="2CAD5344"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1.02</w:t>
            </w:r>
          </w:p>
        </w:tc>
        <w:tc>
          <w:tcPr>
            <w:tcW w:w="830" w:type="dxa"/>
            <w:tcBorders>
              <w:top w:val="nil"/>
              <w:left w:val="nil"/>
              <w:bottom w:val="nil"/>
              <w:right w:val="nil"/>
            </w:tcBorders>
          </w:tcPr>
          <w:p w14:paraId="1060330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1.43</w:t>
            </w:r>
          </w:p>
        </w:tc>
        <w:tc>
          <w:tcPr>
            <w:tcW w:w="880" w:type="dxa"/>
            <w:tcBorders>
              <w:top w:val="nil"/>
              <w:left w:val="nil"/>
              <w:bottom w:val="nil"/>
              <w:right w:val="nil"/>
            </w:tcBorders>
          </w:tcPr>
          <w:p w14:paraId="5592F095"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4835</w:t>
            </w:r>
          </w:p>
        </w:tc>
      </w:tr>
      <w:tr w:rsidR="003818B4" w:rsidRPr="00B86E32" w14:paraId="650F84BD" w14:textId="77777777" w:rsidTr="003818B4">
        <w:tc>
          <w:tcPr>
            <w:tcW w:w="2311" w:type="dxa"/>
            <w:tcBorders>
              <w:top w:val="nil"/>
              <w:left w:val="nil"/>
              <w:bottom w:val="nil"/>
              <w:right w:val="nil"/>
            </w:tcBorders>
          </w:tcPr>
          <w:p w14:paraId="6A4A0F5E"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Investment income</w:t>
            </w:r>
          </w:p>
        </w:tc>
        <w:tc>
          <w:tcPr>
            <w:tcW w:w="873" w:type="dxa"/>
            <w:tcBorders>
              <w:top w:val="nil"/>
              <w:left w:val="nil"/>
              <w:bottom w:val="nil"/>
              <w:right w:val="nil"/>
            </w:tcBorders>
          </w:tcPr>
          <w:p w14:paraId="363C818F"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0.03</w:t>
            </w:r>
          </w:p>
        </w:tc>
        <w:tc>
          <w:tcPr>
            <w:tcW w:w="941" w:type="dxa"/>
            <w:tcBorders>
              <w:top w:val="nil"/>
              <w:left w:val="nil"/>
              <w:bottom w:val="nil"/>
              <w:right w:val="nil"/>
            </w:tcBorders>
          </w:tcPr>
          <w:p w14:paraId="4A432C48"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0.02</w:t>
            </w:r>
          </w:p>
        </w:tc>
        <w:tc>
          <w:tcPr>
            <w:tcW w:w="866" w:type="dxa"/>
            <w:tcBorders>
              <w:top w:val="nil"/>
              <w:left w:val="nil"/>
              <w:bottom w:val="nil"/>
              <w:right w:val="nil"/>
            </w:tcBorders>
          </w:tcPr>
          <w:p w14:paraId="0E069E20"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0.85</w:t>
            </w:r>
          </w:p>
        </w:tc>
        <w:tc>
          <w:tcPr>
            <w:tcW w:w="941" w:type="dxa"/>
            <w:tcBorders>
              <w:top w:val="nil"/>
              <w:left w:val="nil"/>
              <w:bottom w:val="nil"/>
              <w:right w:val="nil"/>
            </w:tcBorders>
          </w:tcPr>
          <w:p w14:paraId="2EECEE8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22.99</w:t>
            </w:r>
          </w:p>
        </w:tc>
        <w:tc>
          <w:tcPr>
            <w:tcW w:w="860" w:type="dxa"/>
            <w:tcBorders>
              <w:top w:val="nil"/>
              <w:left w:val="nil"/>
              <w:bottom w:val="nil"/>
              <w:right w:val="nil"/>
            </w:tcBorders>
          </w:tcPr>
          <w:p w14:paraId="528817D2"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0.01</w:t>
            </w:r>
          </w:p>
        </w:tc>
        <w:tc>
          <w:tcPr>
            <w:tcW w:w="805" w:type="dxa"/>
            <w:tcBorders>
              <w:top w:val="nil"/>
              <w:left w:val="nil"/>
              <w:bottom w:val="nil"/>
              <w:right w:val="nil"/>
            </w:tcBorders>
          </w:tcPr>
          <w:p w14:paraId="4A06BE83"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0.02</w:t>
            </w:r>
          </w:p>
        </w:tc>
        <w:tc>
          <w:tcPr>
            <w:tcW w:w="810" w:type="dxa"/>
            <w:tcBorders>
              <w:top w:val="nil"/>
              <w:left w:val="nil"/>
              <w:bottom w:val="nil"/>
              <w:right w:val="nil"/>
            </w:tcBorders>
          </w:tcPr>
          <w:p w14:paraId="7FC77EA7"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0.03</w:t>
            </w:r>
          </w:p>
        </w:tc>
        <w:tc>
          <w:tcPr>
            <w:tcW w:w="830" w:type="dxa"/>
            <w:tcBorders>
              <w:top w:val="nil"/>
              <w:left w:val="nil"/>
              <w:bottom w:val="nil"/>
              <w:right w:val="nil"/>
            </w:tcBorders>
          </w:tcPr>
          <w:p w14:paraId="2352CF6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0.04</w:t>
            </w:r>
          </w:p>
        </w:tc>
        <w:tc>
          <w:tcPr>
            <w:tcW w:w="830" w:type="dxa"/>
            <w:tcBorders>
              <w:top w:val="nil"/>
              <w:left w:val="nil"/>
              <w:bottom w:val="nil"/>
              <w:right w:val="nil"/>
            </w:tcBorders>
          </w:tcPr>
          <w:p w14:paraId="3AEC145D"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0.04</w:t>
            </w:r>
          </w:p>
        </w:tc>
        <w:tc>
          <w:tcPr>
            <w:tcW w:w="880" w:type="dxa"/>
            <w:tcBorders>
              <w:top w:val="nil"/>
              <w:left w:val="nil"/>
              <w:bottom w:val="nil"/>
              <w:right w:val="nil"/>
            </w:tcBorders>
          </w:tcPr>
          <w:p w14:paraId="0DD5FB1F"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4956</w:t>
            </w:r>
          </w:p>
        </w:tc>
      </w:tr>
      <w:tr w:rsidR="003818B4" w:rsidRPr="00B86E32" w14:paraId="296B9590" w14:textId="77777777" w:rsidTr="003818B4">
        <w:tc>
          <w:tcPr>
            <w:tcW w:w="2311" w:type="dxa"/>
            <w:tcBorders>
              <w:top w:val="nil"/>
              <w:left w:val="nil"/>
              <w:bottom w:val="nil"/>
              <w:right w:val="nil"/>
            </w:tcBorders>
          </w:tcPr>
          <w:p w14:paraId="1F643482"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ROA</w:t>
            </w:r>
            <w:r w:rsidRPr="009A5A56">
              <w:rPr>
                <w:rFonts w:ascii="Times New Roman" w:hAnsi="Times New Roman"/>
                <w:sz w:val="16"/>
                <w:szCs w:val="16"/>
                <w:lang w:eastAsia="zh-HK"/>
              </w:rPr>
              <w:t xml:space="preserve"> (</w:t>
            </w:r>
            <w:r w:rsidRPr="009A5A56">
              <w:rPr>
                <w:rFonts w:ascii="Times New Roman" w:eastAsiaTheme="minorEastAsia" w:hAnsi="Times New Roman"/>
                <w:sz w:val="16"/>
                <w:szCs w:val="16"/>
                <w:lang w:eastAsia="zh-TW"/>
              </w:rPr>
              <w:t>%)</w:t>
            </w:r>
          </w:p>
        </w:tc>
        <w:tc>
          <w:tcPr>
            <w:tcW w:w="873" w:type="dxa"/>
            <w:tcBorders>
              <w:top w:val="nil"/>
              <w:left w:val="nil"/>
              <w:bottom w:val="nil"/>
              <w:right w:val="nil"/>
            </w:tcBorders>
          </w:tcPr>
          <w:p w14:paraId="623F1DA4"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2.58</w:t>
            </w:r>
          </w:p>
        </w:tc>
        <w:tc>
          <w:tcPr>
            <w:tcW w:w="941" w:type="dxa"/>
            <w:tcBorders>
              <w:top w:val="nil"/>
              <w:left w:val="nil"/>
              <w:bottom w:val="nil"/>
              <w:right w:val="nil"/>
            </w:tcBorders>
          </w:tcPr>
          <w:p w14:paraId="2A61022F"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3.40</w:t>
            </w:r>
          </w:p>
        </w:tc>
        <w:tc>
          <w:tcPr>
            <w:tcW w:w="866" w:type="dxa"/>
            <w:tcBorders>
              <w:top w:val="nil"/>
              <w:left w:val="nil"/>
              <w:bottom w:val="nil"/>
              <w:right w:val="nil"/>
            </w:tcBorders>
          </w:tcPr>
          <w:p w14:paraId="669D843D"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3.15</w:t>
            </w:r>
          </w:p>
        </w:tc>
        <w:tc>
          <w:tcPr>
            <w:tcW w:w="941" w:type="dxa"/>
            <w:tcBorders>
              <w:top w:val="nil"/>
              <w:left w:val="nil"/>
              <w:bottom w:val="nil"/>
              <w:right w:val="nil"/>
            </w:tcBorders>
          </w:tcPr>
          <w:p w14:paraId="43E6F6B8"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20.43</w:t>
            </w:r>
          </w:p>
        </w:tc>
        <w:tc>
          <w:tcPr>
            <w:tcW w:w="860" w:type="dxa"/>
            <w:tcBorders>
              <w:top w:val="nil"/>
              <w:left w:val="nil"/>
              <w:bottom w:val="nil"/>
              <w:right w:val="nil"/>
            </w:tcBorders>
          </w:tcPr>
          <w:p w14:paraId="0E93D387"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0.28</w:t>
            </w:r>
          </w:p>
        </w:tc>
        <w:tc>
          <w:tcPr>
            <w:tcW w:w="805" w:type="dxa"/>
            <w:tcBorders>
              <w:top w:val="nil"/>
              <w:left w:val="nil"/>
              <w:bottom w:val="nil"/>
              <w:right w:val="nil"/>
            </w:tcBorders>
          </w:tcPr>
          <w:p w14:paraId="58269DFC"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0.70</w:t>
            </w:r>
          </w:p>
        </w:tc>
        <w:tc>
          <w:tcPr>
            <w:tcW w:w="810" w:type="dxa"/>
            <w:tcBorders>
              <w:top w:val="nil"/>
              <w:left w:val="nil"/>
              <w:bottom w:val="nil"/>
              <w:right w:val="nil"/>
            </w:tcBorders>
          </w:tcPr>
          <w:p w14:paraId="5C87B25F"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1.58</w:t>
            </w:r>
          </w:p>
        </w:tc>
        <w:tc>
          <w:tcPr>
            <w:tcW w:w="830" w:type="dxa"/>
            <w:tcBorders>
              <w:top w:val="nil"/>
              <w:left w:val="nil"/>
              <w:bottom w:val="nil"/>
              <w:right w:val="nil"/>
            </w:tcBorders>
          </w:tcPr>
          <w:p w14:paraId="5CD2E0F1"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3.54</w:t>
            </w:r>
          </w:p>
        </w:tc>
        <w:tc>
          <w:tcPr>
            <w:tcW w:w="830" w:type="dxa"/>
            <w:tcBorders>
              <w:top w:val="nil"/>
              <w:left w:val="nil"/>
              <w:bottom w:val="nil"/>
              <w:right w:val="nil"/>
            </w:tcBorders>
          </w:tcPr>
          <w:p w14:paraId="210C761D"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5.99</w:t>
            </w:r>
          </w:p>
        </w:tc>
        <w:tc>
          <w:tcPr>
            <w:tcW w:w="880" w:type="dxa"/>
            <w:tcBorders>
              <w:top w:val="nil"/>
              <w:left w:val="nil"/>
              <w:bottom w:val="nil"/>
              <w:right w:val="nil"/>
            </w:tcBorders>
          </w:tcPr>
          <w:p w14:paraId="761BF3F9"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5328</w:t>
            </w:r>
          </w:p>
        </w:tc>
      </w:tr>
      <w:tr w:rsidR="003818B4" w:rsidRPr="00B86E32" w14:paraId="7DB68821" w14:textId="77777777" w:rsidTr="003818B4">
        <w:tc>
          <w:tcPr>
            <w:tcW w:w="2311" w:type="dxa"/>
            <w:tcBorders>
              <w:top w:val="nil"/>
              <w:left w:val="nil"/>
              <w:bottom w:val="nil"/>
              <w:right w:val="nil"/>
            </w:tcBorders>
          </w:tcPr>
          <w:p w14:paraId="1F5583C4" w14:textId="77777777" w:rsidR="003818B4" w:rsidRDefault="003818B4" w:rsidP="00247A99">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Operating expenses</w:t>
            </w:r>
          </w:p>
        </w:tc>
        <w:tc>
          <w:tcPr>
            <w:tcW w:w="873" w:type="dxa"/>
            <w:tcBorders>
              <w:top w:val="nil"/>
              <w:left w:val="nil"/>
              <w:bottom w:val="nil"/>
              <w:right w:val="nil"/>
            </w:tcBorders>
          </w:tcPr>
          <w:p w14:paraId="2EACB080"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0.88</w:t>
            </w:r>
          </w:p>
        </w:tc>
        <w:tc>
          <w:tcPr>
            <w:tcW w:w="941" w:type="dxa"/>
            <w:tcBorders>
              <w:top w:val="nil"/>
              <w:left w:val="nil"/>
              <w:bottom w:val="nil"/>
              <w:right w:val="nil"/>
            </w:tcBorders>
          </w:tcPr>
          <w:p w14:paraId="31FBDE1E"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0.12</w:t>
            </w:r>
          </w:p>
        </w:tc>
        <w:tc>
          <w:tcPr>
            <w:tcW w:w="866" w:type="dxa"/>
            <w:tcBorders>
              <w:top w:val="nil"/>
              <w:left w:val="nil"/>
              <w:bottom w:val="nil"/>
              <w:right w:val="nil"/>
            </w:tcBorders>
          </w:tcPr>
          <w:p w14:paraId="2684E08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-0.97</w:t>
            </w:r>
          </w:p>
        </w:tc>
        <w:tc>
          <w:tcPr>
            <w:tcW w:w="941" w:type="dxa"/>
            <w:tcBorders>
              <w:top w:val="nil"/>
              <w:left w:val="nil"/>
              <w:bottom w:val="nil"/>
              <w:right w:val="nil"/>
            </w:tcBorders>
          </w:tcPr>
          <w:p w14:paraId="52A6FE73"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20.70</w:t>
            </w:r>
          </w:p>
        </w:tc>
        <w:tc>
          <w:tcPr>
            <w:tcW w:w="860" w:type="dxa"/>
            <w:tcBorders>
              <w:top w:val="nil"/>
              <w:left w:val="nil"/>
              <w:bottom w:val="nil"/>
              <w:right w:val="nil"/>
            </w:tcBorders>
          </w:tcPr>
          <w:p w14:paraId="6B7C6654"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0.76</w:t>
            </w:r>
          </w:p>
        </w:tc>
        <w:tc>
          <w:tcPr>
            <w:tcW w:w="805" w:type="dxa"/>
            <w:tcBorders>
              <w:top w:val="nil"/>
              <w:left w:val="nil"/>
              <w:bottom w:val="nil"/>
              <w:right w:val="nil"/>
            </w:tcBorders>
          </w:tcPr>
          <w:p w14:paraId="1E6E9B94"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0.83</w:t>
            </w:r>
          </w:p>
        </w:tc>
        <w:tc>
          <w:tcPr>
            <w:tcW w:w="810" w:type="dxa"/>
            <w:tcBorders>
              <w:top w:val="nil"/>
              <w:left w:val="nil"/>
              <w:bottom w:val="nil"/>
              <w:right w:val="nil"/>
            </w:tcBorders>
          </w:tcPr>
          <w:p w14:paraId="1453485F"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0.89</w:t>
            </w:r>
          </w:p>
        </w:tc>
        <w:tc>
          <w:tcPr>
            <w:tcW w:w="830" w:type="dxa"/>
            <w:tcBorders>
              <w:top w:val="nil"/>
              <w:left w:val="nil"/>
              <w:bottom w:val="nil"/>
              <w:right w:val="nil"/>
            </w:tcBorders>
          </w:tcPr>
          <w:p w14:paraId="5A0C228D"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0.94</w:t>
            </w:r>
          </w:p>
        </w:tc>
        <w:tc>
          <w:tcPr>
            <w:tcW w:w="830" w:type="dxa"/>
            <w:tcBorders>
              <w:top w:val="nil"/>
              <w:left w:val="nil"/>
              <w:bottom w:val="nil"/>
              <w:right w:val="nil"/>
            </w:tcBorders>
          </w:tcPr>
          <w:p w14:paraId="1E966459"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0.97</w:t>
            </w:r>
          </w:p>
        </w:tc>
        <w:tc>
          <w:tcPr>
            <w:tcW w:w="880" w:type="dxa"/>
            <w:tcBorders>
              <w:top w:val="nil"/>
              <w:left w:val="nil"/>
              <w:bottom w:val="nil"/>
              <w:right w:val="nil"/>
            </w:tcBorders>
          </w:tcPr>
          <w:p w14:paraId="0A947E1B" w14:textId="77777777" w:rsidR="003818B4" w:rsidRPr="00CE18A6" w:rsidRDefault="003818B4" w:rsidP="00247A99">
            <w:pPr>
              <w:spacing w:after="0" w:line="200" w:lineRule="exact"/>
              <w:jc w:val="center"/>
              <w:rPr>
                <w:rFonts w:ascii="Times New Roman" w:hAnsi="Times New Roman"/>
                <w:sz w:val="16"/>
                <w:szCs w:val="16"/>
                <w:lang w:eastAsia="zh-HK"/>
              </w:rPr>
            </w:pPr>
            <w:r w:rsidRPr="00CE18A6">
              <w:rPr>
                <w:rFonts w:ascii="Times New Roman" w:hAnsi="Times New Roman"/>
                <w:sz w:val="16"/>
                <w:szCs w:val="16"/>
              </w:rPr>
              <w:t>5231</w:t>
            </w:r>
          </w:p>
        </w:tc>
      </w:tr>
      <w:tr w:rsidR="003818B4" w:rsidRPr="00B86E32" w14:paraId="7D8E2CED" w14:textId="77777777" w:rsidTr="00B135C7">
        <w:tc>
          <w:tcPr>
            <w:tcW w:w="2311" w:type="dxa"/>
            <w:tcBorders>
              <w:top w:val="nil"/>
              <w:left w:val="nil"/>
              <w:bottom w:val="single" w:sz="4" w:space="0" w:color="auto"/>
              <w:right w:val="nil"/>
            </w:tcBorders>
          </w:tcPr>
          <w:p w14:paraId="5E914E47" w14:textId="77777777" w:rsidR="003818B4" w:rsidRDefault="003818B4" w:rsidP="00247A99">
            <w:pPr>
              <w:spacing w:after="0" w:line="200" w:lineRule="exact"/>
              <w:rPr>
                <w:rFonts w:ascii="Times New Roman" w:hAnsi="Times New Roman"/>
                <w:sz w:val="16"/>
                <w:szCs w:val="16"/>
                <w:lang w:eastAsia="zh-HK"/>
              </w:rPr>
            </w:pPr>
          </w:p>
        </w:tc>
        <w:tc>
          <w:tcPr>
            <w:tcW w:w="873" w:type="dxa"/>
            <w:tcBorders>
              <w:top w:val="nil"/>
              <w:left w:val="nil"/>
              <w:bottom w:val="single" w:sz="4" w:space="0" w:color="auto"/>
              <w:right w:val="nil"/>
            </w:tcBorders>
          </w:tcPr>
          <w:p w14:paraId="0774D00A" w14:textId="77777777" w:rsidR="003818B4" w:rsidRPr="0039534F" w:rsidRDefault="003818B4" w:rsidP="00247A99">
            <w:pPr>
              <w:spacing w:after="0" w:line="200" w:lineRule="exact"/>
              <w:jc w:val="center"/>
              <w:rPr>
                <w:rFonts w:ascii="Times New Roman" w:hAnsi="Times New Roman"/>
                <w:sz w:val="16"/>
                <w:szCs w:val="16"/>
                <w:lang w:eastAsia="zh-HK"/>
              </w:rPr>
            </w:pPr>
          </w:p>
        </w:tc>
        <w:tc>
          <w:tcPr>
            <w:tcW w:w="941" w:type="dxa"/>
            <w:tcBorders>
              <w:top w:val="nil"/>
              <w:left w:val="nil"/>
              <w:bottom w:val="single" w:sz="4" w:space="0" w:color="auto"/>
              <w:right w:val="nil"/>
            </w:tcBorders>
          </w:tcPr>
          <w:p w14:paraId="275DC5BC" w14:textId="77777777" w:rsidR="003818B4" w:rsidRPr="0039534F" w:rsidRDefault="003818B4" w:rsidP="00247A99">
            <w:pPr>
              <w:spacing w:after="0" w:line="200" w:lineRule="exact"/>
              <w:jc w:val="center"/>
              <w:rPr>
                <w:rFonts w:ascii="Times New Roman" w:hAnsi="Times New Roman"/>
                <w:sz w:val="16"/>
                <w:szCs w:val="16"/>
                <w:lang w:eastAsia="zh-HK"/>
              </w:rPr>
            </w:pPr>
          </w:p>
        </w:tc>
        <w:tc>
          <w:tcPr>
            <w:tcW w:w="866" w:type="dxa"/>
            <w:tcBorders>
              <w:top w:val="nil"/>
              <w:left w:val="nil"/>
              <w:bottom w:val="single" w:sz="4" w:space="0" w:color="auto"/>
              <w:right w:val="nil"/>
            </w:tcBorders>
          </w:tcPr>
          <w:p w14:paraId="53777651" w14:textId="77777777" w:rsidR="003818B4" w:rsidRPr="0039534F" w:rsidRDefault="003818B4" w:rsidP="00247A99">
            <w:pPr>
              <w:spacing w:after="0" w:line="200" w:lineRule="exact"/>
              <w:jc w:val="center"/>
              <w:rPr>
                <w:rFonts w:ascii="Times New Roman" w:hAnsi="Times New Roman"/>
                <w:sz w:val="16"/>
                <w:szCs w:val="16"/>
                <w:lang w:eastAsia="zh-HK"/>
              </w:rPr>
            </w:pPr>
          </w:p>
        </w:tc>
        <w:tc>
          <w:tcPr>
            <w:tcW w:w="941" w:type="dxa"/>
            <w:tcBorders>
              <w:top w:val="nil"/>
              <w:left w:val="nil"/>
              <w:bottom w:val="single" w:sz="4" w:space="0" w:color="auto"/>
              <w:right w:val="nil"/>
            </w:tcBorders>
          </w:tcPr>
          <w:p w14:paraId="2902E408" w14:textId="77777777" w:rsidR="003818B4" w:rsidRPr="0039534F" w:rsidRDefault="003818B4" w:rsidP="00247A99">
            <w:pPr>
              <w:spacing w:after="0" w:line="200" w:lineRule="exact"/>
              <w:jc w:val="center"/>
              <w:rPr>
                <w:rFonts w:ascii="Times New Roman" w:hAnsi="Times New Roman"/>
                <w:sz w:val="16"/>
                <w:szCs w:val="16"/>
                <w:lang w:eastAsia="zh-HK"/>
              </w:rPr>
            </w:pPr>
          </w:p>
        </w:tc>
        <w:tc>
          <w:tcPr>
            <w:tcW w:w="860" w:type="dxa"/>
            <w:tcBorders>
              <w:top w:val="nil"/>
              <w:left w:val="nil"/>
              <w:bottom w:val="single" w:sz="4" w:space="0" w:color="auto"/>
              <w:right w:val="nil"/>
            </w:tcBorders>
          </w:tcPr>
          <w:p w14:paraId="6EF2E23E" w14:textId="77777777" w:rsidR="003818B4" w:rsidRPr="0039534F" w:rsidRDefault="003818B4" w:rsidP="00247A99">
            <w:pPr>
              <w:spacing w:after="0" w:line="200" w:lineRule="exact"/>
              <w:jc w:val="center"/>
              <w:rPr>
                <w:rFonts w:ascii="Times New Roman" w:hAnsi="Times New Roman"/>
                <w:sz w:val="16"/>
                <w:szCs w:val="16"/>
                <w:lang w:eastAsia="zh-HK"/>
              </w:rPr>
            </w:pPr>
          </w:p>
        </w:tc>
        <w:tc>
          <w:tcPr>
            <w:tcW w:w="805" w:type="dxa"/>
            <w:tcBorders>
              <w:top w:val="nil"/>
              <w:left w:val="nil"/>
              <w:bottom w:val="single" w:sz="4" w:space="0" w:color="auto"/>
              <w:right w:val="nil"/>
            </w:tcBorders>
          </w:tcPr>
          <w:p w14:paraId="76DE4E78" w14:textId="77777777" w:rsidR="003818B4" w:rsidRPr="0039534F" w:rsidRDefault="003818B4" w:rsidP="00247A99">
            <w:pPr>
              <w:spacing w:after="0" w:line="200" w:lineRule="exact"/>
              <w:jc w:val="center"/>
              <w:rPr>
                <w:rFonts w:ascii="Times New Roman" w:hAnsi="Times New Roman"/>
                <w:sz w:val="16"/>
                <w:szCs w:val="16"/>
                <w:lang w:eastAsia="zh-HK"/>
              </w:rPr>
            </w:pPr>
          </w:p>
        </w:tc>
        <w:tc>
          <w:tcPr>
            <w:tcW w:w="810" w:type="dxa"/>
            <w:tcBorders>
              <w:top w:val="nil"/>
              <w:left w:val="nil"/>
              <w:bottom w:val="single" w:sz="4" w:space="0" w:color="auto"/>
              <w:right w:val="nil"/>
            </w:tcBorders>
          </w:tcPr>
          <w:p w14:paraId="49754BCD" w14:textId="77777777" w:rsidR="003818B4" w:rsidRPr="0039534F" w:rsidRDefault="003818B4" w:rsidP="00247A99">
            <w:pPr>
              <w:spacing w:after="0" w:line="200" w:lineRule="exact"/>
              <w:jc w:val="center"/>
              <w:rPr>
                <w:rFonts w:ascii="Times New Roman" w:hAnsi="Times New Roman"/>
                <w:sz w:val="16"/>
                <w:szCs w:val="16"/>
                <w:lang w:eastAsia="zh-HK"/>
              </w:rPr>
            </w:pPr>
          </w:p>
        </w:tc>
        <w:tc>
          <w:tcPr>
            <w:tcW w:w="830" w:type="dxa"/>
            <w:tcBorders>
              <w:top w:val="nil"/>
              <w:left w:val="nil"/>
              <w:bottom w:val="single" w:sz="4" w:space="0" w:color="auto"/>
              <w:right w:val="nil"/>
            </w:tcBorders>
          </w:tcPr>
          <w:p w14:paraId="33E9DB34" w14:textId="77777777" w:rsidR="003818B4" w:rsidRPr="0039534F" w:rsidRDefault="003818B4" w:rsidP="00247A99">
            <w:pPr>
              <w:spacing w:after="0" w:line="200" w:lineRule="exact"/>
              <w:jc w:val="center"/>
              <w:rPr>
                <w:rFonts w:ascii="Times New Roman" w:hAnsi="Times New Roman"/>
                <w:sz w:val="16"/>
                <w:szCs w:val="16"/>
                <w:lang w:eastAsia="zh-HK"/>
              </w:rPr>
            </w:pPr>
          </w:p>
        </w:tc>
        <w:tc>
          <w:tcPr>
            <w:tcW w:w="830" w:type="dxa"/>
            <w:tcBorders>
              <w:top w:val="nil"/>
              <w:left w:val="nil"/>
              <w:bottom w:val="single" w:sz="4" w:space="0" w:color="auto"/>
              <w:right w:val="nil"/>
            </w:tcBorders>
          </w:tcPr>
          <w:p w14:paraId="2D8B2AAA" w14:textId="77777777" w:rsidR="003818B4" w:rsidRPr="0039534F" w:rsidRDefault="003818B4" w:rsidP="00247A99">
            <w:pPr>
              <w:spacing w:after="0" w:line="200" w:lineRule="exact"/>
              <w:jc w:val="center"/>
              <w:rPr>
                <w:rFonts w:ascii="Times New Roman" w:hAnsi="Times New Roman"/>
                <w:sz w:val="16"/>
                <w:szCs w:val="16"/>
                <w:lang w:eastAsia="zh-HK"/>
              </w:rPr>
            </w:pPr>
          </w:p>
        </w:tc>
        <w:tc>
          <w:tcPr>
            <w:tcW w:w="880" w:type="dxa"/>
            <w:tcBorders>
              <w:top w:val="nil"/>
              <w:left w:val="nil"/>
              <w:bottom w:val="single" w:sz="4" w:space="0" w:color="auto"/>
              <w:right w:val="nil"/>
            </w:tcBorders>
          </w:tcPr>
          <w:p w14:paraId="4EF08E41" w14:textId="77777777" w:rsidR="003818B4" w:rsidRPr="0039534F" w:rsidRDefault="003818B4" w:rsidP="00247A99">
            <w:pPr>
              <w:spacing w:after="0" w:line="200" w:lineRule="exact"/>
              <w:jc w:val="center"/>
              <w:rPr>
                <w:rFonts w:ascii="Times New Roman" w:hAnsi="Times New Roman"/>
                <w:sz w:val="16"/>
                <w:szCs w:val="16"/>
                <w:lang w:eastAsia="zh-HK"/>
              </w:rPr>
            </w:pPr>
          </w:p>
        </w:tc>
      </w:tr>
      <w:tr w:rsidR="003818B4" w:rsidRPr="00B86E32" w14:paraId="29F74EDD" w14:textId="77777777" w:rsidTr="00B135C7">
        <w:tc>
          <w:tcPr>
            <w:tcW w:w="7597" w:type="dxa"/>
            <w:gridSpan w:val="7"/>
            <w:tcBorders>
              <w:top w:val="single" w:sz="4" w:space="0" w:color="auto"/>
              <w:left w:val="nil"/>
              <w:bottom w:val="single" w:sz="4" w:space="0" w:color="auto"/>
              <w:right w:val="nil"/>
            </w:tcBorders>
          </w:tcPr>
          <w:p w14:paraId="525E6DB8" w14:textId="6DD30C47" w:rsidR="003818B4" w:rsidRPr="005B5C76" w:rsidRDefault="003818B4" w:rsidP="007A556B">
            <w:pPr>
              <w:spacing w:after="0" w:line="200" w:lineRule="exact"/>
              <w:rPr>
                <w:rFonts w:ascii="Times New Roman" w:hAnsi="Times New Roman"/>
                <w:b/>
                <w:i/>
                <w:sz w:val="16"/>
                <w:szCs w:val="16"/>
                <w:lang w:eastAsia="zh-HK"/>
              </w:rPr>
            </w:pPr>
            <w:r w:rsidRPr="005B5C76">
              <w:rPr>
                <w:rFonts w:ascii="Times New Roman" w:hAnsi="Times New Roman" w:hint="eastAsia"/>
                <w:b/>
                <w:i/>
                <w:sz w:val="16"/>
                <w:szCs w:val="16"/>
                <w:lang w:eastAsia="zh-HK"/>
              </w:rPr>
              <w:t>Panel C:</w:t>
            </w:r>
            <w:r w:rsidR="007A556B">
              <w:rPr>
                <w:rFonts w:ascii="Times New Roman" w:hAnsi="Times New Roman"/>
                <w:b/>
                <w:i/>
                <w:sz w:val="16"/>
                <w:szCs w:val="16"/>
                <w:lang w:eastAsia="zh-HK"/>
              </w:rPr>
              <w:t xml:space="preserve"> Country-specific macroeconomic variables</w:t>
            </w:r>
          </w:p>
        </w:tc>
        <w:tc>
          <w:tcPr>
            <w:tcW w:w="810" w:type="dxa"/>
            <w:tcBorders>
              <w:top w:val="single" w:sz="4" w:space="0" w:color="auto"/>
              <w:left w:val="nil"/>
              <w:bottom w:val="single" w:sz="4" w:space="0" w:color="auto"/>
              <w:right w:val="nil"/>
            </w:tcBorders>
          </w:tcPr>
          <w:p w14:paraId="0BA3FBCC" w14:textId="77777777" w:rsidR="003818B4" w:rsidRPr="00B86E32" w:rsidRDefault="003818B4" w:rsidP="00247A99">
            <w:pPr>
              <w:spacing w:after="0" w:line="200" w:lineRule="exact"/>
              <w:rPr>
                <w:rFonts w:ascii="Times New Roman" w:hAnsi="Times New Roman"/>
                <w:sz w:val="16"/>
                <w:szCs w:val="16"/>
                <w:lang w:eastAsia="zh-HK"/>
              </w:rPr>
            </w:pPr>
          </w:p>
        </w:tc>
        <w:tc>
          <w:tcPr>
            <w:tcW w:w="830" w:type="dxa"/>
            <w:tcBorders>
              <w:top w:val="single" w:sz="4" w:space="0" w:color="auto"/>
              <w:left w:val="nil"/>
              <w:bottom w:val="single" w:sz="4" w:space="0" w:color="auto"/>
              <w:right w:val="nil"/>
            </w:tcBorders>
          </w:tcPr>
          <w:p w14:paraId="2CFF6D52" w14:textId="77777777" w:rsidR="003818B4" w:rsidRPr="00B86E32" w:rsidRDefault="003818B4" w:rsidP="00247A99">
            <w:pPr>
              <w:spacing w:after="0" w:line="200" w:lineRule="exact"/>
              <w:rPr>
                <w:rFonts w:ascii="Times New Roman" w:hAnsi="Times New Roman"/>
                <w:sz w:val="16"/>
                <w:szCs w:val="16"/>
                <w:lang w:eastAsia="zh-HK"/>
              </w:rPr>
            </w:pPr>
          </w:p>
        </w:tc>
        <w:tc>
          <w:tcPr>
            <w:tcW w:w="830" w:type="dxa"/>
            <w:tcBorders>
              <w:top w:val="single" w:sz="4" w:space="0" w:color="auto"/>
              <w:left w:val="nil"/>
              <w:bottom w:val="single" w:sz="4" w:space="0" w:color="auto"/>
              <w:right w:val="nil"/>
            </w:tcBorders>
          </w:tcPr>
          <w:p w14:paraId="5E119CB5" w14:textId="77777777" w:rsidR="003818B4" w:rsidRPr="00B86E32" w:rsidRDefault="003818B4" w:rsidP="00247A99">
            <w:pPr>
              <w:spacing w:after="0" w:line="200" w:lineRule="exact"/>
              <w:rPr>
                <w:rFonts w:ascii="Times New Roman" w:hAnsi="Times New Roman"/>
                <w:sz w:val="16"/>
                <w:szCs w:val="16"/>
                <w:lang w:eastAsia="zh-HK"/>
              </w:rPr>
            </w:pPr>
          </w:p>
        </w:tc>
        <w:tc>
          <w:tcPr>
            <w:tcW w:w="880" w:type="dxa"/>
            <w:tcBorders>
              <w:top w:val="single" w:sz="4" w:space="0" w:color="auto"/>
              <w:left w:val="nil"/>
              <w:bottom w:val="single" w:sz="4" w:space="0" w:color="auto"/>
              <w:right w:val="nil"/>
            </w:tcBorders>
          </w:tcPr>
          <w:p w14:paraId="64B5B540" w14:textId="77777777" w:rsidR="003818B4" w:rsidRPr="00B86E32" w:rsidRDefault="003818B4" w:rsidP="00247A99">
            <w:pPr>
              <w:spacing w:after="0" w:line="200" w:lineRule="exact"/>
              <w:rPr>
                <w:rFonts w:ascii="Times New Roman" w:hAnsi="Times New Roman"/>
                <w:sz w:val="16"/>
                <w:szCs w:val="16"/>
                <w:lang w:eastAsia="zh-HK"/>
              </w:rPr>
            </w:pPr>
          </w:p>
        </w:tc>
      </w:tr>
      <w:tr w:rsidR="003818B4" w:rsidRPr="00B86E32" w14:paraId="25ADF5C9" w14:textId="77777777" w:rsidTr="00B135C7">
        <w:tc>
          <w:tcPr>
            <w:tcW w:w="2311" w:type="dxa"/>
            <w:tcBorders>
              <w:top w:val="single" w:sz="4" w:space="0" w:color="auto"/>
              <w:left w:val="nil"/>
              <w:bottom w:val="nil"/>
              <w:right w:val="nil"/>
            </w:tcBorders>
          </w:tcPr>
          <w:p w14:paraId="0F993C5F" w14:textId="21B52C9C" w:rsidR="003818B4" w:rsidRPr="00182FB1" w:rsidDel="005D4B67" w:rsidRDefault="003818B4" w:rsidP="00247A99">
            <w:pPr>
              <w:spacing w:after="0" w:line="200" w:lineRule="exact"/>
              <w:rPr>
                <w:rFonts w:ascii="Times New Roman" w:eastAsiaTheme="minorEastAsia" w:hAnsi="Times New Roman"/>
                <w:sz w:val="16"/>
                <w:szCs w:val="16"/>
                <w:lang w:eastAsia="zh-HK"/>
              </w:rPr>
            </w:pPr>
            <w:r>
              <w:rPr>
                <w:rFonts w:ascii="Times New Roman" w:eastAsiaTheme="minorEastAsia" w:hAnsi="Times New Roman"/>
                <w:sz w:val="16"/>
                <w:szCs w:val="16"/>
                <w:lang w:eastAsia="zh-HK"/>
              </w:rPr>
              <w:t>GDP growth</w:t>
            </w:r>
            <w:r w:rsidR="00B70BB0">
              <w:rPr>
                <w:rFonts w:ascii="Times New Roman" w:eastAsiaTheme="minorEastAsia" w:hAnsi="Times New Roman"/>
                <w:sz w:val="16"/>
                <w:szCs w:val="16"/>
                <w:lang w:eastAsia="zh-HK"/>
              </w:rPr>
              <w:t xml:space="preserve"> (%)</w:t>
            </w:r>
          </w:p>
        </w:tc>
        <w:tc>
          <w:tcPr>
            <w:tcW w:w="873" w:type="dxa"/>
            <w:tcBorders>
              <w:top w:val="single" w:sz="4" w:space="0" w:color="auto"/>
              <w:left w:val="nil"/>
              <w:bottom w:val="nil"/>
              <w:right w:val="nil"/>
            </w:tcBorders>
          </w:tcPr>
          <w:p w14:paraId="04ADB1F3" w14:textId="77777777" w:rsidR="003818B4" w:rsidRPr="00CE18A6" w:rsidDel="00437BE4"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1.78</w:t>
            </w:r>
          </w:p>
        </w:tc>
        <w:tc>
          <w:tcPr>
            <w:tcW w:w="941" w:type="dxa"/>
            <w:tcBorders>
              <w:top w:val="single" w:sz="4" w:space="0" w:color="auto"/>
              <w:left w:val="nil"/>
              <w:bottom w:val="nil"/>
              <w:right w:val="nil"/>
            </w:tcBorders>
          </w:tcPr>
          <w:p w14:paraId="16907BEA" w14:textId="77777777" w:rsidR="003818B4" w:rsidRPr="00CE18A6" w:rsidDel="00437BE4"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2.68</w:t>
            </w:r>
          </w:p>
        </w:tc>
        <w:tc>
          <w:tcPr>
            <w:tcW w:w="866" w:type="dxa"/>
            <w:tcBorders>
              <w:top w:val="single" w:sz="4" w:space="0" w:color="auto"/>
              <w:left w:val="nil"/>
              <w:bottom w:val="nil"/>
              <w:right w:val="nil"/>
            </w:tcBorders>
          </w:tcPr>
          <w:p w14:paraId="3FEE822B" w14:textId="77777777" w:rsidR="003818B4" w:rsidRPr="00CE18A6" w:rsidDel="00437BE4"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0.21</w:t>
            </w:r>
          </w:p>
        </w:tc>
        <w:tc>
          <w:tcPr>
            <w:tcW w:w="941" w:type="dxa"/>
            <w:tcBorders>
              <w:top w:val="single" w:sz="4" w:space="0" w:color="auto"/>
              <w:left w:val="nil"/>
              <w:bottom w:val="nil"/>
              <w:right w:val="nil"/>
            </w:tcBorders>
          </w:tcPr>
          <w:p w14:paraId="3C04945F" w14:textId="77777777" w:rsidR="003818B4" w:rsidRPr="00CE18A6" w:rsidDel="00437BE4"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2.94</w:t>
            </w:r>
          </w:p>
        </w:tc>
        <w:tc>
          <w:tcPr>
            <w:tcW w:w="860" w:type="dxa"/>
            <w:tcBorders>
              <w:top w:val="single" w:sz="4" w:space="0" w:color="auto"/>
              <w:left w:val="nil"/>
              <w:bottom w:val="nil"/>
              <w:right w:val="nil"/>
            </w:tcBorders>
          </w:tcPr>
          <w:p w14:paraId="16BCD7CE" w14:textId="77777777" w:rsidR="003818B4" w:rsidRPr="00CE18A6" w:rsidDel="00437BE4"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-1.67</w:t>
            </w:r>
          </w:p>
        </w:tc>
        <w:tc>
          <w:tcPr>
            <w:tcW w:w="805" w:type="dxa"/>
            <w:tcBorders>
              <w:top w:val="single" w:sz="4" w:space="0" w:color="auto"/>
              <w:left w:val="nil"/>
              <w:bottom w:val="nil"/>
              <w:right w:val="nil"/>
            </w:tcBorders>
          </w:tcPr>
          <w:p w14:paraId="65AFC4C3" w14:textId="77777777" w:rsidR="003818B4" w:rsidRPr="00CE18A6" w:rsidDel="00437BE4"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0.82</w:t>
            </w:r>
          </w:p>
        </w:tc>
        <w:tc>
          <w:tcPr>
            <w:tcW w:w="810" w:type="dxa"/>
            <w:tcBorders>
              <w:top w:val="single" w:sz="4" w:space="0" w:color="auto"/>
              <w:left w:val="nil"/>
              <w:bottom w:val="nil"/>
              <w:right w:val="nil"/>
            </w:tcBorders>
          </w:tcPr>
          <w:p w14:paraId="231C5F42" w14:textId="77777777" w:rsidR="003818B4" w:rsidRPr="00CE18A6" w:rsidDel="00437BE4"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1.97</w:t>
            </w:r>
          </w:p>
        </w:tc>
        <w:tc>
          <w:tcPr>
            <w:tcW w:w="830" w:type="dxa"/>
            <w:tcBorders>
              <w:top w:val="single" w:sz="4" w:space="0" w:color="auto"/>
              <w:left w:val="nil"/>
              <w:bottom w:val="nil"/>
              <w:right w:val="nil"/>
            </w:tcBorders>
          </w:tcPr>
          <w:p w14:paraId="127F2878" w14:textId="77777777" w:rsidR="003818B4" w:rsidRPr="00CE18A6" w:rsidDel="00437BE4"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2.61</w:t>
            </w:r>
          </w:p>
        </w:tc>
        <w:tc>
          <w:tcPr>
            <w:tcW w:w="830" w:type="dxa"/>
            <w:tcBorders>
              <w:top w:val="single" w:sz="4" w:space="0" w:color="auto"/>
              <w:left w:val="nil"/>
              <w:bottom w:val="nil"/>
              <w:right w:val="nil"/>
            </w:tcBorders>
          </w:tcPr>
          <w:p w14:paraId="33402DA1" w14:textId="77777777" w:rsidR="003818B4" w:rsidRPr="00CE18A6" w:rsidDel="00437BE4"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4.67</w:t>
            </w:r>
          </w:p>
        </w:tc>
        <w:tc>
          <w:tcPr>
            <w:tcW w:w="880" w:type="dxa"/>
            <w:tcBorders>
              <w:top w:val="single" w:sz="4" w:space="0" w:color="auto"/>
              <w:left w:val="nil"/>
              <w:bottom w:val="nil"/>
              <w:right w:val="nil"/>
            </w:tcBorders>
          </w:tcPr>
          <w:p w14:paraId="40234F82" w14:textId="77777777" w:rsidR="003818B4" w:rsidRPr="00CE18A6" w:rsidDel="00437BE4"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5422</w:t>
            </w:r>
          </w:p>
        </w:tc>
      </w:tr>
      <w:tr w:rsidR="003818B4" w:rsidRPr="00B86E32" w14:paraId="571E8C88" w14:textId="77777777" w:rsidTr="003818B4">
        <w:tc>
          <w:tcPr>
            <w:tcW w:w="2311" w:type="dxa"/>
            <w:tcBorders>
              <w:top w:val="nil"/>
              <w:left w:val="nil"/>
              <w:bottom w:val="nil"/>
              <w:right w:val="nil"/>
            </w:tcBorders>
          </w:tcPr>
          <w:p w14:paraId="1DBAE568" w14:textId="62DAA4B9" w:rsidR="003818B4" w:rsidRPr="00B86E32" w:rsidRDefault="003818B4" w:rsidP="00247A99">
            <w:pPr>
              <w:spacing w:after="0" w:line="200" w:lineRule="exact"/>
              <w:rPr>
                <w:rFonts w:ascii="Times New Roman" w:hAnsi="Times New Roman"/>
                <w:sz w:val="16"/>
                <w:szCs w:val="16"/>
                <w:lang w:eastAsia="zh-HK"/>
              </w:rPr>
            </w:pPr>
            <w:r>
              <w:rPr>
                <w:rFonts w:ascii="Times New Roman" w:hAnsi="Times New Roman"/>
                <w:sz w:val="16"/>
                <w:szCs w:val="16"/>
                <w:lang w:eastAsia="zh-HK"/>
              </w:rPr>
              <w:t>Inflation</w:t>
            </w:r>
            <w:r w:rsidR="00B70BB0">
              <w:rPr>
                <w:rFonts w:ascii="Times New Roman" w:hAnsi="Times New Roman"/>
                <w:sz w:val="16"/>
                <w:szCs w:val="16"/>
                <w:lang w:eastAsia="zh-HK"/>
              </w:rPr>
              <w:t xml:space="preserve"> (%)</w:t>
            </w:r>
          </w:p>
        </w:tc>
        <w:tc>
          <w:tcPr>
            <w:tcW w:w="873" w:type="dxa"/>
            <w:tcBorders>
              <w:top w:val="nil"/>
              <w:left w:val="nil"/>
              <w:bottom w:val="nil"/>
              <w:right w:val="nil"/>
            </w:tcBorders>
          </w:tcPr>
          <w:p w14:paraId="25FF81E7"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2.25</w:t>
            </w:r>
          </w:p>
        </w:tc>
        <w:tc>
          <w:tcPr>
            <w:tcW w:w="941" w:type="dxa"/>
            <w:tcBorders>
              <w:top w:val="nil"/>
              <w:left w:val="nil"/>
              <w:bottom w:val="nil"/>
              <w:right w:val="nil"/>
            </w:tcBorders>
          </w:tcPr>
          <w:p w14:paraId="56273A75"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1.97</w:t>
            </w:r>
          </w:p>
        </w:tc>
        <w:tc>
          <w:tcPr>
            <w:tcW w:w="866" w:type="dxa"/>
            <w:tcBorders>
              <w:top w:val="nil"/>
              <w:left w:val="nil"/>
              <w:bottom w:val="nil"/>
              <w:right w:val="nil"/>
            </w:tcBorders>
          </w:tcPr>
          <w:p w14:paraId="39FA758B"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1.51</w:t>
            </w:r>
          </w:p>
        </w:tc>
        <w:tc>
          <w:tcPr>
            <w:tcW w:w="941" w:type="dxa"/>
            <w:tcBorders>
              <w:top w:val="nil"/>
              <w:left w:val="nil"/>
              <w:bottom w:val="nil"/>
              <w:right w:val="nil"/>
            </w:tcBorders>
          </w:tcPr>
          <w:p w14:paraId="587C2392"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4.49</w:t>
            </w:r>
          </w:p>
        </w:tc>
        <w:tc>
          <w:tcPr>
            <w:tcW w:w="860" w:type="dxa"/>
            <w:tcBorders>
              <w:top w:val="nil"/>
              <w:left w:val="nil"/>
              <w:bottom w:val="nil"/>
              <w:right w:val="nil"/>
            </w:tcBorders>
          </w:tcPr>
          <w:p w14:paraId="2D6D7C38"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0.05</w:t>
            </w:r>
          </w:p>
        </w:tc>
        <w:tc>
          <w:tcPr>
            <w:tcW w:w="805" w:type="dxa"/>
            <w:tcBorders>
              <w:top w:val="nil"/>
              <w:left w:val="nil"/>
              <w:bottom w:val="nil"/>
              <w:right w:val="nil"/>
            </w:tcBorders>
          </w:tcPr>
          <w:p w14:paraId="5C434490"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1.10</w:t>
            </w:r>
          </w:p>
        </w:tc>
        <w:tc>
          <w:tcPr>
            <w:tcW w:w="810" w:type="dxa"/>
            <w:tcBorders>
              <w:top w:val="nil"/>
              <w:left w:val="nil"/>
              <w:bottom w:val="nil"/>
              <w:right w:val="nil"/>
            </w:tcBorders>
          </w:tcPr>
          <w:p w14:paraId="1BAA2873"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2.07</w:t>
            </w:r>
          </w:p>
        </w:tc>
        <w:tc>
          <w:tcPr>
            <w:tcW w:w="830" w:type="dxa"/>
            <w:tcBorders>
              <w:top w:val="nil"/>
              <w:left w:val="nil"/>
              <w:bottom w:val="nil"/>
              <w:right w:val="nil"/>
            </w:tcBorders>
          </w:tcPr>
          <w:p w14:paraId="69DE78F9"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3.16</w:t>
            </w:r>
          </w:p>
        </w:tc>
        <w:tc>
          <w:tcPr>
            <w:tcW w:w="830" w:type="dxa"/>
            <w:tcBorders>
              <w:top w:val="nil"/>
              <w:left w:val="nil"/>
              <w:bottom w:val="nil"/>
              <w:right w:val="nil"/>
            </w:tcBorders>
          </w:tcPr>
          <w:p w14:paraId="16D3E750"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4.48</w:t>
            </w:r>
          </w:p>
        </w:tc>
        <w:tc>
          <w:tcPr>
            <w:tcW w:w="880" w:type="dxa"/>
            <w:tcBorders>
              <w:top w:val="nil"/>
              <w:left w:val="nil"/>
              <w:bottom w:val="nil"/>
              <w:right w:val="nil"/>
            </w:tcBorders>
          </w:tcPr>
          <w:p w14:paraId="5A5DAF65" w14:textId="77777777" w:rsidR="003818B4" w:rsidRPr="00CE18A6" w:rsidRDefault="003818B4" w:rsidP="00247A99">
            <w:pPr>
              <w:spacing w:after="0" w:line="200" w:lineRule="exact"/>
              <w:jc w:val="center"/>
              <w:rPr>
                <w:rFonts w:ascii="Times New Roman" w:eastAsiaTheme="minorEastAsia" w:hAnsi="Times New Roman"/>
                <w:sz w:val="16"/>
                <w:szCs w:val="16"/>
                <w:lang w:eastAsia="zh-HK"/>
              </w:rPr>
            </w:pPr>
            <w:r w:rsidRPr="00CE18A6">
              <w:rPr>
                <w:rFonts w:ascii="Times New Roman" w:hAnsi="Times New Roman"/>
                <w:sz w:val="16"/>
                <w:szCs w:val="16"/>
              </w:rPr>
              <w:t>5422</w:t>
            </w:r>
          </w:p>
        </w:tc>
      </w:tr>
      <w:tr w:rsidR="003818B4" w:rsidRPr="00B86E32" w14:paraId="4D1BFCA0" w14:textId="77777777" w:rsidTr="003818B4">
        <w:tc>
          <w:tcPr>
            <w:tcW w:w="2311" w:type="dxa"/>
            <w:tcBorders>
              <w:top w:val="nil"/>
              <w:left w:val="nil"/>
              <w:bottom w:val="single" w:sz="4" w:space="0" w:color="auto"/>
              <w:right w:val="nil"/>
            </w:tcBorders>
          </w:tcPr>
          <w:p w14:paraId="4A022B40" w14:textId="77777777" w:rsidR="003818B4" w:rsidRDefault="003818B4" w:rsidP="00247A99">
            <w:pPr>
              <w:spacing w:after="0" w:line="200" w:lineRule="exact"/>
              <w:rPr>
                <w:rFonts w:ascii="Times New Roman" w:hAnsi="Times New Roman"/>
                <w:sz w:val="16"/>
                <w:szCs w:val="16"/>
                <w:lang w:eastAsia="zh-HK"/>
              </w:rPr>
            </w:pPr>
          </w:p>
        </w:tc>
        <w:tc>
          <w:tcPr>
            <w:tcW w:w="873" w:type="dxa"/>
            <w:tcBorders>
              <w:top w:val="nil"/>
              <w:left w:val="nil"/>
              <w:bottom w:val="single" w:sz="4" w:space="0" w:color="auto"/>
              <w:right w:val="nil"/>
            </w:tcBorders>
          </w:tcPr>
          <w:p w14:paraId="50421B07" w14:textId="77777777" w:rsidR="003818B4" w:rsidRPr="00C0758E" w:rsidRDefault="003818B4" w:rsidP="00247A99">
            <w:pPr>
              <w:spacing w:after="0" w:line="200" w:lineRule="exact"/>
              <w:jc w:val="center"/>
              <w:rPr>
                <w:rFonts w:ascii="Times New Roman" w:hAnsi="Times New Roman"/>
                <w:sz w:val="16"/>
                <w:szCs w:val="16"/>
                <w:lang w:eastAsia="zh-HK"/>
              </w:rPr>
            </w:pPr>
          </w:p>
        </w:tc>
        <w:tc>
          <w:tcPr>
            <w:tcW w:w="941" w:type="dxa"/>
            <w:tcBorders>
              <w:top w:val="nil"/>
              <w:left w:val="nil"/>
              <w:bottom w:val="single" w:sz="4" w:space="0" w:color="auto"/>
              <w:right w:val="nil"/>
            </w:tcBorders>
          </w:tcPr>
          <w:p w14:paraId="1313C126" w14:textId="77777777" w:rsidR="003818B4" w:rsidRPr="00C0758E" w:rsidRDefault="003818B4" w:rsidP="00247A99">
            <w:pPr>
              <w:spacing w:after="0" w:line="200" w:lineRule="exact"/>
              <w:jc w:val="center"/>
              <w:rPr>
                <w:rFonts w:ascii="Times New Roman" w:hAnsi="Times New Roman"/>
                <w:sz w:val="16"/>
                <w:szCs w:val="16"/>
              </w:rPr>
            </w:pPr>
          </w:p>
        </w:tc>
        <w:tc>
          <w:tcPr>
            <w:tcW w:w="866" w:type="dxa"/>
            <w:tcBorders>
              <w:top w:val="nil"/>
              <w:left w:val="nil"/>
              <w:bottom w:val="single" w:sz="4" w:space="0" w:color="auto"/>
              <w:right w:val="nil"/>
            </w:tcBorders>
          </w:tcPr>
          <w:p w14:paraId="77E58DF7" w14:textId="77777777" w:rsidR="003818B4" w:rsidRPr="00C0758E" w:rsidRDefault="003818B4" w:rsidP="00247A99">
            <w:pPr>
              <w:spacing w:after="0" w:line="200" w:lineRule="exact"/>
              <w:jc w:val="center"/>
              <w:rPr>
                <w:rFonts w:ascii="Times New Roman" w:hAnsi="Times New Roman"/>
                <w:sz w:val="16"/>
                <w:szCs w:val="16"/>
              </w:rPr>
            </w:pPr>
          </w:p>
        </w:tc>
        <w:tc>
          <w:tcPr>
            <w:tcW w:w="941" w:type="dxa"/>
            <w:tcBorders>
              <w:top w:val="nil"/>
              <w:left w:val="nil"/>
              <w:bottom w:val="single" w:sz="4" w:space="0" w:color="auto"/>
              <w:right w:val="nil"/>
            </w:tcBorders>
          </w:tcPr>
          <w:p w14:paraId="3C8441A7" w14:textId="77777777" w:rsidR="003818B4" w:rsidRPr="00C0758E" w:rsidRDefault="003818B4" w:rsidP="00247A99">
            <w:pPr>
              <w:spacing w:after="0" w:line="200" w:lineRule="exact"/>
              <w:jc w:val="center"/>
              <w:rPr>
                <w:rFonts w:ascii="Times New Roman" w:hAnsi="Times New Roman"/>
                <w:sz w:val="16"/>
                <w:szCs w:val="16"/>
                <w:lang w:eastAsia="zh-HK"/>
              </w:rPr>
            </w:pPr>
          </w:p>
        </w:tc>
        <w:tc>
          <w:tcPr>
            <w:tcW w:w="860" w:type="dxa"/>
            <w:tcBorders>
              <w:top w:val="nil"/>
              <w:left w:val="nil"/>
              <w:bottom w:val="single" w:sz="4" w:space="0" w:color="auto"/>
              <w:right w:val="nil"/>
            </w:tcBorders>
          </w:tcPr>
          <w:p w14:paraId="38D78680" w14:textId="77777777" w:rsidR="003818B4" w:rsidRPr="00C0758E" w:rsidRDefault="003818B4" w:rsidP="00247A99">
            <w:pPr>
              <w:spacing w:after="0" w:line="200" w:lineRule="exact"/>
              <w:jc w:val="center"/>
              <w:rPr>
                <w:rFonts w:ascii="Times New Roman" w:hAnsi="Times New Roman"/>
                <w:sz w:val="16"/>
                <w:szCs w:val="16"/>
              </w:rPr>
            </w:pPr>
          </w:p>
        </w:tc>
        <w:tc>
          <w:tcPr>
            <w:tcW w:w="805" w:type="dxa"/>
            <w:tcBorders>
              <w:top w:val="nil"/>
              <w:left w:val="nil"/>
              <w:bottom w:val="single" w:sz="4" w:space="0" w:color="auto"/>
              <w:right w:val="nil"/>
            </w:tcBorders>
          </w:tcPr>
          <w:p w14:paraId="3F4FA661" w14:textId="77777777" w:rsidR="003818B4" w:rsidRPr="00C0758E" w:rsidRDefault="003818B4" w:rsidP="00247A99">
            <w:pPr>
              <w:spacing w:after="0" w:line="200" w:lineRule="exact"/>
              <w:jc w:val="center"/>
              <w:rPr>
                <w:rFonts w:ascii="Times New Roman" w:hAnsi="Times New Roman"/>
                <w:sz w:val="16"/>
                <w:szCs w:val="16"/>
                <w:lang w:eastAsia="zh-HK"/>
              </w:rPr>
            </w:pPr>
          </w:p>
        </w:tc>
        <w:tc>
          <w:tcPr>
            <w:tcW w:w="810" w:type="dxa"/>
            <w:tcBorders>
              <w:top w:val="nil"/>
              <w:left w:val="nil"/>
              <w:bottom w:val="single" w:sz="4" w:space="0" w:color="auto"/>
              <w:right w:val="nil"/>
            </w:tcBorders>
          </w:tcPr>
          <w:p w14:paraId="6DAEB4D2" w14:textId="77777777" w:rsidR="003818B4" w:rsidRPr="00C0758E" w:rsidRDefault="003818B4" w:rsidP="00247A99">
            <w:pPr>
              <w:spacing w:after="0" w:line="200" w:lineRule="exact"/>
              <w:jc w:val="center"/>
              <w:rPr>
                <w:rFonts w:ascii="Times New Roman" w:hAnsi="Times New Roman"/>
                <w:sz w:val="16"/>
                <w:szCs w:val="16"/>
                <w:lang w:eastAsia="zh-HK"/>
              </w:rPr>
            </w:pPr>
          </w:p>
        </w:tc>
        <w:tc>
          <w:tcPr>
            <w:tcW w:w="830" w:type="dxa"/>
            <w:tcBorders>
              <w:top w:val="nil"/>
              <w:left w:val="nil"/>
              <w:bottom w:val="single" w:sz="4" w:space="0" w:color="auto"/>
              <w:right w:val="nil"/>
            </w:tcBorders>
          </w:tcPr>
          <w:p w14:paraId="625BD778" w14:textId="77777777" w:rsidR="003818B4" w:rsidRPr="00C0758E" w:rsidRDefault="003818B4" w:rsidP="00247A99">
            <w:pPr>
              <w:spacing w:after="0" w:line="200" w:lineRule="exact"/>
              <w:jc w:val="center"/>
              <w:rPr>
                <w:rFonts w:ascii="Times New Roman" w:hAnsi="Times New Roman"/>
                <w:sz w:val="16"/>
                <w:szCs w:val="16"/>
                <w:lang w:eastAsia="zh-HK"/>
              </w:rPr>
            </w:pPr>
          </w:p>
        </w:tc>
        <w:tc>
          <w:tcPr>
            <w:tcW w:w="830" w:type="dxa"/>
            <w:tcBorders>
              <w:top w:val="nil"/>
              <w:left w:val="nil"/>
              <w:bottom w:val="single" w:sz="4" w:space="0" w:color="auto"/>
              <w:right w:val="nil"/>
            </w:tcBorders>
          </w:tcPr>
          <w:p w14:paraId="7866081B" w14:textId="77777777" w:rsidR="003818B4" w:rsidRPr="00BA68B4" w:rsidRDefault="003818B4" w:rsidP="00247A99">
            <w:pPr>
              <w:spacing w:after="0" w:line="200" w:lineRule="exact"/>
              <w:jc w:val="center"/>
              <w:rPr>
                <w:rFonts w:ascii="Times New Roman" w:hAnsi="Times New Roman"/>
                <w:sz w:val="16"/>
                <w:szCs w:val="16"/>
                <w:lang w:eastAsia="zh-HK"/>
              </w:rPr>
            </w:pPr>
          </w:p>
        </w:tc>
        <w:tc>
          <w:tcPr>
            <w:tcW w:w="880" w:type="dxa"/>
            <w:tcBorders>
              <w:top w:val="nil"/>
              <w:left w:val="nil"/>
              <w:bottom w:val="single" w:sz="4" w:space="0" w:color="auto"/>
              <w:right w:val="nil"/>
            </w:tcBorders>
          </w:tcPr>
          <w:p w14:paraId="7D51FB20" w14:textId="77777777" w:rsidR="003818B4" w:rsidRPr="00C0758E" w:rsidRDefault="003818B4" w:rsidP="00247A99">
            <w:pPr>
              <w:spacing w:after="0" w:line="200" w:lineRule="exact"/>
              <w:jc w:val="center"/>
              <w:rPr>
                <w:rFonts w:ascii="Times New Roman" w:hAnsi="Times New Roman"/>
                <w:sz w:val="16"/>
                <w:szCs w:val="16"/>
                <w:lang w:eastAsia="zh-HK"/>
              </w:rPr>
            </w:pPr>
          </w:p>
        </w:tc>
      </w:tr>
      <w:tr w:rsidR="003818B4" w:rsidRPr="00B86E32" w14:paraId="27C3CE93" w14:textId="77777777" w:rsidTr="00247A99">
        <w:tc>
          <w:tcPr>
            <w:tcW w:w="10947" w:type="dxa"/>
            <w:gridSpan w:val="11"/>
            <w:tcBorders>
              <w:top w:val="single" w:sz="4" w:space="0" w:color="auto"/>
              <w:left w:val="nil"/>
              <w:bottom w:val="single" w:sz="4" w:space="0" w:color="auto"/>
              <w:right w:val="nil"/>
            </w:tcBorders>
          </w:tcPr>
          <w:p w14:paraId="45B765A9" w14:textId="77777777" w:rsidR="003818B4" w:rsidRPr="00B86E32" w:rsidRDefault="003818B4" w:rsidP="00247A99">
            <w:pPr>
              <w:spacing w:after="0" w:line="200" w:lineRule="exact"/>
              <w:jc w:val="both"/>
              <w:rPr>
                <w:rFonts w:ascii="Times New Roman" w:eastAsiaTheme="minorEastAsia" w:hAnsi="Times New Roman"/>
                <w:sz w:val="16"/>
                <w:szCs w:val="16"/>
                <w:lang w:eastAsia="zh-HK"/>
              </w:rPr>
            </w:pPr>
            <w:r w:rsidRPr="00B86E32">
              <w:rPr>
                <w:rFonts w:ascii="Times New Roman" w:hAnsi="Times New Roman"/>
                <w:sz w:val="16"/>
                <w:szCs w:val="16"/>
                <w:lang w:eastAsia="zh-HK"/>
              </w:rPr>
              <w:t xml:space="preserve">This table presents the </w:t>
            </w:r>
            <w:r w:rsidRPr="00B86E32">
              <w:rPr>
                <w:rFonts w:ascii="Times New Roman" w:eastAsiaTheme="minorEastAsia" w:hAnsi="Times New Roman"/>
                <w:sz w:val="16"/>
                <w:szCs w:val="16"/>
                <w:lang w:eastAsia="zh-HK"/>
              </w:rPr>
              <w:t>summary</w:t>
            </w:r>
            <w:r w:rsidRPr="00B86E32">
              <w:rPr>
                <w:rFonts w:ascii="Times New Roman" w:hAnsi="Times New Roman"/>
                <w:sz w:val="16"/>
                <w:szCs w:val="16"/>
                <w:lang w:eastAsia="zh-HK"/>
              </w:rPr>
              <w:t xml:space="preserve"> statistics for the variables used in our regression analysis. The sample </w:t>
            </w:r>
            <w:r w:rsidRPr="00BA68B4">
              <w:rPr>
                <w:rFonts w:ascii="Times New Roman" w:hAnsi="Times New Roman"/>
                <w:sz w:val="16"/>
                <w:szCs w:val="16"/>
                <w:lang w:eastAsia="zh-HK"/>
              </w:rPr>
              <w:t xml:space="preserve">is constructed by first selecting all the insurers that are constituents of the World </w:t>
            </w:r>
            <w:proofErr w:type="spellStart"/>
            <w:r w:rsidRPr="00BA68B4">
              <w:rPr>
                <w:rFonts w:ascii="Times New Roman" w:hAnsi="Times New Roman"/>
                <w:sz w:val="16"/>
                <w:szCs w:val="16"/>
                <w:lang w:eastAsia="zh-HK"/>
              </w:rPr>
              <w:t>Datastream</w:t>
            </w:r>
            <w:proofErr w:type="spellEnd"/>
            <w:r w:rsidRPr="00BA68B4">
              <w:rPr>
                <w:rFonts w:ascii="Times New Roman" w:hAnsi="Times New Roman"/>
                <w:sz w:val="16"/>
                <w:szCs w:val="16"/>
                <w:lang w:eastAsia="zh-HK"/>
              </w:rPr>
              <w:t xml:space="preserve"> Insurance Index. Next, all insurers with quarterly accounting data or daily stock prices unavailable in </w:t>
            </w:r>
            <w:proofErr w:type="spellStart"/>
            <w:r w:rsidRPr="003A3679">
              <w:rPr>
                <w:rFonts w:ascii="Times New Roman" w:hAnsi="Times New Roman"/>
                <w:i/>
                <w:sz w:val="16"/>
                <w:szCs w:val="16"/>
                <w:lang w:eastAsia="zh-HK"/>
              </w:rPr>
              <w:t>Datastream</w:t>
            </w:r>
            <w:proofErr w:type="spellEnd"/>
            <w:r w:rsidRPr="00BA68B4">
              <w:rPr>
                <w:rFonts w:ascii="Times New Roman" w:hAnsi="Times New Roman"/>
                <w:sz w:val="16"/>
                <w:szCs w:val="16"/>
                <w:lang w:eastAsia="zh-HK"/>
              </w:rPr>
              <w:t xml:space="preserve"> are omitted. The final dataset consists of 174 insurers from 33 countries.</w:t>
            </w:r>
            <w:r w:rsidRPr="00B86E32">
              <w:rPr>
                <w:rFonts w:ascii="Times New Roman" w:hAnsi="Times New Roman"/>
                <w:sz w:val="16"/>
                <w:szCs w:val="16"/>
                <w:lang w:eastAsia="zh-HK"/>
              </w:rPr>
              <w:t xml:space="preserve"> The</w:t>
            </w:r>
            <w:r>
              <w:rPr>
                <w:rFonts w:ascii="Times New Roman" w:hAnsi="Times New Roman"/>
                <w:sz w:val="16"/>
                <w:szCs w:val="16"/>
                <w:lang w:eastAsia="zh-HK"/>
              </w:rPr>
              <w:t xml:space="preserve"> </w:t>
            </w:r>
            <w:r w:rsidRPr="00B86E32">
              <w:rPr>
                <w:rFonts w:ascii="Times New Roman" w:hAnsi="Times New Roman"/>
                <w:sz w:val="16"/>
                <w:szCs w:val="16"/>
                <w:lang w:eastAsia="zh-HK"/>
              </w:rPr>
              <w:t xml:space="preserve">variables are </w:t>
            </w:r>
            <w:r>
              <w:rPr>
                <w:rFonts w:ascii="Times New Roman" w:hAnsi="Times New Roman"/>
                <w:sz w:val="16"/>
                <w:szCs w:val="16"/>
                <w:lang w:eastAsia="zh-HK"/>
              </w:rPr>
              <w:t>defined</w:t>
            </w:r>
            <w:r w:rsidRPr="00B86E32">
              <w:rPr>
                <w:rFonts w:ascii="Times New Roman" w:hAnsi="Times New Roman"/>
                <w:sz w:val="16"/>
                <w:szCs w:val="16"/>
                <w:lang w:eastAsia="zh-HK"/>
              </w:rPr>
              <w:t xml:space="preserve"> in Table </w:t>
            </w:r>
            <w:r>
              <w:rPr>
                <w:rFonts w:ascii="Times New Roman" w:eastAsiaTheme="minorEastAsia" w:hAnsi="Times New Roman"/>
                <w:sz w:val="16"/>
                <w:szCs w:val="16"/>
                <w:lang w:eastAsia="zh-HK"/>
              </w:rPr>
              <w:t>II</w:t>
            </w:r>
            <w:r w:rsidRPr="00B86E32">
              <w:rPr>
                <w:rFonts w:ascii="Times New Roman" w:hAnsi="Times New Roman"/>
                <w:sz w:val="16"/>
                <w:szCs w:val="16"/>
                <w:lang w:eastAsia="zh-HK"/>
              </w:rPr>
              <w:t>.</w:t>
            </w:r>
          </w:p>
        </w:tc>
      </w:tr>
    </w:tbl>
    <w:p w14:paraId="1DD8B080" w14:textId="130061A5" w:rsidR="003818B4" w:rsidRDefault="003818B4" w:rsidP="003818B4">
      <w:pPr>
        <w:spacing w:after="0" w:line="200" w:lineRule="exact"/>
        <w:jc w:val="both"/>
        <w:rPr>
          <w:rFonts w:ascii="Times New Roman" w:eastAsiaTheme="minorEastAsia" w:hAnsi="Times New Roman"/>
          <w:sz w:val="16"/>
          <w:szCs w:val="16"/>
          <w:lang w:eastAsia="zh-HK"/>
        </w:rPr>
      </w:pPr>
    </w:p>
    <w:p w14:paraId="10AEC026" w14:textId="555E027E" w:rsidR="00247A99" w:rsidRDefault="00247A99" w:rsidP="003818B4">
      <w:pPr>
        <w:spacing w:after="0" w:line="200" w:lineRule="exact"/>
        <w:jc w:val="both"/>
        <w:rPr>
          <w:rFonts w:ascii="Times New Roman" w:eastAsiaTheme="minorEastAsia" w:hAnsi="Times New Roman"/>
          <w:sz w:val="16"/>
          <w:szCs w:val="16"/>
          <w:lang w:eastAsia="zh-HK"/>
        </w:rPr>
      </w:pPr>
    </w:p>
    <w:p w14:paraId="12927611" w14:textId="1D73749C" w:rsidR="00247A99" w:rsidRDefault="00247A99" w:rsidP="003818B4">
      <w:pPr>
        <w:spacing w:after="0" w:line="200" w:lineRule="exact"/>
        <w:jc w:val="both"/>
        <w:rPr>
          <w:rFonts w:ascii="Times New Roman" w:eastAsiaTheme="minorEastAsia" w:hAnsi="Times New Roman"/>
          <w:sz w:val="16"/>
          <w:szCs w:val="16"/>
          <w:lang w:eastAsia="zh-HK"/>
        </w:rPr>
      </w:pPr>
    </w:p>
    <w:p w14:paraId="775A96B7" w14:textId="77777777" w:rsidR="00C650ED" w:rsidRDefault="00C650ED" w:rsidP="00C650ED">
      <w:pPr>
        <w:spacing w:after="0" w:line="200" w:lineRule="exact"/>
        <w:jc w:val="center"/>
        <w:rPr>
          <w:rFonts w:ascii="Times New Roman" w:hAnsi="Times New Roman"/>
          <w:b/>
          <w:sz w:val="16"/>
          <w:szCs w:val="16"/>
          <w:lang w:eastAsia="zh-HK"/>
        </w:rPr>
      </w:pPr>
      <w:r w:rsidRPr="00716971">
        <w:rPr>
          <w:rFonts w:ascii="Times New Roman" w:hAnsi="Times New Roman"/>
          <w:b/>
          <w:sz w:val="16"/>
          <w:szCs w:val="16"/>
          <w:lang w:eastAsia="zh-HK"/>
        </w:rPr>
        <w:lastRenderedPageBreak/>
        <w:t>Table I</w:t>
      </w:r>
      <w:r>
        <w:rPr>
          <w:rFonts w:ascii="Times New Roman" w:hAnsi="Times New Roman"/>
          <w:b/>
          <w:sz w:val="16"/>
          <w:szCs w:val="16"/>
          <w:lang w:eastAsia="zh-HK"/>
        </w:rPr>
        <w:t>V</w:t>
      </w:r>
      <w:r>
        <w:rPr>
          <w:rFonts w:ascii="Times New Roman" w:eastAsiaTheme="minorEastAsia" w:hAnsi="Times New Roman" w:hint="eastAsia"/>
          <w:b/>
          <w:sz w:val="16"/>
          <w:szCs w:val="16"/>
          <w:lang w:eastAsia="zh-HK"/>
        </w:rPr>
        <w:t xml:space="preserve">. </w:t>
      </w:r>
      <w:r>
        <w:rPr>
          <w:rFonts w:ascii="Times New Roman" w:hAnsi="Times New Roman"/>
          <w:b/>
          <w:sz w:val="16"/>
          <w:szCs w:val="16"/>
          <w:lang w:eastAsia="zh-HK"/>
        </w:rPr>
        <w:t>Univariate analysis of insurers before and after the new regulation</w:t>
      </w:r>
    </w:p>
    <w:p w14:paraId="6954DDDE" w14:textId="77777777" w:rsidR="00C650ED" w:rsidRPr="00A32F46" w:rsidRDefault="00C650ED" w:rsidP="00C650ED">
      <w:pPr>
        <w:spacing w:after="0" w:line="200" w:lineRule="exact"/>
        <w:jc w:val="center"/>
        <w:rPr>
          <w:rFonts w:ascii="Times New Roman" w:eastAsiaTheme="minorEastAsia" w:hAnsi="Times New Roman"/>
          <w:b/>
          <w:sz w:val="16"/>
          <w:szCs w:val="16"/>
          <w:lang w:eastAsia="zh-HK"/>
        </w:rPr>
      </w:pPr>
    </w:p>
    <w:tbl>
      <w:tblPr>
        <w:tblStyle w:val="TableGrid"/>
        <w:tblW w:w="11199" w:type="dxa"/>
        <w:tblInd w:w="-19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980"/>
        <w:gridCol w:w="980"/>
        <w:gridCol w:w="923"/>
        <w:gridCol w:w="876"/>
        <w:gridCol w:w="984"/>
        <w:gridCol w:w="900"/>
        <w:gridCol w:w="931"/>
        <w:gridCol w:w="951"/>
        <w:gridCol w:w="924"/>
      </w:tblGrid>
      <w:tr w:rsidR="00C650ED" w:rsidRPr="00716971" w14:paraId="2F81DFCC" w14:textId="77777777" w:rsidTr="00C650ED">
        <w:tc>
          <w:tcPr>
            <w:tcW w:w="2750" w:type="dxa"/>
            <w:tcBorders>
              <w:top w:val="single" w:sz="4" w:space="0" w:color="auto"/>
              <w:bottom w:val="nil"/>
              <w:right w:val="nil"/>
            </w:tcBorders>
          </w:tcPr>
          <w:p w14:paraId="77D0835C" w14:textId="77777777" w:rsidR="00C650ED" w:rsidRPr="00716971" w:rsidRDefault="00C650ED" w:rsidP="00C650ED">
            <w:pPr>
              <w:spacing w:after="0" w:line="200" w:lineRule="exact"/>
              <w:jc w:val="center"/>
              <w:rPr>
                <w:rFonts w:ascii="Times New Roman" w:hAnsi="Times New Roman"/>
                <w:sz w:val="16"/>
                <w:szCs w:val="16"/>
              </w:rPr>
            </w:pPr>
          </w:p>
        </w:tc>
        <w:tc>
          <w:tcPr>
            <w:tcW w:w="2883" w:type="dxa"/>
            <w:gridSpan w:val="3"/>
            <w:tcBorders>
              <w:top w:val="single" w:sz="4" w:space="0" w:color="auto"/>
              <w:left w:val="nil"/>
              <w:bottom w:val="single" w:sz="4" w:space="0" w:color="auto"/>
              <w:right w:val="nil"/>
            </w:tcBorders>
          </w:tcPr>
          <w:p w14:paraId="154C47FA" w14:textId="77777777" w:rsidR="00C650ED" w:rsidRPr="00954F01"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Total</w:t>
            </w:r>
          </w:p>
        </w:tc>
        <w:tc>
          <w:tcPr>
            <w:tcW w:w="2760" w:type="dxa"/>
            <w:gridSpan w:val="3"/>
            <w:tcBorders>
              <w:top w:val="single" w:sz="4" w:space="0" w:color="auto"/>
              <w:left w:val="nil"/>
              <w:bottom w:val="single" w:sz="4" w:space="0" w:color="auto"/>
              <w:right w:val="nil"/>
            </w:tcBorders>
          </w:tcPr>
          <w:p w14:paraId="2A71F67F" w14:textId="77777777" w:rsidR="00C650ED" w:rsidRPr="00954F01"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G</w:t>
            </w:r>
            <w:r>
              <w:rPr>
                <w:rFonts w:ascii="Times New Roman" w:eastAsiaTheme="minorEastAsia" w:hAnsi="Times New Roman"/>
                <w:sz w:val="16"/>
                <w:szCs w:val="16"/>
                <w:lang w:eastAsia="zh-TW"/>
              </w:rPr>
              <w:t>-SIIs</w:t>
            </w:r>
          </w:p>
        </w:tc>
        <w:tc>
          <w:tcPr>
            <w:tcW w:w="2806" w:type="dxa"/>
            <w:gridSpan w:val="3"/>
            <w:tcBorders>
              <w:top w:val="single" w:sz="4" w:space="0" w:color="auto"/>
              <w:left w:val="nil"/>
              <w:bottom w:val="single" w:sz="4" w:space="0" w:color="auto"/>
            </w:tcBorders>
          </w:tcPr>
          <w:p w14:paraId="710A3436" w14:textId="77777777" w:rsidR="00C650ED" w:rsidRPr="00954F01"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Non G-SIIs</w:t>
            </w:r>
          </w:p>
        </w:tc>
      </w:tr>
      <w:tr w:rsidR="00C650ED" w:rsidRPr="00716971" w14:paraId="6DCC680C" w14:textId="77777777" w:rsidTr="00C650ED">
        <w:tc>
          <w:tcPr>
            <w:tcW w:w="2750" w:type="dxa"/>
            <w:tcBorders>
              <w:top w:val="nil"/>
              <w:bottom w:val="single" w:sz="4" w:space="0" w:color="auto"/>
              <w:right w:val="nil"/>
            </w:tcBorders>
          </w:tcPr>
          <w:p w14:paraId="24736968" w14:textId="77777777" w:rsidR="00C650ED" w:rsidRPr="00716971" w:rsidRDefault="00C650ED" w:rsidP="00C650ED">
            <w:pPr>
              <w:spacing w:after="0" w:line="200" w:lineRule="exact"/>
              <w:jc w:val="center"/>
              <w:rPr>
                <w:rFonts w:ascii="Times New Roman" w:hAnsi="Times New Roman"/>
                <w:sz w:val="16"/>
                <w:szCs w:val="16"/>
              </w:rPr>
            </w:pPr>
          </w:p>
        </w:tc>
        <w:tc>
          <w:tcPr>
            <w:tcW w:w="980" w:type="dxa"/>
            <w:tcBorders>
              <w:top w:val="single" w:sz="4" w:space="0" w:color="auto"/>
              <w:left w:val="nil"/>
              <w:bottom w:val="single" w:sz="4" w:space="0" w:color="auto"/>
              <w:right w:val="nil"/>
            </w:tcBorders>
          </w:tcPr>
          <w:p w14:paraId="1662351B"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G-SIIs</w:t>
            </w:r>
          </w:p>
          <w:p w14:paraId="7197BE49" w14:textId="77777777" w:rsidR="0081465C" w:rsidRDefault="0081465C" w:rsidP="00C650ED">
            <w:pPr>
              <w:spacing w:after="0" w:line="200" w:lineRule="exact"/>
              <w:jc w:val="center"/>
              <w:rPr>
                <w:rFonts w:ascii="Times New Roman" w:eastAsiaTheme="minorEastAsia" w:hAnsi="Times New Roman"/>
                <w:sz w:val="16"/>
                <w:szCs w:val="16"/>
                <w:lang w:eastAsia="zh-TW"/>
              </w:rPr>
            </w:pPr>
          </w:p>
          <w:p w14:paraId="7A9F7B84" w14:textId="23E928E0" w:rsidR="0081465C" w:rsidRPr="00954F01" w:rsidRDefault="0081465C"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(1)</w:t>
            </w:r>
          </w:p>
        </w:tc>
        <w:tc>
          <w:tcPr>
            <w:tcW w:w="980" w:type="dxa"/>
            <w:tcBorders>
              <w:top w:val="single" w:sz="4" w:space="0" w:color="auto"/>
              <w:left w:val="nil"/>
              <w:bottom w:val="single" w:sz="4" w:space="0" w:color="auto"/>
              <w:right w:val="nil"/>
            </w:tcBorders>
          </w:tcPr>
          <w:p w14:paraId="2E1CE319"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Non G-SIIs</w:t>
            </w:r>
          </w:p>
          <w:p w14:paraId="45DC735E" w14:textId="77777777" w:rsidR="0081465C" w:rsidRDefault="0081465C" w:rsidP="00C650ED">
            <w:pPr>
              <w:spacing w:after="0" w:line="200" w:lineRule="exact"/>
              <w:jc w:val="center"/>
              <w:rPr>
                <w:rFonts w:ascii="Times New Roman" w:eastAsiaTheme="minorEastAsia" w:hAnsi="Times New Roman"/>
                <w:sz w:val="16"/>
                <w:szCs w:val="16"/>
                <w:lang w:eastAsia="zh-TW"/>
              </w:rPr>
            </w:pPr>
          </w:p>
          <w:p w14:paraId="535274C2" w14:textId="1B8680AE" w:rsidR="0081465C" w:rsidRPr="00954F01" w:rsidRDefault="0081465C"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(2)</w:t>
            </w:r>
          </w:p>
        </w:tc>
        <w:tc>
          <w:tcPr>
            <w:tcW w:w="923" w:type="dxa"/>
            <w:tcBorders>
              <w:top w:val="single" w:sz="4" w:space="0" w:color="auto"/>
              <w:left w:val="nil"/>
              <w:bottom w:val="single" w:sz="4" w:space="0" w:color="auto"/>
              <w:right w:val="nil"/>
            </w:tcBorders>
          </w:tcPr>
          <w:p w14:paraId="349EBE42"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D</w:t>
            </w:r>
            <w:r>
              <w:rPr>
                <w:rFonts w:ascii="Times New Roman" w:eastAsiaTheme="minorEastAsia" w:hAnsi="Times New Roman"/>
                <w:sz w:val="16"/>
                <w:szCs w:val="16"/>
                <w:lang w:eastAsia="zh-TW"/>
              </w:rPr>
              <w:t>ifference</w:t>
            </w:r>
          </w:p>
          <w:p w14:paraId="21FF9C10" w14:textId="77777777" w:rsidR="0081465C" w:rsidRDefault="0081465C" w:rsidP="00C650ED">
            <w:pPr>
              <w:spacing w:after="0" w:line="200" w:lineRule="exact"/>
              <w:jc w:val="center"/>
              <w:rPr>
                <w:rFonts w:ascii="Times New Roman" w:eastAsiaTheme="minorEastAsia" w:hAnsi="Times New Roman"/>
                <w:sz w:val="16"/>
                <w:szCs w:val="16"/>
                <w:lang w:eastAsia="zh-TW"/>
              </w:rPr>
            </w:pPr>
          </w:p>
          <w:p w14:paraId="1D560F6B" w14:textId="60581A4D" w:rsidR="0081465C" w:rsidRPr="006E6D8C" w:rsidRDefault="0081465C"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(3)</w:t>
            </w:r>
          </w:p>
        </w:tc>
        <w:tc>
          <w:tcPr>
            <w:tcW w:w="876" w:type="dxa"/>
            <w:tcBorders>
              <w:top w:val="single" w:sz="4" w:space="0" w:color="auto"/>
              <w:left w:val="nil"/>
              <w:bottom w:val="single" w:sz="4" w:space="0" w:color="auto"/>
              <w:right w:val="nil"/>
            </w:tcBorders>
          </w:tcPr>
          <w:p w14:paraId="6A6514EE"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Before regulation</w:t>
            </w:r>
          </w:p>
          <w:p w14:paraId="099A46A7" w14:textId="2C57B125" w:rsidR="0081465C" w:rsidRPr="00716971" w:rsidRDefault="0081465C" w:rsidP="00C650ED">
            <w:pPr>
              <w:spacing w:after="0" w:line="200" w:lineRule="exact"/>
              <w:jc w:val="center"/>
              <w:rPr>
                <w:rFonts w:ascii="Times New Roman" w:hAnsi="Times New Roman"/>
                <w:sz w:val="16"/>
                <w:szCs w:val="16"/>
              </w:rPr>
            </w:pPr>
            <w:r>
              <w:rPr>
                <w:rFonts w:ascii="Times New Roman" w:eastAsiaTheme="minorEastAsia" w:hAnsi="Times New Roman"/>
                <w:sz w:val="16"/>
                <w:szCs w:val="16"/>
                <w:lang w:eastAsia="zh-TW"/>
              </w:rPr>
              <w:t>(4)</w:t>
            </w:r>
          </w:p>
        </w:tc>
        <w:tc>
          <w:tcPr>
            <w:tcW w:w="984" w:type="dxa"/>
            <w:tcBorders>
              <w:top w:val="single" w:sz="4" w:space="0" w:color="auto"/>
              <w:left w:val="nil"/>
              <w:bottom w:val="single" w:sz="4" w:space="0" w:color="auto"/>
              <w:right w:val="nil"/>
            </w:tcBorders>
          </w:tcPr>
          <w:p w14:paraId="4BBBA047"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After regulation</w:t>
            </w:r>
          </w:p>
          <w:p w14:paraId="7E9532C8" w14:textId="4604016A" w:rsidR="0081465C" w:rsidRPr="00716971" w:rsidRDefault="0081465C" w:rsidP="00C650ED">
            <w:pPr>
              <w:spacing w:after="0" w:line="200" w:lineRule="exact"/>
              <w:jc w:val="center"/>
              <w:rPr>
                <w:rFonts w:ascii="Times New Roman" w:hAnsi="Times New Roman"/>
                <w:sz w:val="16"/>
                <w:szCs w:val="16"/>
              </w:rPr>
            </w:pPr>
            <w:r>
              <w:rPr>
                <w:rFonts w:ascii="Times New Roman" w:eastAsiaTheme="minorEastAsia" w:hAnsi="Times New Roman"/>
                <w:sz w:val="16"/>
                <w:szCs w:val="16"/>
                <w:lang w:eastAsia="zh-TW"/>
              </w:rPr>
              <w:t>(5)</w:t>
            </w:r>
          </w:p>
        </w:tc>
        <w:tc>
          <w:tcPr>
            <w:tcW w:w="900" w:type="dxa"/>
            <w:tcBorders>
              <w:top w:val="single" w:sz="4" w:space="0" w:color="auto"/>
              <w:left w:val="nil"/>
              <w:bottom w:val="single" w:sz="4" w:space="0" w:color="auto"/>
              <w:right w:val="nil"/>
            </w:tcBorders>
          </w:tcPr>
          <w:p w14:paraId="79072E6E"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D</w:t>
            </w:r>
            <w:r>
              <w:rPr>
                <w:rFonts w:ascii="Times New Roman" w:eastAsiaTheme="minorEastAsia" w:hAnsi="Times New Roman"/>
                <w:sz w:val="16"/>
                <w:szCs w:val="16"/>
                <w:lang w:eastAsia="zh-TW"/>
              </w:rPr>
              <w:t>ifference</w:t>
            </w:r>
          </w:p>
          <w:p w14:paraId="4883072A" w14:textId="77777777" w:rsidR="0081465C" w:rsidRDefault="0081465C" w:rsidP="00C650ED">
            <w:pPr>
              <w:spacing w:after="0" w:line="200" w:lineRule="exact"/>
              <w:jc w:val="center"/>
              <w:rPr>
                <w:rFonts w:ascii="Times New Roman" w:eastAsiaTheme="minorEastAsia" w:hAnsi="Times New Roman"/>
                <w:sz w:val="16"/>
                <w:szCs w:val="16"/>
                <w:lang w:eastAsia="zh-TW"/>
              </w:rPr>
            </w:pPr>
          </w:p>
          <w:p w14:paraId="3CCA12C0" w14:textId="2C69BB17" w:rsidR="0081465C" w:rsidRPr="006E6D8C" w:rsidRDefault="0081465C"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(6)</w:t>
            </w:r>
          </w:p>
        </w:tc>
        <w:tc>
          <w:tcPr>
            <w:tcW w:w="931" w:type="dxa"/>
            <w:tcBorders>
              <w:top w:val="single" w:sz="4" w:space="0" w:color="auto"/>
              <w:left w:val="nil"/>
              <w:bottom w:val="single" w:sz="4" w:space="0" w:color="auto"/>
              <w:right w:val="nil"/>
            </w:tcBorders>
          </w:tcPr>
          <w:p w14:paraId="7A124F55"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Before regulation</w:t>
            </w:r>
          </w:p>
          <w:p w14:paraId="2F3E1F66" w14:textId="0B2C5E1D" w:rsidR="0081465C" w:rsidRPr="00716971" w:rsidRDefault="0081465C" w:rsidP="00C650ED">
            <w:pPr>
              <w:spacing w:after="0" w:line="200" w:lineRule="exact"/>
              <w:jc w:val="center"/>
              <w:rPr>
                <w:rFonts w:ascii="Times New Roman" w:hAnsi="Times New Roman"/>
                <w:sz w:val="16"/>
                <w:szCs w:val="16"/>
              </w:rPr>
            </w:pPr>
            <w:r>
              <w:rPr>
                <w:rFonts w:ascii="Times New Roman" w:eastAsiaTheme="minorEastAsia" w:hAnsi="Times New Roman"/>
                <w:sz w:val="16"/>
                <w:szCs w:val="16"/>
                <w:lang w:eastAsia="zh-TW"/>
              </w:rPr>
              <w:t>(7)</w:t>
            </w:r>
          </w:p>
        </w:tc>
        <w:tc>
          <w:tcPr>
            <w:tcW w:w="951" w:type="dxa"/>
            <w:tcBorders>
              <w:top w:val="single" w:sz="4" w:space="0" w:color="auto"/>
              <w:left w:val="nil"/>
              <w:bottom w:val="single" w:sz="4" w:space="0" w:color="auto"/>
              <w:right w:val="nil"/>
            </w:tcBorders>
          </w:tcPr>
          <w:p w14:paraId="63C41819"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After regulation</w:t>
            </w:r>
          </w:p>
          <w:p w14:paraId="7D47691D" w14:textId="7BB313D6" w:rsidR="0081465C" w:rsidRPr="00716971" w:rsidRDefault="0081465C" w:rsidP="00C650ED">
            <w:pPr>
              <w:spacing w:after="0" w:line="200" w:lineRule="exact"/>
              <w:jc w:val="center"/>
              <w:rPr>
                <w:rFonts w:ascii="Times New Roman" w:hAnsi="Times New Roman"/>
                <w:sz w:val="16"/>
                <w:szCs w:val="16"/>
              </w:rPr>
            </w:pPr>
            <w:r>
              <w:rPr>
                <w:rFonts w:ascii="Times New Roman" w:eastAsiaTheme="minorEastAsia" w:hAnsi="Times New Roman"/>
                <w:sz w:val="16"/>
                <w:szCs w:val="16"/>
                <w:lang w:eastAsia="zh-TW"/>
              </w:rPr>
              <w:t>(8)</w:t>
            </w:r>
          </w:p>
        </w:tc>
        <w:tc>
          <w:tcPr>
            <w:tcW w:w="924" w:type="dxa"/>
            <w:tcBorders>
              <w:top w:val="single" w:sz="4" w:space="0" w:color="auto"/>
              <w:left w:val="nil"/>
              <w:bottom w:val="single" w:sz="4" w:space="0" w:color="auto"/>
            </w:tcBorders>
          </w:tcPr>
          <w:p w14:paraId="64FF83A3" w14:textId="77777777" w:rsidR="0081465C" w:rsidRDefault="00C650ED" w:rsidP="0081465C">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D</w:t>
            </w:r>
            <w:r>
              <w:rPr>
                <w:rFonts w:ascii="Times New Roman" w:eastAsiaTheme="minorEastAsia" w:hAnsi="Times New Roman"/>
                <w:sz w:val="16"/>
                <w:szCs w:val="16"/>
                <w:lang w:eastAsia="zh-TW"/>
              </w:rPr>
              <w:t>ifference</w:t>
            </w:r>
          </w:p>
          <w:p w14:paraId="30FEF1D0" w14:textId="77777777" w:rsidR="0081465C" w:rsidRDefault="0081465C" w:rsidP="0081465C">
            <w:pPr>
              <w:spacing w:after="0" w:line="200" w:lineRule="exact"/>
              <w:jc w:val="center"/>
              <w:rPr>
                <w:rFonts w:ascii="Times New Roman" w:eastAsiaTheme="minorEastAsia" w:hAnsi="Times New Roman"/>
                <w:sz w:val="16"/>
                <w:szCs w:val="16"/>
                <w:lang w:eastAsia="zh-TW"/>
              </w:rPr>
            </w:pPr>
          </w:p>
          <w:p w14:paraId="37986E4E" w14:textId="5D130368" w:rsidR="0081465C" w:rsidRPr="006E6D8C" w:rsidRDefault="0081465C" w:rsidP="0081465C">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(9)</w:t>
            </w:r>
          </w:p>
        </w:tc>
      </w:tr>
      <w:tr w:rsidR="00C650ED" w:rsidRPr="00716971" w14:paraId="3223BC58" w14:textId="77777777" w:rsidTr="00C650ED">
        <w:tc>
          <w:tcPr>
            <w:tcW w:w="2750" w:type="dxa"/>
            <w:tcBorders>
              <w:top w:val="single" w:sz="4" w:space="0" w:color="auto"/>
              <w:bottom w:val="nil"/>
              <w:right w:val="nil"/>
            </w:tcBorders>
          </w:tcPr>
          <w:p w14:paraId="55C079A9" w14:textId="77777777" w:rsidR="00C650ED" w:rsidRPr="006E6D8C" w:rsidRDefault="00C650ED" w:rsidP="00C650ED">
            <w:pPr>
              <w:spacing w:after="0" w:line="200" w:lineRule="exact"/>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M</w:t>
            </w:r>
            <w:r>
              <w:rPr>
                <w:rFonts w:ascii="Times New Roman" w:eastAsiaTheme="minorEastAsia" w:hAnsi="Times New Roman"/>
                <w:sz w:val="16"/>
                <w:szCs w:val="16"/>
                <w:lang w:eastAsia="zh-TW"/>
              </w:rPr>
              <w:t>ES (%)</w:t>
            </w:r>
          </w:p>
        </w:tc>
        <w:tc>
          <w:tcPr>
            <w:tcW w:w="980" w:type="dxa"/>
            <w:tcBorders>
              <w:top w:val="single" w:sz="4" w:space="0" w:color="auto"/>
              <w:left w:val="nil"/>
              <w:bottom w:val="nil"/>
              <w:right w:val="nil"/>
            </w:tcBorders>
          </w:tcPr>
          <w:p w14:paraId="54083869" w14:textId="77777777" w:rsidR="00C650ED" w:rsidRPr="006E6D8C"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3.45</w:t>
            </w:r>
          </w:p>
        </w:tc>
        <w:tc>
          <w:tcPr>
            <w:tcW w:w="980" w:type="dxa"/>
            <w:tcBorders>
              <w:top w:val="single" w:sz="4" w:space="0" w:color="auto"/>
              <w:left w:val="nil"/>
              <w:bottom w:val="nil"/>
              <w:right w:val="nil"/>
            </w:tcBorders>
          </w:tcPr>
          <w:p w14:paraId="5A690330" w14:textId="77777777" w:rsidR="00C650ED" w:rsidRPr="006E6D8C"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2.07</w:t>
            </w:r>
          </w:p>
        </w:tc>
        <w:tc>
          <w:tcPr>
            <w:tcW w:w="923" w:type="dxa"/>
            <w:tcBorders>
              <w:top w:val="single" w:sz="4" w:space="0" w:color="auto"/>
              <w:left w:val="nil"/>
              <w:bottom w:val="nil"/>
              <w:right w:val="nil"/>
            </w:tcBorders>
          </w:tcPr>
          <w:p w14:paraId="09AC29A0"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-1.3</w:t>
            </w:r>
            <w:r>
              <w:rPr>
                <w:rFonts w:ascii="Times New Roman" w:eastAsiaTheme="minorEastAsia" w:hAnsi="Times New Roman"/>
                <w:sz w:val="16"/>
                <w:szCs w:val="16"/>
                <w:lang w:eastAsia="zh-TW"/>
              </w:rPr>
              <w:t>8</w:t>
            </w:r>
            <w:r>
              <w:rPr>
                <w:rFonts w:ascii="Times New Roman" w:eastAsiaTheme="minorEastAsia" w:hAnsi="Times New Roman" w:hint="eastAsia"/>
                <w:sz w:val="16"/>
                <w:szCs w:val="16"/>
                <w:lang w:eastAsia="zh-TW"/>
              </w:rPr>
              <w:t>***</w:t>
            </w:r>
          </w:p>
          <w:p w14:paraId="2CC582CB" w14:textId="77777777" w:rsidR="00C650ED" w:rsidRPr="006E6D8C"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(-7.39)</w:t>
            </w:r>
          </w:p>
        </w:tc>
        <w:tc>
          <w:tcPr>
            <w:tcW w:w="876" w:type="dxa"/>
            <w:tcBorders>
              <w:top w:val="single" w:sz="4" w:space="0" w:color="auto"/>
              <w:left w:val="nil"/>
              <w:bottom w:val="nil"/>
              <w:right w:val="nil"/>
            </w:tcBorders>
          </w:tcPr>
          <w:p w14:paraId="30376AE8" w14:textId="77777777" w:rsidR="00C650ED" w:rsidRPr="0043159F"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4.47</w:t>
            </w:r>
          </w:p>
        </w:tc>
        <w:tc>
          <w:tcPr>
            <w:tcW w:w="984" w:type="dxa"/>
            <w:tcBorders>
              <w:top w:val="single" w:sz="4" w:space="0" w:color="auto"/>
              <w:left w:val="nil"/>
              <w:bottom w:val="nil"/>
              <w:right w:val="nil"/>
            </w:tcBorders>
          </w:tcPr>
          <w:p w14:paraId="590D12DB" w14:textId="77777777" w:rsidR="00C650ED" w:rsidRPr="0043159F"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2.18</w:t>
            </w:r>
          </w:p>
        </w:tc>
        <w:tc>
          <w:tcPr>
            <w:tcW w:w="900" w:type="dxa"/>
            <w:tcBorders>
              <w:top w:val="single" w:sz="4" w:space="0" w:color="auto"/>
              <w:left w:val="nil"/>
              <w:bottom w:val="nil"/>
              <w:right w:val="nil"/>
            </w:tcBorders>
          </w:tcPr>
          <w:p w14:paraId="65994DD3"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-2.29</w:t>
            </w:r>
            <w:r>
              <w:rPr>
                <w:rFonts w:ascii="Times New Roman" w:eastAsiaTheme="minorEastAsia" w:hAnsi="Times New Roman"/>
                <w:sz w:val="16"/>
                <w:szCs w:val="16"/>
                <w:lang w:eastAsia="zh-TW"/>
              </w:rPr>
              <w:t>***</w:t>
            </w:r>
          </w:p>
          <w:p w14:paraId="454B7191" w14:textId="77777777" w:rsidR="00C650ED" w:rsidRPr="0043159F"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(-7.20)</w:t>
            </w:r>
          </w:p>
        </w:tc>
        <w:tc>
          <w:tcPr>
            <w:tcW w:w="931" w:type="dxa"/>
            <w:tcBorders>
              <w:top w:val="single" w:sz="4" w:space="0" w:color="auto"/>
              <w:left w:val="nil"/>
              <w:bottom w:val="nil"/>
              <w:right w:val="nil"/>
            </w:tcBorders>
          </w:tcPr>
          <w:p w14:paraId="7A50A050" w14:textId="29F228BC" w:rsidR="00C650ED" w:rsidRPr="007154E1"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2</w:t>
            </w:r>
            <w:r w:rsidR="004A7A48">
              <w:rPr>
                <w:rFonts w:ascii="Times New Roman" w:eastAsiaTheme="minorEastAsia" w:hAnsi="Times New Roman"/>
                <w:sz w:val="16"/>
                <w:szCs w:val="16"/>
                <w:lang w:eastAsia="zh-TW"/>
              </w:rPr>
              <w:t>.66</w:t>
            </w:r>
          </w:p>
        </w:tc>
        <w:tc>
          <w:tcPr>
            <w:tcW w:w="951" w:type="dxa"/>
            <w:tcBorders>
              <w:top w:val="single" w:sz="4" w:space="0" w:color="auto"/>
              <w:left w:val="nil"/>
              <w:bottom w:val="nil"/>
              <w:right w:val="nil"/>
            </w:tcBorders>
          </w:tcPr>
          <w:p w14:paraId="022318B3" w14:textId="77777777" w:rsidR="00C650ED" w:rsidRPr="007154E1"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1.42</w:t>
            </w:r>
          </w:p>
        </w:tc>
        <w:tc>
          <w:tcPr>
            <w:tcW w:w="924" w:type="dxa"/>
            <w:tcBorders>
              <w:top w:val="single" w:sz="4" w:space="0" w:color="auto"/>
              <w:left w:val="nil"/>
              <w:bottom w:val="nil"/>
            </w:tcBorders>
          </w:tcPr>
          <w:p w14:paraId="1777336B"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-1.25</w:t>
            </w:r>
            <w:r>
              <w:rPr>
                <w:rFonts w:ascii="Times New Roman" w:eastAsiaTheme="minorEastAsia" w:hAnsi="Times New Roman"/>
                <w:sz w:val="16"/>
                <w:szCs w:val="16"/>
                <w:lang w:eastAsia="zh-TW"/>
              </w:rPr>
              <w:t>***</w:t>
            </w:r>
          </w:p>
          <w:p w14:paraId="52FC3FAD" w14:textId="77777777" w:rsidR="00C650ED" w:rsidRPr="007154E1"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(-24.68)</w:t>
            </w:r>
          </w:p>
        </w:tc>
      </w:tr>
      <w:tr w:rsidR="00C650ED" w:rsidRPr="00716971" w14:paraId="5ECE6C33" w14:textId="77777777" w:rsidTr="00C650ED">
        <w:tc>
          <w:tcPr>
            <w:tcW w:w="2750" w:type="dxa"/>
            <w:tcBorders>
              <w:top w:val="nil"/>
              <w:bottom w:val="nil"/>
              <w:right w:val="nil"/>
            </w:tcBorders>
          </w:tcPr>
          <w:p w14:paraId="1FFD5669" w14:textId="77777777" w:rsidR="00C650ED" w:rsidRPr="006E6D8C" w:rsidRDefault="00C650ED" w:rsidP="00C650ED">
            <w:pPr>
              <w:spacing w:after="0" w:line="200" w:lineRule="exact"/>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SRISK (in billions)</w:t>
            </w:r>
          </w:p>
        </w:tc>
        <w:tc>
          <w:tcPr>
            <w:tcW w:w="980" w:type="dxa"/>
            <w:tcBorders>
              <w:top w:val="nil"/>
              <w:left w:val="nil"/>
              <w:bottom w:val="nil"/>
              <w:right w:val="nil"/>
            </w:tcBorders>
          </w:tcPr>
          <w:p w14:paraId="54E8B6D6"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25.61</w:t>
            </w:r>
          </w:p>
        </w:tc>
        <w:tc>
          <w:tcPr>
            <w:tcW w:w="980" w:type="dxa"/>
            <w:tcBorders>
              <w:top w:val="nil"/>
              <w:left w:val="nil"/>
              <w:bottom w:val="nil"/>
              <w:right w:val="nil"/>
            </w:tcBorders>
          </w:tcPr>
          <w:p w14:paraId="7EBB0E86"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1.95</w:t>
            </w:r>
          </w:p>
        </w:tc>
        <w:tc>
          <w:tcPr>
            <w:tcW w:w="923" w:type="dxa"/>
            <w:tcBorders>
              <w:top w:val="nil"/>
              <w:left w:val="nil"/>
              <w:bottom w:val="nil"/>
              <w:right w:val="nil"/>
            </w:tcBorders>
          </w:tcPr>
          <w:p w14:paraId="69292243"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w:t>
            </w:r>
            <w:r>
              <w:rPr>
                <w:rFonts w:ascii="Times New Roman" w:hAnsi="Times New Roman"/>
                <w:sz w:val="16"/>
                <w:szCs w:val="16"/>
                <w:lang w:eastAsia="zh-HK"/>
              </w:rPr>
              <w:t>23.66</w:t>
            </w:r>
            <w:r>
              <w:rPr>
                <w:rFonts w:ascii="Times New Roman" w:hAnsi="Times New Roman" w:hint="eastAsia"/>
                <w:sz w:val="16"/>
                <w:szCs w:val="16"/>
                <w:lang w:eastAsia="zh-HK"/>
              </w:rPr>
              <w:t>***</w:t>
            </w:r>
          </w:p>
          <w:p w14:paraId="6A1460A5"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(-22.39)</w:t>
            </w:r>
          </w:p>
        </w:tc>
        <w:tc>
          <w:tcPr>
            <w:tcW w:w="876" w:type="dxa"/>
            <w:tcBorders>
              <w:top w:val="nil"/>
              <w:left w:val="nil"/>
              <w:bottom w:val="nil"/>
              <w:right w:val="nil"/>
            </w:tcBorders>
          </w:tcPr>
          <w:p w14:paraId="2ACC80E5"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30.04</w:t>
            </w:r>
          </w:p>
        </w:tc>
        <w:tc>
          <w:tcPr>
            <w:tcW w:w="984" w:type="dxa"/>
            <w:tcBorders>
              <w:top w:val="nil"/>
              <w:left w:val="nil"/>
              <w:bottom w:val="nil"/>
              <w:right w:val="nil"/>
            </w:tcBorders>
          </w:tcPr>
          <w:p w14:paraId="02799AB3"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20.07</w:t>
            </w:r>
          </w:p>
        </w:tc>
        <w:tc>
          <w:tcPr>
            <w:tcW w:w="900" w:type="dxa"/>
            <w:tcBorders>
              <w:top w:val="nil"/>
              <w:left w:val="nil"/>
              <w:bottom w:val="nil"/>
              <w:right w:val="nil"/>
            </w:tcBorders>
          </w:tcPr>
          <w:p w14:paraId="0E307FC6"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-9.98</w:t>
            </w:r>
            <w:r>
              <w:rPr>
                <w:rFonts w:ascii="Times New Roman" w:hAnsi="Times New Roman"/>
                <w:sz w:val="16"/>
                <w:szCs w:val="16"/>
                <w:lang w:eastAsia="zh-HK"/>
              </w:rPr>
              <w:t>***</w:t>
            </w:r>
          </w:p>
          <w:p w14:paraId="75A291FD"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(-5.01)</w:t>
            </w:r>
          </w:p>
        </w:tc>
        <w:tc>
          <w:tcPr>
            <w:tcW w:w="931" w:type="dxa"/>
            <w:tcBorders>
              <w:top w:val="nil"/>
              <w:left w:val="nil"/>
              <w:bottom w:val="nil"/>
              <w:right w:val="nil"/>
            </w:tcBorders>
          </w:tcPr>
          <w:p w14:paraId="78C79D8E"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w:t>
            </w:r>
            <w:r>
              <w:rPr>
                <w:rFonts w:ascii="Times New Roman" w:hAnsi="Times New Roman"/>
                <w:sz w:val="16"/>
                <w:szCs w:val="16"/>
                <w:lang w:eastAsia="zh-HK"/>
              </w:rPr>
              <w:t>.06</w:t>
            </w:r>
          </w:p>
        </w:tc>
        <w:tc>
          <w:tcPr>
            <w:tcW w:w="951" w:type="dxa"/>
            <w:tcBorders>
              <w:top w:val="nil"/>
              <w:left w:val="nil"/>
              <w:bottom w:val="nil"/>
              <w:right w:val="nil"/>
            </w:tcBorders>
          </w:tcPr>
          <w:p w14:paraId="1CF43A2A"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1.83</w:t>
            </w:r>
          </w:p>
        </w:tc>
        <w:tc>
          <w:tcPr>
            <w:tcW w:w="924" w:type="dxa"/>
            <w:tcBorders>
              <w:top w:val="nil"/>
              <w:left w:val="nil"/>
              <w:bottom w:val="nil"/>
            </w:tcBorders>
          </w:tcPr>
          <w:p w14:paraId="60680E2F"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-0.23</w:t>
            </w:r>
          </w:p>
          <w:p w14:paraId="12F5125E"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(-1.49)</w:t>
            </w:r>
          </w:p>
        </w:tc>
      </w:tr>
      <w:tr w:rsidR="00C650ED" w:rsidRPr="00716971" w14:paraId="6609A010" w14:textId="77777777" w:rsidTr="00C650ED">
        <w:tc>
          <w:tcPr>
            <w:tcW w:w="2750" w:type="dxa"/>
            <w:tcBorders>
              <w:top w:val="nil"/>
              <w:bottom w:val="nil"/>
              <w:right w:val="nil"/>
            </w:tcBorders>
          </w:tcPr>
          <w:p w14:paraId="3019C861" w14:textId="77777777" w:rsidR="00C650ED" w:rsidRPr="00716971" w:rsidRDefault="00C650ED" w:rsidP="00C650ED">
            <w:pPr>
              <w:spacing w:after="0" w:line="200" w:lineRule="exact"/>
              <w:rPr>
                <w:rFonts w:ascii="Times New Roman" w:hAnsi="Times New Roman"/>
                <w:sz w:val="16"/>
                <w:szCs w:val="16"/>
                <w:lang w:eastAsia="zh-HK"/>
              </w:rPr>
            </w:pPr>
            <w:r w:rsidRPr="006E6D8C">
              <w:rPr>
                <w:rFonts w:ascii="Times New Roman" w:hAnsi="Times New Roman" w:hint="eastAsia"/>
                <w:sz w:val="16"/>
                <w:szCs w:val="16"/>
                <w:lang w:eastAsia="zh-HK"/>
              </w:rPr>
              <w:t>Δ</w:t>
            </w:r>
            <w:proofErr w:type="spellStart"/>
            <w:r w:rsidRPr="006E6D8C">
              <w:rPr>
                <w:rFonts w:ascii="Times New Roman" w:hAnsi="Times New Roman"/>
                <w:sz w:val="16"/>
                <w:szCs w:val="16"/>
                <w:lang w:eastAsia="zh-HK"/>
              </w:rPr>
              <w:t>CoVAR</w:t>
            </w:r>
            <w:proofErr w:type="spellEnd"/>
            <w:r>
              <w:rPr>
                <w:rFonts w:ascii="Times New Roman" w:hAnsi="Times New Roman"/>
                <w:sz w:val="16"/>
                <w:szCs w:val="16"/>
                <w:lang w:eastAsia="zh-HK"/>
              </w:rPr>
              <w:t xml:space="preserve"> (%)</w:t>
            </w:r>
          </w:p>
        </w:tc>
        <w:tc>
          <w:tcPr>
            <w:tcW w:w="980" w:type="dxa"/>
            <w:tcBorders>
              <w:top w:val="nil"/>
              <w:left w:val="nil"/>
              <w:bottom w:val="nil"/>
              <w:right w:val="nil"/>
            </w:tcBorders>
          </w:tcPr>
          <w:p w14:paraId="682901A2"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w:t>
            </w:r>
            <w:r>
              <w:rPr>
                <w:rFonts w:ascii="Times New Roman" w:hAnsi="Times New Roman"/>
                <w:sz w:val="16"/>
                <w:szCs w:val="16"/>
                <w:lang w:eastAsia="zh-HK"/>
              </w:rPr>
              <w:t>1.25%</w:t>
            </w:r>
          </w:p>
        </w:tc>
        <w:tc>
          <w:tcPr>
            <w:tcW w:w="980" w:type="dxa"/>
            <w:tcBorders>
              <w:top w:val="nil"/>
              <w:left w:val="nil"/>
              <w:bottom w:val="nil"/>
              <w:right w:val="nil"/>
            </w:tcBorders>
          </w:tcPr>
          <w:p w14:paraId="0830A03C"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96</w:t>
            </w:r>
          </w:p>
        </w:tc>
        <w:tc>
          <w:tcPr>
            <w:tcW w:w="923" w:type="dxa"/>
            <w:tcBorders>
              <w:top w:val="nil"/>
              <w:left w:val="nil"/>
              <w:bottom w:val="nil"/>
              <w:right w:val="nil"/>
            </w:tcBorders>
          </w:tcPr>
          <w:p w14:paraId="4C7FE55A"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29</w:t>
            </w:r>
            <w:r>
              <w:rPr>
                <w:rFonts w:ascii="Times New Roman" w:hAnsi="Times New Roman" w:hint="eastAsia"/>
                <w:sz w:val="16"/>
                <w:szCs w:val="16"/>
                <w:lang w:eastAsia="zh-HK"/>
              </w:rPr>
              <w:t>***</w:t>
            </w:r>
          </w:p>
          <w:p w14:paraId="618E9971"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(5.53)</w:t>
            </w:r>
          </w:p>
        </w:tc>
        <w:tc>
          <w:tcPr>
            <w:tcW w:w="876" w:type="dxa"/>
            <w:tcBorders>
              <w:top w:val="nil"/>
              <w:left w:val="nil"/>
              <w:bottom w:val="nil"/>
              <w:right w:val="nil"/>
            </w:tcBorders>
          </w:tcPr>
          <w:p w14:paraId="36A16589"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-1.63</w:t>
            </w:r>
          </w:p>
        </w:tc>
        <w:tc>
          <w:tcPr>
            <w:tcW w:w="984" w:type="dxa"/>
            <w:tcBorders>
              <w:top w:val="nil"/>
              <w:left w:val="nil"/>
              <w:bottom w:val="nil"/>
              <w:right w:val="nil"/>
            </w:tcBorders>
          </w:tcPr>
          <w:p w14:paraId="68C0F84E"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-0.76</w:t>
            </w:r>
          </w:p>
        </w:tc>
        <w:tc>
          <w:tcPr>
            <w:tcW w:w="900" w:type="dxa"/>
            <w:tcBorders>
              <w:top w:val="nil"/>
              <w:left w:val="nil"/>
              <w:bottom w:val="nil"/>
              <w:right w:val="nil"/>
            </w:tcBorders>
          </w:tcPr>
          <w:p w14:paraId="4E02C9BD"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0.87</w:t>
            </w:r>
            <w:r>
              <w:rPr>
                <w:rFonts w:ascii="Times New Roman" w:hAnsi="Times New Roman"/>
                <w:sz w:val="16"/>
                <w:szCs w:val="16"/>
                <w:lang w:eastAsia="zh-HK"/>
              </w:rPr>
              <w:t>***</w:t>
            </w:r>
          </w:p>
          <w:p w14:paraId="5C0225BC"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(10.43)</w:t>
            </w:r>
          </w:p>
        </w:tc>
        <w:tc>
          <w:tcPr>
            <w:tcW w:w="931" w:type="dxa"/>
            <w:tcBorders>
              <w:top w:val="nil"/>
              <w:left w:val="nil"/>
              <w:bottom w:val="nil"/>
              <w:right w:val="nil"/>
            </w:tcBorders>
          </w:tcPr>
          <w:p w14:paraId="596E817A" w14:textId="7399512E"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w:t>
            </w:r>
            <w:r w:rsidR="004A7A48">
              <w:rPr>
                <w:rFonts w:ascii="Times New Roman" w:hAnsi="Times New Roman"/>
                <w:sz w:val="16"/>
                <w:szCs w:val="16"/>
                <w:lang w:eastAsia="zh-HK"/>
              </w:rPr>
              <w:t>1.28</w:t>
            </w:r>
          </w:p>
        </w:tc>
        <w:tc>
          <w:tcPr>
            <w:tcW w:w="951" w:type="dxa"/>
            <w:tcBorders>
              <w:top w:val="nil"/>
              <w:left w:val="nil"/>
              <w:bottom w:val="nil"/>
              <w:right w:val="nil"/>
            </w:tcBorders>
          </w:tcPr>
          <w:p w14:paraId="7F69F989"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-0.60</w:t>
            </w:r>
          </w:p>
        </w:tc>
        <w:tc>
          <w:tcPr>
            <w:tcW w:w="924" w:type="dxa"/>
            <w:tcBorders>
              <w:top w:val="nil"/>
              <w:left w:val="nil"/>
              <w:bottom w:val="nil"/>
            </w:tcBorders>
          </w:tcPr>
          <w:p w14:paraId="1F970345"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0.68***</w:t>
            </w:r>
          </w:p>
          <w:p w14:paraId="7F652356"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(32.44)</w:t>
            </w:r>
          </w:p>
        </w:tc>
      </w:tr>
      <w:tr w:rsidR="00C650ED" w:rsidRPr="00716971" w14:paraId="561F1A2A" w14:textId="77777777" w:rsidTr="00C650ED">
        <w:tc>
          <w:tcPr>
            <w:tcW w:w="2750" w:type="dxa"/>
            <w:tcBorders>
              <w:top w:val="nil"/>
              <w:bottom w:val="nil"/>
              <w:right w:val="nil"/>
            </w:tcBorders>
          </w:tcPr>
          <w:p w14:paraId="1A4E6F8A" w14:textId="77777777" w:rsidR="00C650ED" w:rsidRPr="006E6D8C" w:rsidRDefault="00C650ED" w:rsidP="00C650ED">
            <w:pPr>
              <w:spacing w:after="0" w:line="200" w:lineRule="exact"/>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L</w:t>
            </w:r>
            <w:r>
              <w:rPr>
                <w:rFonts w:ascii="Times New Roman" w:eastAsiaTheme="minorEastAsia" w:hAnsi="Times New Roman"/>
                <w:sz w:val="16"/>
                <w:szCs w:val="16"/>
                <w:lang w:eastAsia="zh-TW"/>
              </w:rPr>
              <w:t>og (Assets in billions)</w:t>
            </w:r>
          </w:p>
        </w:tc>
        <w:tc>
          <w:tcPr>
            <w:tcW w:w="980" w:type="dxa"/>
            <w:tcBorders>
              <w:top w:val="nil"/>
              <w:left w:val="nil"/>
              <w:bottom w:val="nil"/>
              <w:right w:val="nil"/>
            </w:tcBorders>
          </w:tcPr>
          <w:p w14:paraId="4E19BFEC"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6.39</w:t>
            </w:r>
          </w:p>
        </w:tc>
        <w:tc>
          <w:tcPr>
            <w:tcW w:w="980" w:type="dxa"/>
            <w:tcBorders>
              <w:top w:val="nil"/>
              <w:left w:val="nil"/>
              <w:bottom w:val="nil"/>
              <w:right w:val="nil"/>
            </w:tcBorders>
          </w:tcPr>
          <w:p w14:paraId="4CE4A2D1"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3.10</w:t>
            </w:r>
          </w:p>
        </w:tc>
        <w:tc>
          <w:tcPr>
            <w:tcW w:w="923" w:type="dxa"/>
            <w:tcBorders>
              <w:top w:val="nil"/>
              <w:left w:val="nil"/>
              <w:bottom w:val="nil"/>
              <w:right w:val="nil"/>
            </w:tcBorders>
          </w:tcPr>
          <w:p w14:paraId="7A46FCD8"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-3.29</w:t>
            </w:r>
            <w:r>
              <w:rPr>
                <w:rFonts w:ascii="Times New Roman" w:hAnsi="Times New Roman" w:hint="eastAsia"/>
                <w:sz w:val="16"/>
                <w:szCs w:val="16"/>
                <w:lang w:eastAsia="zh-HK"/>
              </w:rPr>
              <w:t>***</w:t>
            </w:r>
          </w:p>
          <w:p w14:paraId="105EF145"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(-87.58)</w:t>
            </w:r>
          </w:p>
        </w:tc>
        <w:tc>
          <w:tcPr>
            <w:tcW w:w="876" w:type="dxa"/>
            <w:tcBorders>
              <w:top w:val="nil"/>
              <w:left w:val="nil"/>
              <w:bottom w:val="nil"/>
              <w:right w:val="nil"/>
            </w:tcBorders>
          </w:tcPr>
          <w:p w14:paraId="255A8EDA"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6</w:t>
            </w:r>
            <w:r>
              <w:rPr>
                <w:rFonts w:ascii="Times New Roman" w:hAnsi="Times New Roman"/>
                <w:sz w:val="16"/>
                <w:szCs w:val="16"/>
                <w:lang w:eastAsia="zh-HK"/>
              </w:rPr>
              <w:t>.30</w:t>
            </w:r>
          </w:p>
        </w:tc>
        <w:tc>
          <w:tcPr>
            <w:tcW w:w="984" w:type="dxa"/>
            <w:tcBorders>
              <w:top w:val="nil"/>
              <w:left w:val="nil"/>
              <w:bottom w:val="nil"/>
              <w:right w:val="nil"/>
            </w:tcBorders>
          </w:tcPr>
          <w:p w14:paraId="1E27102C"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6.50</w:t>
            </w:r>
          </w:p>
        </w:tc>
        <w:tc>
          <w:tcPr>
            <w:tcW w:w="900" w:type="dxa"/>
            <w:tcBorders>
              <w:top w:val="nil"/>
              <w:left w:val="nil"/>
              <w:bottom w:val="nil"/>
              <w:right w:val="nil"/>
            </w:tcBorders>
          </w:tcPr>
          <w:p w14:paraId="5BA42CB1"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0.20***</w:t>
            </w:r>
          </w:p>
          <w:p w14:paraId="445371CB"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(3.82)</w:t>
            </w:r>
          </w:p>
        </w:tc>
        <w:tc>
          <w:tcPr>
            <w:tcW w:w="931" w:type="dxa"/>
            <w:tcBorders>
              <w:top w:val="nil"/>
              <w:left w:val="nil"/>
              <w:bottom w:val="nil"/>
              <w:right w:val="nil"/>
            </w:tcBorders>
          </w:tcPr>
          <w:p w14:paraId="50415D60"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2.97</w:t>
            </w:r>
          </w:p>
        </w:tc>
        <w:tc>
          <w:tcPr>
            <w:tcW w:w="951" w:type="dxa"/>
            <w:tcBorders>
              <w:top w:val="nil"/>
              <w:left w:val="nil"/>
              <w:bottom w:val="nil"/>
              <w:right w:val="nil"/>
            </w:tcBorders>
          </w:tcPr>
          <w:p w14:paraId="76A8038A"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3.24</w:t>
            </w:r>
          </w:p>
        </w:tc>
        <w:tc>
          <w:tcPr>
            <w:tcW w:w="924" w:type="dxa"/>
            <w:tcBorders>
              <w:top w:val="nil"/>
              <w:left w:val="nil"/>
              <w:bottom w:val="nil"/>
            </w:tcBorders>
          </w:tcPr>
          <w:p w14:paraId="269CB2E8"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0.27</w:t>
            </w:r>
            <w:r>
              <w:rPr>
                <w:rFonts w:ascii="Times New Roman" w:hAnsi="Times New Roman"/>
                <w:sz w:val="16"/>
                <w:szCs w:val="16"/>
                <w:lang w:eastAsia="zh-HK"/>
              </w:rPr>
              <w:t>***</w:t>
            </w:r>
          </w:p>
          <w:p w14:paraId="648825CD"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(5.44)</w:t>
            </w:r>
          </w:p>
        </w:tc>
      </w:tr>
      <w:tr w:rsidR="00C650ED" w:rsidRPr="00716971" w14:paraId="714A7A0B" w14:textId="77777777" w:rsidTr="00C650ED">
        <w:tc>
          <w:tcPr>
            <w:tcW w:w="2750" w:type="dxa"/>
            <w:tcBorders>
              <w:top w:val="nil"/>
              <w:bottom w:val="nil"/>
              <w:right w:val="nil"/>
            </w:tcBorders>
          </w:tcPr>
          <w:p w14:paraId="023B9E4B" w14:textId="77777777" w:rsidR="00C650ED" w:rsidRPr="00716971" w:rsidRDefault="00C650ED" w:rsidP="00C650ED">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Leverage</w:t>
            </w:r>
          </w:p>
        </w:tc>
        <w:tc>
          <w:tcPr>
            <w:tcW w:w="980" w:type="dxa"/>
            <w:tcBorders>
              <w:top w:val="nil"/>
              <w:left w:val="nil"/>
              <w:bottom w:val="nil"/>
              <w:right w:val="nil"/>
            </w:tcBorders>
          </w:tcPr>
          <w:p w14:paraId="44345F57" w14:textId="212BE88A" w:rsidR="00C650ED" w:rsidRPr="00716971" w:rsidRDefault="00C650ED" w:rsidP="002B7202">
            <w:pPr>
              <w:spacing w:after="0" w:line="200" w:lineRule="exact"/>
              <w:jc w:val="center"/>
              <w:rPr>
                <w:rFonts w:ascii="Times New Roman" w:hAnsi="Times New Roman"/>
                <w:sz w:val="16"/>
                <w:szCs w:val="16"/>
                <w:lang w:eastAsia="zh-HK"/>
              </w:rPr>
            </w:pPr>
            <w:r>
              <w:rPr>
                <w:rFonts w:ascii="Times New Roman" w:eastAsiaTheme="minorEastAsia" w:hAnsi="Times New Roman"/>
                <w:sz w:val="16"/>
                <w:szCs w:val="16"/>
                <w:lang w:eastAsia="zh-TW"/>
              </w:rPr>
              <w:t>22.</w:t>
            </w:r>
            <w:r w:rsidR="002B7202">
              <w:rPr>
                <w:rFonts w:ascii="Times New Roman" w:eastAsiaTheme="minorEastAsia" w:hAnsi="Times New Roman"/>
                <w:sz w:val="16"/>
                <w:szCs w:val="16"/>
                <w:lang w:eastAsia="zh-TW"/>
              </w:rPr>
              <w:t>26</w:t>
            </w:r>
          </w:p>
        </w:tc>
        <w:tc>
          <w:tcPr>
            <w:tcW w:w="980" w:type="dxa"/>
            <w:tcBorders>
              <w:top w:val="nil"/>
              <w:left w:val="nil"/>
              <w:bottom w:val="nil"/>
              <w:right w:val="nil"/>
            </w:tcBorders>
          </w:tcPr>
          <w:p w14:paraId="283A5A03" w14:textId="28ACCC3D" w:rsidR="00C650ED" w:rsidRPr="00716971" w:rsidRDefault="00C650ED" w:rsidP="002B7202">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9.3</w:t>
            </w:r>
            <w:r w:rsidR="002B7202">
              <w:rPr>
                <w:rFonts w:ascii="Times New Roman" w:hAnsi="Times New Roman"/>
                <w:sz w:val="16"/>
                <w:szCs w:val="16"/>
                <w:lang w:eastAsia="zh-HK"/>
              </w:rPr>
              <w:t>2</w:t>
            </w:r>
          </w:p>
        </w:tc>
        <w:tc>
          <w:tcPr>
            <w:tcW w:w="923" w:type="dxa"/>
            <w:tcBorders>
              <w:top w:val="nil"/>
              <w:left w:val="nil"/>
              <w:bottom w:val="nil"/>
              <w:right w:val="nil"/>
            </w:tcBorders>
          </w:tcPr>
          <w:p w14:paraId="619BE18E" w14:textId="06B2D8CC"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-12.</w:t>
            </w:r>
            <w:r w:rsidR="002B7202">
              <w:rPr>
                <w:rFonts w:ascii="Times New Roman" w:hAnsi="Times New Roman"/>
                <w:sz w:val="16"/>
                <w:szCs w:val="16"/>
                <w:lang w:eastAsia="zh-HK"/>
              </w:rPr>
              <w:t>94</w:t>
            </w:r>
            <w:r>
              <w:rPr>
                <w:rFonts w:ascii="Times New Roman" w:hAnsi="Times New Roman"/>
                <w:sz w:val="16"/>
                <w:szCs w:val="16"/>
                <w:lang w:eastAsia="zh-HK"/>
              </w:rPr>
              <w:t>***</w:t>
            </w:r>
          </w:p>
          <w:p w14:paraId="3428F4D4" w14:textId="1B12915E" w:rsidR="00C650ED" w:rsidRPr="00716971" w:rsidRDefault="00C650ED" w:rsidP="002B7202">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(-7.3</w:t>
            </w:r>
            <w:r w:rsidR="002B7202">
              <w:rPr>
                <w:rFonts w:ascii="Times New Roman" w:hAnsi="Times New Roman"/>
                <w:sz w:val="16"/>
                <w:szCs w:val="16"/>
                <w:lang w:eastAsia="zh-HK"/>
              </w:rPr>
              <w:t>3</w:t>
            </w:r>
            <w:r>
              <w:rPr>
                <w:rFonts w:ascii="Times New Roman" w:hAnsi="Times New Roman"/>
                <w:sz w:val="16"/>
                <w:szCs w:val="16"/>
                <w:lang w:eastAsia="zh-HK"/>
              </w:rPr>
              <w:t>)</w:t>
            </w:r>
          </w:p>
        </w:tc>
        <w:tc>
          <w:tcPr>
            <w:tcW w:w="876" w:type="dxa"/>
            <w:tcBorders>
              <w:top w:val="nil"/>
              <w:left w:val="nil"/>
              <w:bottom w:val="nil"/>
              <w:right w:val="nil"/>
            </w:tcBorders>
          </w:tcPr>
          <w:p w14:paraId="2245469A" w14:textId="3DAFA9B7" w:rsidR="00C650ED" w:rsidRPr="00716971" w:rsidRDefault="00141DED" w:rsidP="00141D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27.13</w:t>
            </w:r>
          </w:p>
        </w:tc>
        <w:tc>
          <w:tcPr>
            <w:tcW w:w="984" w:type="dxa"/>
            <w:tcBorders>
              <w:top w:val="nil"/>
              <w:left w:val="nil"/>
              <w:bottom w:val="nil"/>
              <w:right w:val="nil"/>
            </w:tcBorders>
          </w:tcPr>
          <w:p w14:paraId="56B256C3" w14:textId="188DBBBF" w:rsidR="00C650ED" w:rsidRPr="00716971" w:rsidRDefault="00C650ED" w:rsidP="00141D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w:t>
            </w:r>
            <w:r w:rsidR="00141DED">
              <w:rPr>
                <w:rFonts w:ascii="Times New Roman" w:hAnsi="Times New Roman"/>
                <w:sz w:val="16"/>
                <w:szCs w:val="16"/>
                <w:lang w:eastAsia="zh-HK"/>
              </w:rPr>
              <w:t>5</w:t>
            </w:r>
            <w:r>
              <w:rPr>
                <w:rFonts w:ascii="Times New Roman" w:hAnsi="Times New Roman" w:hint="eastAsia"/>
                <w:sz w:val="16"/>
                <w:szCs w:val="16"/>
                <w:lang w:eastAsia="zh-HK"/>
              </w:rPr>
              <w:t>.</w:t>
            </w:r>
            <w:r w:rsidR="00141DED">
              <w:rPr>
                <w:rFonts w:ascii="Times New Roman" w:hAnsi="Times New Roman"/>
                <w:sz w:val="16"/>
                <w:szCs w:val="16"/>
                <w:lang w:eastAsia="zh-HK"/>
              </w:rPr>
              <w:t>81</w:t>
            </w:r>
          </w:p>
        </w:tc>
        <w:tc>
          <w:tcPr>
            <w:tcW w:w="900" w:type="dxa"/>
            <w:tcBorders>
              <w:top w:val="nil"/>
              <w:left w:val="nil"/>
              <w:bottom w:val="nil"/>
              <w:right w:val="nil"/>
            </w:tcBorders>
          </w:tcPr>
          <w:p w14:paraId="12B7685C" w14:textId="0DC4E1FC"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w:t>
            </w:r>
            <w:r w:rsidR="00141DED">
              <w:rPr>
                <w:rFonts w:ascii="Times New Roman" w:hAnsi="Times New Roman"/>
                <w:sz w:val="16"/>
                <w:szCs w:val="16"/>
                <w:lang w:eastAsia="zh-HK"/>
              </w:rPr>
              <w:t>11</w:t>
            </w:r>
            <w:r>
              <w:rPr>
                <w:rFonts w:ascii="Times New Roman" w:hAnsi="Times New Roman" w:hint="eastAsia"/>
                <w:sz w:val="16"/>
                <w:szCs w:val="16"/>
                <w:lang w:eastAsia="zh-HK"/>
              </w:rPr>
              <w:t>.</w:t>
            </w:r>
            <w:r w:rsidR="00141DED">
              <w:rPr>
                <w:rFonts w:ascii="Times New Roman" w:hAnsi="Times New Roman"/>
                <w:sz w:val="16"/>
                <w:szCs w:val="16"/>
                <w:lang w:eastAsia="zh-HK"/>
              </w:rPr>
              <w:t>31</w:t>
            </w:r>
            <w:r>
              <w:rPr>
                <w:rFonts w:ascii="Times New Roman" w:hAnsi="Times New Roman" w:hint="eastAsia"/>
                <w:sz w:val="16"/>
                <w:szCs w:val="16"/>
                <w:lang w:eastAsia="zh-HK"/>
              </w:rPr>
              <w:t>***</w:t>
            </w:r>
          </w:p>
          <w:p w14:paraId="212B4C05" w14:textId="6D072623" w:rsidR="00C650ED" w:rsidRPr="00873809" w:rsidRDefault="00C650ED" w:rsidP="00141DED">
            <w:pPr>
              <w:spacing w:after="0" w:line="200" w:lineRule="exact"/>
              <w:jc w:val="center"/>
              <w:rPr>
                <w:rFonts w:ascii="Times New Roman" w:eastAsiaTheme="minorEastAsia" w:hAnsi="Times New Roman"/>
                <w:sz w:val="16"/>
                <w:szCs w:val="16"/>
                <w:lang w:eastAsia="zh-TW"/>
              </w:rPr>
            </w:pPr>
            <w:r>
              <w:rPr>
                <w:rFonts w:ascii="Times New Roman" w:hAnsi="Times New Roman"/>
                <w:sz w:val="16"/>
                <w:szCs w:val="16"/>
                <w:lang w:eastAsia="zh-HK"/>
              </w:rPr>
              <w:t>(-3.</w:t>
            </w:r>
            <w:r w:rsidR="00141DED">
              <w:rPr>
                <w:rFonts w:ascii="Times New Roman" w:hAnsi="Times New Roman"/>
                <w:sz w:val="16"/>
                <w:szCs w:val="16"/>
                <w:lang w:eastAsia="zh-HK"/>
              </w:rPr>
              <w:t>70</w:t>
            </w:r>
            <w:r>
              <w:rPr>
                <w:rFonts w:ascii="Times New Roman" w:hAnsi="Times New Roman"/>
                <w:sz w:val="16"/>
                <w:szCs w:val="16"/>
                <w:lang w:eastAsia="zh-HK"/>
              </w:rPr>
              <w:t>)</w:t>
            </w:r>
          </w:p>
        </w:tc>
        <w:tc>
          <w:tcPr>
            <w:tcW w:w="931" w:type="dxa"/>
            <w:tcBorders>
              <w:top w:val="nil"/>
              <w:left w:val="nil"/>
              <w:bottom w:val="nil"/>
              <w:right w:val="nil"/>
            </w:tcBorders>
          </w:tcPr>
          <w:p w14:paraId="151010F2" w14:textId="0CC98C6E" w:rsidR="00C650ED" w:rsidRPr="006D610F" w:rsidRDefault="00C650ED" w:rsidP="00141DED">
            <w:pPr>
              <w:spacing w:after="0" w:line="200" w:lineRule="exact"/>
              <w:jc w:val="center"/>
              <w:rPr>
                <w:rFonts w:ascii="Times New Roman" w:eastAsiaTheme="minorEastAsia" w:hAnsi="Times New Roman"/>
                <w:sz w:val="16"/>
                <w:szCs w:val="16"/>
                <w:lang w:eastAsia="zh-TW"/>
              </w:rPr>
            </w:pPr>
            <w:r>
              <w:rPr>
                <w:rFonts w:ascii="Times New Roman" w:hAnsi="Times New Roman" w:hint="eastAsia"/>
                <w:sz w:val="16"/>
                <w:szCs w:val="16"/>
                <w:lang w:eastAsia="zh-HK"/>
              </w:rPr>
              <w:t>9</w:t>
            </w:r>
            <w:r>
              <w:rPr>
                <w:rFonts w:ascii="Times New Roman" w:hAnsi="Times New Roman"/>
                <w:sz w:val="16"/>
                <w:szCs w:val="16"/>
                <w:lang w:eastAsia="zh-HK"/>
              </w:rPr>
              <w:t>.</w:t>
            </w:r>
            <w:r w:rsidR="00141DED">
              <w:rPr>
                <w:rFonts w:ascii="Times New Roman" w:hAnsi="Times New Roman"/>
                <w:sz w:val="16"/>
                <w:szCs w:val="16"/>
                <w:lang w:eastAsia="zh-HK"/>
              </w:rPr>
              <w:t>38</w:t>
            </w:r>
          </w:p>
        </w:tc>
        <w:tc>
          <w:tcPr>
            <w:tcW w:w="951" w:type="dxa"/>
            <w:tcBorders>
              <w:top w:val="nil"/>
              <w:left w:val="nil"/>
              <w:bottom w:val="nil"/>
              <w:right w:val="nil"/>
            </w:tcBorders>
          </w:tcPr>
          <w:p w14:paraId="2466BF13" w14:textId="5651BA8F" w:rsidR="00C650ED" w:rsidRPr="00716971" w:rsidRDefault="00C650ED" w:rsidP="00141D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9.</w:t>
            </w:r>
            <w:r w:rsidR="00141DED">
              <w:rPr>
                <w:rFonts w:ascii="Times New Roman" w:hAnsi="Times New Roman"/>
                <w:sz w:val="16"/>
                <w:szCs w:val="16"/>
                <w:lang w:eastAsia="zh-HK"/>
              </w:rPr>
              <w:t>25</w:t>
            </w:r>
          </w:p>
        </w:tc>
        <w:tc>
          <w:tcPr>
            <w:tcW w:w="924" w:type="dxa"/>
            <w:tcBorders>
              <w:top w:val="nil"/>
              <w:left w:val="nil"/>
              <w:bottom w:val="nil"/>
            </w:tcBorders>
          </w:tcPr>
          <w:p w14:paraId="14BD075C" w14:textId="5F0FC754" w:rsidR="00C650ED" w:rsidRDefault="00141D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w:t>
            </w:r>
            <w:r w:rsidR="00C650ED">
              <w:rPr>
                <w:rFonts w:ascii="Times New Roman" w:eastAsiaTheme="minorEastAsia" w:hAnsi="Times New Roman" w:hint="eastAsia"/>
                <w:sz w:val="16"/>
                <w:szCs w:val="16"/>
                <w:lang w:eastAsia="zh-TW"/>
              </w:rPr>
              <w:t>0.</w:t>
            </w:r>
            <w:r>
              <w:rPr>
                <w:rFonts w:ascii="Times New Roman" w:eastAsiaTheme="minorEastAsia" w:hAnsi="Times New Roman"/>
                <w:sz w:val="16"/>
                <w:szCs w:val="16"/>
                <w:lang w:eastAsia="zh-TW"/>
              </w:rPr>
              <w:t>13</w:t>
            </w:r>
          </w:p>
          <w:p w14:paraId="32D00487" w14:textId="5B916EFB" w:rsidR="00C650ED" w:rsidRPr="00716971" w:rsidRDefault="00C650ED" w:rsidP="00141DED">
            <w:pPr>
              <w:spacing w:after="0" w:line="200" w:lineRule="exact"/>
              <w:jc w:val="center"/>
              <w:rPr>
                <w:rFonts w:ascii="Times New Roman" w:hAnsi="Times New Roman"/>
                <w:sz w:val="16"/>
                <w:szCs w:val="16"/>
                <w:lang w:eastAsia="zh-HK"/>
              </w:rPr>
            </w:pPr>
            <w:r>
              <w:rPr>
                <w:rFonts w:ascii="Times New Roman" w:eastAsiaTheme="minorEastAsia" w:hAnsi="Times New Roman"/>
                <w:sz w:val="16"/>
                <w:szCs w:val="16"/>
                <w:lang w:eastAsia="zh-TW"/>
              </w:rPr>
              <w:t>(</w:t>
            </w:r>
            <w:r w:rsidR="00141DED">
              <w:rPr>
                <w:rFonts w:ascii="Times New Roman" w:eastAsiaTheme="minorEastAsia" w:hAnsi="Times New Roman"/>
                <w:sz w:val="16"/>
                <w:szCs w:val="16"/>
                <w:lang w:eastAsia="zh-TW"/>
              </w:rPr>
              <w:t>-</w:t>
            </w:r>
            <w:r>
              <w:rPr>
                <w:rFonts w:ascii="Times New Roman" w:eastAsiaTheme="minorEastAsia" w:hAnsi="Times New Roman"/>
                <w:sz w:val="16"/>
                <w:szCs w:val="16"/>
                <w:lang w:eastAsia="zh-TW"/>
              </w:rPr>
              <w:t>0.</w:t>
            </w:r>
            <w:r w:rsidR="00141DED">
              <w:rPr>
                <w:rFonts w:ascii="Times New Roman" w:eastAsiaTheme="minorEastAsia" w:hAnsi="Times New Roman"/>
                <w:sz w:val="16"/>
                <w:szCs w:val="16"/>
                <w:lang w:eastAsia="zh-TW"/>
              </w:rPr>
              <w:t>41</w:t>
            </w:r>
            <w:r>
              <w:rPr>
                <w:rFonts w:ascii="Times New Roman" w:eastAsiaTheme="minorEastAsia" w:hAnsi="Times New Roman"/>
                <w:sz w:val="16"/>
                <w:szCs w:val="16"/>
                <w:lang w:eastAsia="zh-TW"/>
              </w:rPr>
              <w:t>)</w:t>
            </w:r>
          </w:p>
        </w:tc>
      </w:tr>
      <w:tr w:rsidR="00C650ED" w:rsidRPr="00716971" w14:paraId="34C56B81" w14:textId="77777777" w:rsidTr="00C650ED">
        <w:tc>
          <w:tcPr>
            <w:tcW w:w="2750" w:type="dxa"/>
            <w:tcBorders>
              <w:top w:val="nil"/>
              <w:bottom w:val="nil"/>
              <w:right w:val="nil"/>
            </w:tcBorders>
          </w:tcPr>
          <w:p w14:paraId="5138F161" w14:textId="77777777" w:rsidR="00C650ED" w:rsidRPr="00716971" w:rsidRDefault="00C650ED" w:rsidP="00C650ED">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Non-insurance activities</w:t>
            </w:r>
          </w:p>
        </w:tc>
        <w:tc>
          <w:tcPr>
            <w:tcW w:w="980" w:type="dxa"/>
            <w:tcBorders>
              <w:top w:val="nil"/>
              <w:left w:val="nil"/>
              <w:bottom w:val="nil"/>
              <w:right w:val="nil"/>
            </w:tcBorders>
          </w:tcPr>
          <w:p w14:paraId="1090F9F9"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eastAsiaTheme="minorEastAsia" w:hAnsi="Times New Roman"/>
                <w:sz w:val="16"/>
                <w:szCs w:val="16"/>
                <w:lang w:eastAsia="zh-TW"/>
              </w:rPr>
              <w:t>0.38</w:t>
            </w:r>
          </w:p>
        </w:tc>
        <w:tc>
          <w:tcPr>
            <w:tcW w:w="980" w:type="dxa"/>
            <w:tcBorders>
              <w:top w:val="nil"/>
              <w:left w:val="nil"/>
              <w:bottom w:val="nil"/>
              <w:right w:val="nil"/>
            </w:tcBorders>
          </w:tcPr>
          <w:p w14:paraId="24D26FDE"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0.2</w:t>
            </w:r>
            <w:r>
              <w:rPr>
                <w:rFonts w:ascii="Times New Roman" w:hAnsi="Times New Roman"/>
                <w:sz w:val="16"/>
                <w:szCs w:val="16"/>
                <w:lang w:eastAsia="zh-HK"/>
              </w:rPr>
              <w:t>9</w:t>
            </w:r>
          </w:p>
        </w:tc>
        <w:tc>
          <w:tcPr>
            <w:tcW w:w="923" w:type="dxa"/>
            <w:tcBorders>
              <w:top w:val="nil"/>
              <w:left w:val="nil"/>
              <w:bottom w:val="nil"/>
              <w:right w:val="nil"/>
            </w:tcBorders>
          </w:tcPr>
          <w:p w14:paraId="381A6A25"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w:t>
            </w:r>
            <w:r>
              <w:rPr>
                <w:rFonts w:ascii="Times New Roman" w:hAnsi="Times New Roman"/>
                <w:sz w:val="16"/>
                <w:szCs w:val="16"/>
                <w:lang w:eastAsia="zh-HK"/>
              </w:rPr>
              <w:t>9</w:t>
            </w:r>
            <w:r>
              <w:rPr>
                <w:rFonts w:ascii="Times New Roman" w:hAnsi="Times New Roman" w:hint="eastAsia"/>
                <w:sz w:val="16"/>
                <w:szCs w:val="16"/>
                <w:lang w:eastAsia="zh-HK"/>
              </w:rPr>
              <w:t>***</w:t>
            </w:r>
          </w:p>
          <w:p w14:paraId="6866E6C1"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(-9.34)</w:t>
            </w:r>
          </w:p>
        </w:tc>
        <w:tc>
          <w:tcPr>
            <w:tcW w:w="876" w:type="dxa"/>
            <w:tcBorders>
              <w:top w:val="nil"/>
              <w:left w:val="nil"/>
              <w:bottom w:val="nil"/>
              <w:right w:val="nil"/>
            </w:tcBorders>
          </w:tcPr>
          <w:p w14:paraId="4EAF67BC"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0.38</w:t>
            </w:r>
          </w:p>
        </w:tc>
        <w:tc>
          <w:tcPr>
            <w:tcW w:w="984" w:type="dxa"/>
            <w:tcBorders>
              <w:top w:val="nil"/>
              <w:left w:val="nil"/>
              <w:bottom w:val="nil"/>
              <w:right w:val="nil"/>
            </w:tcBorders>
          </w:tcPr>
          <w:p w14:paraId="3A2B672C"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0.38</w:t>
            </w:r>
          </w:p>
        </w:tc>
        <w:tc>
          <w:tcPr>
            <w:tcW w:w="900" w:type="dxa"/>
            <w:tcBorders>
              <w:top w:val="nil"/>
              <w:left w:val="nil"/>
              <w:bottom w:val="nil"/>
              <w:right w:val="nil"/>
            </w:tcBorders>
          </w:tcPr>
          <w:p w14:paraId="2E21CE97"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0.002</w:t>
            </w:r>
          </w:p>
          <w:p w14:paraId="61FF34E5" w14:textId="77777777" w:rsidR="00C650ED" w:rsidRPr="006E15BE" w:rsidRDefault="00C650ED" w:rsidP="00C650ED">
            <w:pPr>
              <w:spacing w:after="0" w:line="200" w:lineRule="exact"/>
              <w:jc w:val="center"/>
              <w:rPr>
                <w:rFonts w:ascii="Times New Roman" w:eastAsiaTheme="minorEastAsia" w:hAnsi="Times New Roman"/>
                <w:sz w:val="16"/>
                <w:szCs w:val="16"/>
                <w:lang w:eastAsia="zh-TW"/>
              </w:rPr>
            </w:pPr>
            <w:r>
              <w:rPr>
                <w:rFonts w:ascii="Times New Roman" w:hAnsi="Times New Roman"/>
                <w:sz w:val="16"/>
                <w:szCs w:val="16"/>
                <w:lang w:eastAsia="zh-HK"/>
              </w:rPr>
              <w:t>(0.11)</w:t>
            </w:r>
          </w:p>
        </w:tc>
        <w:tc>
          <w:tcPr>
            <w:tcW w:w="931" w:type="dxa"/>
            <w:tcBorders>
              <w:top w:val="nil"/>
              <w:left w:val="nil"/>
              <w:bottom w:val="nil"/>
              <w:right w:val="nil"/>
            </w:tcBorders>
          </w:tcPr>
          <w:p w14:paraId="169D1E52" w14:textId="77777777" w:rsidR="00C650ED" w:rsidRPr="00724F15" w:rsidRDefault="00C650ED" w:rsidP="00C650ED">
            <w:pPr>
              <w:spacing w:after="0" w:line="200" w:lineRule="exact"/>
              <w:jc w:val="center"/>
              <w:rPr>
                <w:rFonts w:ascii="Times New Roman" w:eastAsiaTheme="minorEastAsia" w:hAnsi="Times New Roman"/>
                <w:sz w:val="16"/>
                <w:szCs w:val="16"/>
                <w:lang w:eastAsia="zh-TW"/>
              </w:rPr>
            </w:pPr>
            <w:r>
              <w:rPr>
                <w:rFonts w:ascii="Times New Roman" w:hAnsi="Times New Roman" w:hint="eastAsia"/>
                <w:sz w:val="16"/>
                <w:szCs w:val="16"/>
                <w:lang w:eastAsia="zh-HK"/>
              </w:rPr>
              <w:t>0.</w:t>
            </w:r>
            <w:r>
              <w:rPr>
                <w:rFonts w:ascii="Times New Roman" w:hAnsi="Times New Roman"/>
                <w:sz w:val="16"/>
                <w:szCs w:val="16"/>
                <w:lang w:eastAsia="zh-HK"/>
              </w:rPr>
              <w:t>31</w:t>
            </w:r>
          </w:p>
        </w:tc>
        <w:tc>
          <w:tcPr>
            <w:tcW w:w="951" w:type="dxa"/>
            <w:tcBorders>
              <w:top w:val="nil"/>
              <w:left w:val="nil"/>
              <w:bottom w:val="nil"/>
              <w:right w:val="nil"/>
            </w:tcBorders>
          </w:tcPr>
          <w:p w14:paraId="24A0DD33"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0.27</w:t>
            </w:r>
          </w:p>
        </w:tc>
        <w:tc>
          <w:tcPr>
            <w:tcW w:w="924" w:type="dxa"/>
            <w:tcBorders>
              <w:top w:val="nil"/>
              <w:left w:val="nil"/>
              <w:bottom w:val="nil"/>
            </w:tcBorders>
          </w:tcPr>
          <w:p w14:paraId="4A52A3DA"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-0.04***</w:t>
            </w:r>
          </w:p>
          <w:p w14:paraId="5F64B01F"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eastAsiaTheme="minorEastAsia" w:hAnsi="Times New Roman"/>
                <w:sz w:val="16"/>
                <w:szCs w:val="16"/>
                <w:lang w:eastAsia="zh-TW"/>
              </w:rPr>
              <w:t>(-4.52)</w:t>
            </w:r>
          </w:p>
        </w:tc>
      </w:tr>
      <w:tr w:rsidR="00C650ED" w:rsidRPr="00716971" w14:paraId="735ADC04" w14:textId="77777777" w:rsidTr="00C650ED">
        <w:tc>
          <w:tcPr>
            <w:tcW w:w="2750" w:type="dxa"/>
            <w:tcBorders>
              <w:top w:val="nil"/>
              <w:bottom w:val="nil"/>
              <w:right w:val="nil"/>
            </w:tcBorders>
          </w:tcPr>
          <w:p w14:paraId="14BA1054" w14:textId="77777777" w:rsidR="00C650ED" w:rsidRPr="00032C71" w:rsidRDefault="00C650ED" w:rsidP="00C650ED">
            <w:pPr>
              <w:spacing w:after="0" w:line="200" w:lineRule="exact"/>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Other incomes</w:t>
            </w:r>
            <w:r>
              <w:rPr>
                <w:rFonts w:ascii="Times New Roman" w:eastAsiaTheme="minorEastAsia" w:hAnsi="Times New Roman"/>
                <w:sz w:val="16"/>
                <w:szCs w:val="16"/>
                <w:lang w:eastAsia="zh-TW"/>
              </w:rPr>
              <w:t xml:space="preserve"> (%)</w:t>
            </w:r>
          </w:p>
        </w:tc>
        <w:tc>
          <w:tcPr>
            <w:tcW w:w="980" w:type="dxa"/>
            <w:tcBorders>
              <w:top w:val="nil"/>
              <w:left w:val="nil"/>
              <w:bottom w:val="nil"/>
              <w:right w:val="nil"/>
            </w:tcBorders>
          </w:tcPr>
          <w:p w14:paraId="41111F89"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41</w:t>
            </w:r>
          </w:p>
        </w:tc>
        <w:tc>
          <w:tcPr>
            <w:tcW w:w="980" w:type="dxa"/>
            <w:tcBorders>
              <w:top w:val="nil"/>
              <w:left w:val="nil"/>
              <w:bottom w:val="nil"/>
              <w:right w:val="nil"/>
            </w:tcBorders>
          </w:tcPr>
          <w:p w14:paraId="48F3AD60"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0.03</w:t>
            </w:r>
          </w:p>
        </w:tc>
        <w:tc>
          <w:tcPr>
            <w:tcW w:w="923" w:type="dxa"/>
            <w:tcBorders>
              <w:top w:val="nil"/>
              <w:left w:val="nil"/>
              <w:bottom w:val="nil"/>
              <w:right w:val="nil"/>
            </w:tcBorders>
          </w:tcPr>
          <w:p w14:paraId="474F1736"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38**</w:t>
            </w:r>
          </w:p>
          <w:p w14:paraId="403A5C91"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(-2.37)</w:t>
            </w:r>
          </w:p>
        </w:tc>
        <w:tc>
          <w:tcPr>
            <w:tcW w:w="876" w:type="dxa"/>
            <w:tcBorders>
              <w:top w:val="nil"/>
              <w:left w:val="nil"/>
              <w:bottom w:val="nil"/>
              <w:right w:val="nil"/>
            </w:tcBorders>
          </w:tcPr>
          <w:p w14:paraId="19FDFA60" w14:textId="77777777" w:rsidR="00C650ED" w:rsidRPr="00A75ED8"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0.44</w:t>
            </w:r>
          </w:p>
        </w:tc>
        <w:tc>
          <w:tcPr>
            <w:tcW w:w="984" w:type="dxa"/>
            <w:tcBorders>
              <w:top w:val="nil"/>
              <w:left w:val="nil"/>
              <w:bottom w:val="nil"/>
              <w:right w:val="nil"/>
            </w:tcBorders>
          </w:tcPr>
          <w:p w14:paraId="3F7AE43B" w14:textId="77777777" w:rsidR="00C650ED" w:rsidRPr="00A75ED8"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0.36</w:t>
            </w:r>
          </w:p>
        </w:tc>
        <w:tc>
          <w:tcPr>
            <w:tcW w:w="900" w:type="dxa"/>
            <w:tcBorders>
              <w:top w:val="nil"/>
              <w:left w:val="nil"/>
              <w:bottom w:val="nil"/>
              <w:right w:val="nil"/>
            </w:tcBorders>
          </w:tcPr>
          <w:p w14:paraId="68927D7A"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-0.08</w:t>
            </w:r>
          </w:p>
          <w:p w14:paraId="56E4AD8D"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(-0.30)</w:t>
            </w:r>
          </w:p>
        </w:tc>
        <w:tc>
          <w:tcPr>
            <w:tcW w:w="931" w:type="dxa"/>
            <w:tcBorders>
              <w:top w:val="nil"/>
              <w:left w:val="nil"/>
              <w:bottom w:val="nil"/>
              <w:right w:val="nil"/>
            </w:tcBorders>
          </w:tcPr>
          <w:p w14:paraId="1DE2DA35" w14:textId="77777777" w:rsidR="00C650ED" w:rsidRPr="00716971" w:rsidRDefault="00C650ED" w:rsidP="00C650ED">
            <w:pPr>
              <w:spacing w:after="0" w:line="200" w:lineRule="exact"/>
              <w:jc w:val="center"/>
              <w:rPr>
                <w:rFonts w:ascii="Times New Roman" w:hAnsi="Times New Roman"/>
                <w:sz w:val="16"/>
                <w:szCs w:val="16"/>
                <w:lang w:eastAsia="zh-HK"/>
              </w:rPr>
            </w:pPr>
            <w:r w:rsidRPr="00A75ED8">
              <w:rPr>
                <w:rFonts w:ascii="Times New Roman" w:eastAsiaTheme="minorEastAsia" w:hAnsi="Times New Roman"/>
                <w:sz w:val="16"/>
                <w:szCs w:val="16"/>
                <w:lang w:eastAsia="zh-TW"/>
              </w:rPr>
              <w:t>0.11</w:t>
            </w:r>
          </w:p>
        </w:tc>
        <w:tc>
          <w:tcPr>
            <w:tcW w:w="951" w:type="dxa"/>
            <w:tcBorders>
              <w:top w:val="nil"/>
              <w:left w:val="nil"/>
              <w:bottom w:val="nil"/>
              <w:right w:val="nil"/>
            </w:tcBorders>
          </w:tcPr>
          <w:p w14:paraId="22D9F0E2"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w:t>
            </w:r>
            <w:r>
              <w:rPr>
                <w:rFonts w:ascii="Times New Roman" w:hAnsi="Times New Roman"/>
                <w:sz w:val="16"/>
                <w:szCs w:val="16"/>
                <w:lang w:eastAsia="zh-HK"/>
              </w:rPr>
              <w:t>0.07</w:t>
            </w:r>
          </w:p>
        </w:tc>
        <w:tc>
          <w:tcPr>
            <w:tcW w:w="924" w:type="dxa"/>
            <w:tcBorders>
              <w:top w:val="nil"/>
              <w:left w:val="nil"/>
              <w:bottom w:val="nil"/>
            </w:tcBorders>
          </w:tcPr>
          <w:p w14:paraId="1DFAC879"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-0.18</w:t>
            </w:r>
          </w:p>
          <w:p w14:paraId="38E9908A"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(-1.40)</w:t>
            </w:r>
          </w:p>
        </w:tc>
      </w:tr>
      <w:tr w:rsidR="00C650ED" w:rsidRPr="00716971" w14:paraId="114EB798" w14:textId="77777777" w:rsidTr="00C650ED">
        <w:tc>
          <w:tcPr>
            <w:tcW w:w="2750" w:type="dxa"/>
            <w:tcBorders>
              <w:top w:val="nil"/>
              <w:bottom w:val="nil"/>
              <w:right w:val="nil"/>
            </w:tcBorders>
          </w:tcPr>
          <w:p w14:paraId="7FB77624" w14:textId="54D2BB99" w:rsidR="00C650ED" w:rsidRPr="00716971" w:rsidRDefault="00C650ED" w:rsidP="00C650ED">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Global activities</w:t>
            </w:r>
          </w:p>
        </w:tc>
        <w:tc>
          <w:tcPr>
            <w:tcW w:w="980" w:type="dxa"/>
            <w:tcBorders>
              <w:top w:val="nil"/>
              <w:left w:val="nil"/>
              <w:bottom w:val="nil"/>
              <w:right w:val="nil"/>
            </w:tcBorders>
          </w:tcPr>
          <w:p w14:paraId="3C3C4A79"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eastAsiaTheme="minorEastAsia" w:hAnsi="Times New Roman" w:hint="eastAsia"/>
                <w:sz w:val="16"/>
                <w:szCs w:val="16"/>
                <w:lang w:eastAsia="zh-TW"/>
              </w:rPr>
              <w:t>0.</w:t>
            </w:r>
            <w:r>
              <w:rPr>
                <w:rFonts w:ascii="Times New Roman" w:eastAsiaTheme="minorEastAsia" w:hAnsi="Times New Roman"/>
                <w:sz w:val="16"/>
                <w:szCs w:val="16"/>
                <w:lang w:eastAsia="zh-TW"/>
              </w:rPr>
              <w:t>44</w:t>
            </w:r>
          </w:p>
        </w:tc>
        <w:tc>
          <w:tcPr>
            <w:tcW w:w="980" w:type="dxa"/>
            <w:tcBorders>
              <w:top w:val="nil"/>
              <w:left w:val="nil"/>
              <w:bottom w:val="nil"/>
              <w:right w:val="nil"/>
            </w:tcBorders>
          </w:tcPr>
          <w:p w14:paraId="7001E67C"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eastAsiaTheme="minorEastAsia" w:hAnsi="Times New Roman" w:hint="eastAsia"/>
                <w:sz w:val="16"/>
                <w:szCs w:val="16"/>
                <w:lang w:eastAsia="zh-TW"/>
              </w:rPr>
              <w:t>0.2</w:t>
            </w:r>
            <w:r>
              <w:rPr>
                <w:rFonts w:ascii="Times New Roman" w:eastAsiaTheme="minorEastAsia" w:hAnsi="Times New Roman"/>
                <w:sz w:val="16"/>
                <w:szCs w:val="16"/>
                <w:lang w:eastAsia="zh-TW"/>
              </w:rPr>
              <w:t>6</w:t>
            </w:r>
          </w:p>
        </w:tc>
        <w:tc>
          <w:tcPr>
            <w:tcW w:w="923" w:type="dxa"/>
            <w:tcBorders>
              <w:top w:val="nil"/>
              <w:left w:val="nil"/>
              <w:bottom w:val="nil"/>
              <w:right w:val="nil"/>
            </w:tcBorders>
          </w:tcPr>
          <w:p w14:paraId="13F41DC8"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-0.</w:t>
            </w:r>
            <w:r>
              <w:rPr>
                <w:rFonts w:ascii="Times New Roman" w:eastAsiaTheme="minorEastAsia" w:hAnsi="Times New Roman"/>
                <w:sz w:val="16"/>
                <w:szCs w:val="16"/>
                <w:lang w:eastAsia="zh-TW"/>
              </w:rPr>
              <w:t>18</w:t>
            </w:r>
            <w:r>
              <w:rPr>
                <w:rFonts w:ascii="Times New Roman" w:eastAsiaTheme="minorEastAsia" w:hAnsi="Times New Roman" w:hint="eastAsia"/>
                <w:sz w:val="16"/>
                <w:szCs w:val="16"/>
                <w:lang w:eastAsia="zh-TW"/>
              </w:rPr>
              <w:t>***</w:t>
            </w:r>
          </w:p>
          <w:p w14:paraId="17274984"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eastAsiaTheme="minorEastAsia" w:hAnsi="Times New Roman"/>
                <w:sz w:val="16"/>
                <w:szCs w:val="16"/>
                <w:lang w:eastAsia="zh-TW"/>
              </w:rPr>
              <w:t>(-14.23)</w:t>
            </w:r>
          </w:p>
        </w:tc>
        <w:tc>
          <w:tcPr>
            <w:tcW w:w="876" w:type="dxa"/>
            <w:tcBorders>
              <w:top w:val="nil"/>
              <w:left w:val="nil"/>
              <w:bottom w:val="nil"/>
              <w:right w:val="nil"/>
            </w:tcBorders>
          </w:tcPr>
          <w:p w14:paraId="593C07D8"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w:t>
            </w:r>
            <w:r>
              <w:rPr>
                <w:rFonts w:ascii="Times New Roman" w:hAnsi="Times New Roman" w:hint="eastAsia"/>
                <w:sz w:val="16"/>
                <w:szCs w:val="16"/>
                <w:lang w:eastAsia="zh-HK"/>
              </w:rPr>
              <w:t>4</w:t>
            </w:r>
            <w:r>
              <w:rPr>
                <w:rFonts w:ascii="Times New Roman" w:hAnsi="Times New Roman"/>
                <w:sz w:val="16"/>
                <w:szCs w:val="16"/>
                <w:lang w:eastAsia="zh-HK"/>
              </w:rPr>
              <w:t>7</w:t>
            </w:r>
          </w:p>
        </w:tc>
        <w:tc>
          <w:tcPr>
            <w:tcW w:w="984" w:type="dxa"/>
            <w:tcBorders>
              <w:top w:val="nil"/>
              <w:left w:val="nil"/>
              <w:bottom w:val="nil"/>
              <w:right w:val="nil"/>
            </w:tcBorders>
          </w:tcPr>
          <w:p w14:paraId="6F05E0D4"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0.40</w:t>
            </w:r>
          </w:p>
        </w:tc>
        <w:tc>
          <w:tcPr>
            <w:tcW w:w="900" w:type="dxa"/>
            <w:tcBorders>
              <w:top w:val="nil"/>
              <w:left w:val="nil"/>
              <w:bottom w:val="nil"/>
              <w:right w:val="nil"/>
            </w:tcBorders>
          </w:tcPr>
          <w:p w14:paraId="4F8F0C6B"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w:t>
            </w:r>
            <w:r>
              <w:rPr>
                <w:rFonts w:ascii="Times New Roman" w:hAnsi="Times New Roman"/>
                <w:sz w:val="16"/>
                <w:szCs w:val="16"/>
                <w:lang w:eastAsia="zh-HK"/>
              </w:rPr>
              <w:t>0.0</w:t>
            </w:r>
            <w:r>
              <w:rPr>
                <w:rFonts w:ascii="Times New Roman" w:hAnsi="Times New Roman" w:hint="eastAsia"/>
                <w:sz w:val="16"/>
                <w:szCs w:val="16"/>
                <w:lang w:eastAsia="zh-HK"/>
              </w:rPr>
              <w:t>66***</w:t>
            </w:r>
          </w:p>
          <w:p w14:paraId="3DDC31D3" w14:textId="77777777" w:rsidR="00C650ED" w:rsidRPr="00A75ED8" w:rsidRDefault="00C650ED" w:rsidP="00C650ED">
            <w:pPr>
              <w:spacing w:after="0" w:line="200" w:lineRule="exact"/>
              <w:jc w:val="center"/>
              <w:rPr>
                <w:rFonts w:ascii="Times New Roman" w:eastAsiaTheme="minorEastAsia" w:hAnsi="Times New Roman"/>
                <w:sz w:val="16"/>
                <w:szCs w:val="16"/>
                <w:lang w:eastAsia="zh-TW"/>
              </w:rPr>
            </w:pPr>
            <w:r>
              <w:rPr>
                <w:rFonts w:ascii="Times New Roman" w:hAnsi="Times New Roman"/>
                <w:sz w:val="16"/>
                <w:szCs w:val="16"/>
                <w:lang w:eastAsia="zh-HK"/>
              </w:rPr>
              <w:t>(-2.96)</w:t>
            </w:r>
          </w:p>
        </w:tc>
        <w:tc>
          <w:tcPr>
            <w:tcW w:w="931" w:type="dxa"/>
            <w:tcBorders>
              <w:top w:val="nil"/>
              <w:left w:val="nil"/>
              <w:bottom w:val="nil"/>
              <w:right w:val="nil"/>
            </w:tcBorders>
          </w:tcPr>
          <w:p w14:paraId="43703408" w14:textId="77777777" w:rsidR="00C650ED" w:rsidRPr="00724F15" w:rsidRDefault="00C650ED" w:rsidP="00C650ED">
            <w:pPr>
              <w:spacing w:after="0" w:line="200" w:lineRule="exact"/>
              <w:jc w:val="center"/>
              <w:rPr>
                <w:rFonts w:ascii="Times New Roman" w:eastAsiaTheme="minorEastAsia" w:hAnsi="Times New Roman"/>
                <w:sz w:val="16"/>
                <w:szCs w:val="16"/>
                <w:lang w:eastAsia="zh-TW"/>
              </w:rPr>
            </w:pPr>
            <w:r>
              <w:rPr>
                <w:rFonts w:ascii="Times New Roman" w:hAnsi="Times New Roman" w:hint="eastAsia"/>
                <w:sz w:val="16"/>
                <w:szCs w:val="16"/>
                <w:lang w:eastAsia="zh-HK"/>
              </w:rPr>
              <w:t>0</w:t>
            </w:r>
            <w:r>
              <w:rPr>
                <w:rFonts w:ascii="Times New Roman" w:hAnsi="Times New Roman"/>
                <w:sz w:val="16"/>
                <w:szCs w:val="16"/>
                <w:lang w:eastAsia="zh-HK"/>
              </w:rPr>
              <w:t>.30</w:t>
            </w:r>
          </w:p>
        </w:tc>
        <w:tc>
          <w:tcPr>
            <w:tcW w:w="951" w:type="dxa"/>
            <w:tcBorders>
              <w:top w:val="nil"/>
              <w:left w:val="nil"/>
              <w:bottom w:val="nil"/>
              <w:right w:val="nil"/>
            </w:tcBorders>
          </w:tcPr>
          <w:p w14:paraId="42890294" w14:textId="77777777" w:rsidR="00C650ED" w:rsidRPr="00724F15" w:rsidRDefault="00C650ED" w:rsidP="00C650ED">
            <w:pPr>
              <w:spacing w:after="0" w:line="200" w:lineRule="exact"/>
              <w:jc w:val="center"/>
              <w:rPr>
                <w:rFonts w:ascii="Times New Roman" w:eastAsiaTheme="minorEastAsia" w:hAnsi="Times New Roman"/>
                <w:sz w:val="16"/>
                <w:szCs w:val="16"/>
                <w:lang w:eastAsia="zh-TW"/>
              </w:rPr>
            </w:pPr>
            <w:r>
              <w:rPr>
                <w:rFonts w:ascii="Times New Roman" w:hAnsi="Times New Roman" w:hint="eastAsia"/>
                <w:sz w:val="16"/>
                <w:szCs w:val="16"/>
                <w:lang w:eastAsia="zh-HK"/>
              </w:rPr>
              <w:t>0.23</w:t>
            </w:r>
          </w:p>
        </w:tc>
        <w:tc>
          <w:tcPr>
            <w:tcW w:w="924" w:type="dxa"/>
            <w:tcBorders>
              <w:top w:val="nil"/>
              <w:left w:val="nil"/>
              <w:bottom w:val="nil"/>
            </w:tcBorders>
          </w:tcPr>
          <w:p w14:paraId="1D34C248"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-0.07***</w:t>
            </w:r>
          </w:p>
          <w:p w14:paraId="0C0E07D2" w14:textId="77777777" w:rsidR="00C650ED" w:rsidRPr="00724F15"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(-7.53)</w:t>
            </w:r>
          </w:p>
        </w:tc>
      </w:tr>
      <w:tr w:rsidR="00C650ED" w:rsidRPr="00716971" w14:paraId="3882C644" w14:textId="77777777" w:rsidTr="00C650ED">
        <w:tc>
          <w:tcPr>
            <w:tcW w:w="2750" w:type="dxa"/>
            <w:tcBorders>
              <w:top w:val="nil"/>
              <w:bottom w:val="nil"/>
              <w:right w:val="nil"/>
            </w:tcBorders>
          </w:tcPr>
          <w:p w14:paraId="13E5ED75" w14:textId="77777777" w:rsidR="00C650ED" w:rsidRPr="00716971" w:rsidRDefault="00C650ED" w:rsidP="00C650ED">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L</w:t>
            </w:r>
            <w:r>
              <w:rPr>
                <w:rFonts w:ascii="Times New Roman" w:hAnsi="Times New Roman"/>
                <w:sz w:val="16"/>
                <w:szCs w:val="16"/>
                <w:lang w:eastAsia="zh-HK"/>
              </w:rPr>
              <w:t>iquidity</w:t>
            </w:r>
          </w:p>
        </w:tc>
        <w:tc>
          <w:tcPr>
            <w:tcW w:w="980" w:type="dxa"/>
            <w:tcBorders>
              <w:top w:val="nil"/>
              <w:left w:val="nil"/>
              <w:bottom w:val="nil"/>
              <w:right w:val="nil"/>
            </w:tcBorders>
          </w:tcPr>
          <w:p w14:paraId="76D34D8F"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eastAsiaTheme="minorEastAsia" w:hAnsi="Times New Roman" w:hint="eastAsia"/>
                <w:sz w:val="16"/>
                <w:szCs w:val="16"/>
                <w:lang w:eastAsia="zh-TW"/>
              </w:rPr>
              <w:t>0</w:t>
            </w:r>
            <w:r>
              <w:rPr>
                <w:rFonts w:ascii="Times New Roman" w:eastAsiaTheme="minorEastAsia" w:hAnsi="Times New Roman"/>
                <w:sz w:val="16"/>
                <w:szCs w:val="16"/>
                <w:lang w:eastAsia="zh-TW"/>
              </w:rPr>
              <w:t>.72</w:t>
            </w:r>
          </w:p>
        </w:tc>
        <w:tc>
          <w:tcPr>
            <w:tcW w:w="980" w:type="dxa"/>
            <w:tcBorders>
              <w:top w:val="nil"/>
              <w:left w:val="nil"/>
              <w:bottom w:val="nil"/>
              <w:right w:val="nil"/>
            </w:tcBorders>
          </w:tcPr>
          <w:p w14:paraId="23535FA9"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eastAsiaTheme="minorEastAsia" w:hAnsi="Times New Roman" w:hint="eastAsia"/>
                <w:sz w:val="16"/>
                <w:szCs w:val="16"/>
                <w:lang w:eastAsia="zh-TW"/>
              </w:rPr>
              <w:t>0.8</w:t>
            </w:r>
            <w:r>
              <w:rPr>
                <w:rFonts w:ascii="Times New Roman" w:eastAsiaTheme="minorEastAsia" w:hAnsi="Times New Roman"/>
                <w:sz w:val="16"/>
                <w:szCs w:val="16"/>
                <w:lang w:eastAsia="zh-TW"/>
              </w:rPr>
              <w:t>3</w:t>
            </w:r>
          </w:p>
        </w:tc>
        <w:tc>
          <w:tcPr>
            <w:tcW w:w="923" w:type="dxa"/>
            <w:tcBorders>
              <w:top w:val="nil"/>
              <w:left w:val="nil"/>
              <w:bottom w:val="nil"/>
              <w:right w:val="nil"/>
            </w:tcBorders>
          </w:tcPr>
          <w:p w14:paraId="5089A1D9"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0.</w:t>
            </w:r>
            <w:r>
              <w:rPr>
                <w:rFonts w:ascii="Times New Roman" w:eastAsiaTheme="minorEastAsia" w:hAnsi="Times New Roman"/>
                <w:sz w:val="16"/>
                <w:szCs w:val="16"/>
                <w:lang w:eastAsia="zh-TW"/>
              </w:rPr>
              <w:t>11***</w:t>
            </w:r>
          </w:p>
          <w:p w14:paraId="4B12D84D"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eastAsiaTheme="minorEastAsia" w:hAnsi="Times New Roman"/>
                <w:sz w:val="16"/>
                <w:szCs w:val="16"/>
                <w:lang w:eastAsia="zh-TW"/>
              </w:rPr>
              <w:t>(8.28)</w:t>
            </w:r>
          </w:p>
        </w:tc>
        <w:tc>
          <w:tcPr>
            <w:tcW w:w="876" w:type="dxa"/>
            <w:tcBorders>
              <w:top w:val="nil"/>
              <w:left w:val="nil"/>
              <w:bottom w:val="nil"/>
              <w:right w:val="nil"/>
            </w:tcBorders>
          </w:tcPr>
          <w:p w14:paraId="2D00CCFA"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0.71</w:t>
            </w:r>
          </w:p>
        </w:tc>
        <w:tc>
          <w:tcPr>
            <w:tcW w:w="984" w:type="dxa"/>
            <w:tcBorders>
              <w:top w:val="nil"/>
              <w:left w:val="nil"/>
              <w:bottom w:val="nil"/>
              <w:right w:val="nil"/>
            </w:tcBorders>
          </w:tcPr>
          <w:p w14:paraId="12C465D8"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0.74</w:t>
            </w:r>
          </w:p>
        </w:tc>
        <w:tc>
          <w:tcPr>
            <w:tcW w:w="900" w:type="dxa"/>
            <w:tcBorders>
              <w:top w:val="nil"/>
              <w:left w:val="nil"/>
              <w:bottom w:val="nil"/>
              <w:right w:val="nil"/>
            </w:tcBorders>
          </w:tcPr>
          <w:p w14:paraId="1383CCD7"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0.04</w:t>
            </w:r>
          </w:p>
          <w:p w14:paraId="4255FE84" w14:textId="77777777" w:rsidR="00C650ED" w:rsidRPr="001C0739" w:rsidRDefault="00C650ED" w:rsidP="00C650ED">
            <w:pPr>
              <w:spacing w:after="0" w:line="200" w:lineRule="exact"/>
              <w:jc w:val="center"/>
              <w:rPr>
                <w:rFonts w:ascii="Times New Roman" w:eastAsiaTheme="minorEastAsia" w:hAnsi="Times New Roman"/>
                <w:sz w:val="16"/>
                <w:szCs w:val="16"/>
                <w:lang w:eastAsia="zh-TW"/>
              </w:rPr>
            </w:pPr>
            <w:r>
              <w:rPr>
                <w:rFonts w:ascii="Times New Roman" w:hAnsi="Times New Roman"/>
                <w:sz w:val="16"/>
                <w:szCs w:val="16"/>
                <w:lang w:eastAsia="zh-HK"/>
              </w:rPr>
              <w:t>(1.64)</w:t>
            </w:r>
          </w:p>
        </w:tc>
        <w:tc>
          <w:tcPr>
            <w:tcW w:w="931" w:type="dxa"/>
            <w:tcBorders>
              <w:top w:val="nil"/>
              <w:left w:val="nil"/>
              <w:bottom w:val="nil"/>
              <w:right w:val="nil"/>
            </w:tcBorders>
          </w:tcPr>
          <w:p w14:paraId="7811E072" w14:textId="77777777" w:rsidR="00C650ED" w:rsidRPr="00724F15" w:rsidRDefault="00C650ED" w:rsidP="00C650ED">
            <w:pPr>
              <w:spacing w:after="0" w:line="200" w:lineRule="exact"/>
              <w:jc w:val="center"/>
              <w:rPr>
                <w:rFonts w:ascii="Times New Roman" w:eastAsiaTheme="minorEastAsia" w:hAnsi="Times New Roman"/>
                <w:sz w:val="16"/>
                <w:szCs w:val="16"/>
                <w:lang w:eastAsia="zh-TW"/>
              </w:rPr>
            </w:pPr>
            <w:r>
              <w:rPr>
                <w:rFonts w:ascii="Times New Roman" w:hAnsi="Times New Roman" w:hint="eastAsia"/>
                <w:sz w:val="16"/>
                <w:szCs w:val="16"/>
                <w:lang w:eastAsia="zh-HK"/>
              </w:rPr>
              <w:t>0</w:t>
            </w:r>
            <w:r>
              <w:rPr>
                <w:rFonts w:ascii="Times New Roman" w:hAnsi="Times New Roman"/>
                <w:sz w:val="16"/>
                <w:szCs w:val="16"/>
                <w:lang w:eastAsia="zh-HK"/>
              </w:rPr>
              <w:t>.83</w:t>
            </w:r>
          </w:p>
        </w:tc>
        <w:tc>
          <w:tcPr>
            <w:tcW w:w="951" w:type="dxa"/>
            <w:tcBorders>
              <w:top w:val="nil"/>
              <w:left w:val="nil"/>
              <w:bottom w:val="nil"/>
              <w:right w:val="nil"/>
            </w:tcBorders>
          </w:tcPr>
          <w:p w14:paraId="60DC7517" w14:textId="77777777" w:rsidR="00C650ED" w:rsidRPr="00724F15" w:rsidRDefault="00C650ED" w:rsidP="00C650ED">
            <w:pPr>
              <w:spacing w:after="0" w:line="200" w:lineRule="exact"/>
              <w:jc w:val="center"/>
              <w:rPr>
                <w:rFonts w:ascii="Times New Roman" w:eastAsiaTheme="minorEastAsia" w:hAnsi="Times New Roman"/>
                <w:sz w:val="16"/>
                <w:szCs w:val="16"/>
                <w:lang w:eastAsia="zh-TW"/>
              </w:rPr>
            </w:pPr>
            <w:r>
              <w:rPr>
                <w:rFonts w:ascii="Times New Roman" w:hAnsi="Times New Roman" w:hint="eastAsia"/>
                <w:sz w:val="16"/>
                <w:szCs w:val="16"/>
                <w:lang w:eastAsia="zh-HK"/>
              </w:rPr>
              <w:t>0.83</w:t>
            </w:r>
          </w:p>
        </w:tc>
        <w:tc>
          <w:tcPr>
            <w:tcW w:w="924" w:type="dxa"/>
            <w:tcBorders>
              <w:top w:val="nil"/>
              <w:left w:val="nil"/>
              <w:bottom w:val="nil"/>
            </w:tcBorders>
          </w:tcPr>
          <w:p w14:paraId="0484E0FB" w14:textId="77777777" w:rsidR="00C650ED"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0.002</w:t>
            </w:r>
          </w:p>
          <w:p w14:paraId="78B7A6B1" w14:textId="77777777" w:rsidR="00C650ED" w:rsidRPr="00724F15" w:rsidRDefault="00C650ED" w:rsidP="00C650ED">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(0.29)</w:t>
            </w:r>
          </w:p>
        </w:tc>
      </w:tr>
      <w:tr w:rsidR="00C650ED" w:rsidRPr="00716971" w14:paraId="6EA81334" w14:textId="77777777" w:rsidTr="00C650ED">
        <w:tc>
          <w:tcPr>
            <w:tcW w:w="2750" w:type="dxa"/>
            <w:tcBorders>
              <w:top w:val="nil"/>
              <w:bottom w:val="nil"/>
              <w:right w:val="nil"/>
            </w:tcBorders>
          </w:tcPr>
          <w:p w14:paraId="0BFD032F" w14:textId="77777777" w:rsidR="00C650ED" w:rsidRPr="00C97E86" w:rsidRDefault="00C650ED" w:rsidP="00C650ED">
            <w:pPr>
              <w:spacing w:after="0" w:line="200" w:lineRule="exact"/>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M</w:t>
            </w:r>
            <w:r>
              <w:rPr>
                <w:rFonts w:ascii="Times New Roman" w:eastAsiaTheme="minorEastAsia" w:hAnsi="Times New Roman"/>
                <w:sz w:val="16"/>
                <w:szCs w:val="16"/>
                <w:lang w:eastAsia="zh-TW"/>
              </w:rPr>
              <w:t>arket-to-book ratio</w:t>
            </w:r>
          </w:p>
        </w:tc>
        <w:tc>
          <w:tcPr>
            <w:tcW w:w="980" w:type="dxa"/>
            <w:tcBorders>
              <w:top w:val="nil"/>
              <w:left w:val="nil"/>
              <w:bottom w:val="nil"/>
              <w:right w:val="nil"/>
            </w:tcBorders>
          </w:tcPr>
          <w:p w14:paraId="046FEBCF"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1.58</w:t>
            </w:r>
          </w:p>
        </w:tc>
        <w:tc>
          <w:tcPr>
            <w:tcW w:w="980" w:type="dxa"/>
            <w:tcBorders>
              <w:top w:val="nil"/>
              <w:left w:val="nil"/>
              <w:bottom w:val="nil"/>
              <w:right w:val="nil"/>
            </w:tcBorders>
          </w:tcPr>
          <w:p w14:paraId="54B60D7C"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1.7</w:t>
            </w:r>
            <w:r>
              <w:rPr>
                <w:rFonts w:ascii="Times New Roman" w:hAnsi="Times New Roman"/>
                <w:sz w:val="16"/>
                <w:szCs w:val="16"/>
                <w:lang w:eastAsia="zh-HK"/>
              </w:rPr>
              <w:t>5</w:t>
            </w:r>
          </w:p>
        </w:tc>
        <w:tc>
          <w:tcPr>
            <w:tcW w:w="923" w:type="dxa"/>
            <w:tcBorders>
              <w:top w:val="nil"/>
              <w:left w:val="nil"/>
              <w:bottom w:val="nil"/>
              <w:right w:val="nil"/>
            </w:tcBorders>
          </w:tcPr>
          <w:p w14:paraId="67302B1B"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0.17**</w:t>
            </w:r>
          </w:p>
          <w:p w14:paraId="3DF29B93"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(2.43)</w:t>
            </w:r>
          </w:p>
        </w:tc>
        <w:tc>
          <w:tcPr>
            <w:tcW w:w="876" w:type="dxa"/>
            <w:tcBorders>
              <w:top w:val="nil"/>
              <w:left w:val="nil"/>
              <w:bottom w:val="nil"/>
              <w:right w:val="nil"/>
            </w:tcBorders>
          </w:tcPr>
          <w:p w14:paraId="1F473E68" w14:textId="77777777" w:rsidR="00C650ED" w:rsidRPr="00716971" w:rsidRDefault="00C650ED" w:rsidP="00C650ED">
            <w:pPr>
              <w:spacing w:after="0" w:line="200" w:lineRule="exact"/>
              <w:jc w:val="center"/>
              <w:rPr>
                <w:rFonts w:ascii="Times New Roman" w:hAnsi="Times New Roman"/>
                <w:sz w:val="16"/>
                <w:szCs w:val="16"/>
                <w:lang w:eastAsia="zh-HK"/>
              </w:rPr>
            </w:pPr>
            <w:r w:rsidRPr="00C97E86">
              <w:rPr>
                <w:rFonts w:ascii="Times New Roman" w:hAnsi="Times New Roman"/>
                <w:sz w:val="16"/>
                <w:szCs w:val="16"/>
                <w:lang w:eastAsia="zh-HK"/>
              </w:rPr>
              <w:t>1.66</w:t>
            </w:r>
          </w:p>
        </w:tc>
        <w:tc>
          <w:tcPr>
            <w:tcW w:w="984" w:type="dxa"/>
            <w:tcBorders>
              <w:top w:val="nil"/>
              <w:left w:val="nil"/>
              <w:bottom w:val="nil"/>
              <w:right w:val="nil"/>
            </w:tcBorders>
          </w:tcPr>
          <w:p w14:paraId="0B31D3C2" w14:textId="77777777" w:rsidR="00C650ED" w:rsidRPr="00716971" w:rsidRDefault="00C650ED" w:rsidP="00C650ED">
            <w:pPr>
              <w:spacing w:after="0" w:line="200" w:lineRule="exact"/>
              <w:jc w:val="center"/>
              <w:rPr>
                <w:rFonts w:ascii="Times New Roman" w:hAnsi="Times New Roman"/>
                <w:sz w:val="16"/>
                <w:szCs w:val="16"/>
                <w:lang w:eastAsia="zh-HK"/>
              </w:rPr>
            </w:pPr>
            <w:r w:rsidRPr="00C97E86">
              <w:rPr>
                <w:rFonts w:ascii="Times New Roman" w:hAnsi="Times New Roman"/>
                <w:sz w:val="16"/>
                <w:szCs w:val="16"/>
                <w:lang w:eastAsia="zh-HK"/>
              </w:rPr>
              <w:t>1.48</w:t>
            </w:r>
          </w:p>
        </w:tc>
        <w:tc>
          <w:tcPr>
            <w:tcW w:w="900" w:type="dxa"/>
            <w:tcBorders>
              <w:top w:val="nil"/>
              <w:left w:val="nil"/>
              <w:bottom w:val="nil"/>
              <w:right w:val="nil"/>
            </w:tcBorders>
          </w:tcPr>
          <w:p w14:paraId="119560E4"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-0.18</w:t>
            </w:r>
          </w:p>
          <w:p w14:paraId="2AB2D323"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(-1.42)</w:t>
            </w:r>
          </w:p>
        </w:tc>
        <w:tc>
          <w:tcPr>
            <w:tcW w:w="931" w:type="dxa"/>
            <w:tcBorders>
              <w:top w:val="nil"/>
              <w:left w:val="nil"/>
              <w:bottom w:val="nil"/>
              <w:right w:val="nil"/>
            </w:tcBorders>
          </w:tcPr>
          <w:p w14:paraId="295AA40F"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w:t>
            </w:r>
            <w:r>
              <w:rPr>
                <w:rFonts w:ascii="Times New Roman" w:hAnsi="Times New Roman"/>
                <w:sz w:val="16"/>
                <w:szCs w:val="16"/>
                <w:lang w:eastAsia="zh-HK"/>
              </w:rPr>
              <w:t>.76</w:t>
            </w:r>
          </w:p>
        </w:tc>
        <w:tc>
          <w:tcPr>
            <w:tcW w:w="951" w:type="dxa"/>
            <w:tcBorders>
              <w:top w:val="nil"/>
              <w:left w:val="nil"/>
              <w:bottom w:val="nil"/>
              <w:right w:val="nil"/>
            </w:tcBorders>
          </w:tcPr>
          <w:p w14:paraId="15548BB9"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1.74</w:t>
            </w:r>
          </w:p>
        </w:tc>
        <w:tc>
          <w:tcPr>
            <w:tcW w:w="924" w:type="dxa"/>
            <w:tcBorders>
              <w:top w:val="nil"/>
              <w:left w:val="nil"/>
              <w:bottom w:val="nil"/>
            </w:tcBorders>
          </w:tcPr>
          <w:p w14:paraId="6780FB7E"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-0.01</w:t>
            </w:r>
          </w:p>
          <w:p w14:paraId="5A3CEEF5"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(0.38)</w:t>
            </w:r>
          </w:p>
        </w:tc>
      </w:tr>
      <w:tr w:rsidR="00C650ED" w:rsidRPr="00716971" w14:paraId="3BB02E77" w14:textId="77777777" w:rsidTr="00C650ED">
        <w:tc>
          <w:tcPr>
            <w:tcW w:w="2750" w:type="dxa"/>
            <w:tcBorders>
              <w:top w:val="nil"/>
              <w:bottom w:val="nil"/>
              <w:right w:val="nil"/>
            </w:tcBorders>
          </w:tcPr>
          <w:p w14:paraId="40F5A8CD" w14:textId="77777777" w:rsidR="00C650ED" w:rsidRPr="00716971" w:rsidRDefault="00C650ED" w:rsidP="00C650ED">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Loss ratio</w:t>
            </w:r>
          </w:p>
        </w:tc>
        <w:tc>
          <w:tcPr>
            <w:tcW w:w="980" w:type="dxa"/>
            <w:tcBorders>
              <w:top w:val="nil"/>
              <w:left w:val="nil"/>
              <w:bottom w:val="nil"/>
              <w:right w:val="nil"/>
            </w:tcBorders>
          </w:tcPr>
          <w:p w14:paraId="2B59A481"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1.06</w:t>
            </w:r>
          </w:p>
        </w:tc>
        <w:tc>
          <w:tcPr>
            <w:tcW w:w="980" w:type="dxa"/>
            <w:tcBorders>
              <w:top w:val="nil"/>
              <w:left w:val="nil"/>
              <w:bottom w:val="nil"/>
              <w:right w:val="nil"/>
            </w:tcBorders>
          </w:tcPr>
          <w:p w14:paraId="2908AF26"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1.90</w:t>
            </w:r>
          </w:p>
        </w:tc>
        <w:tc>
          <w:tcPr>
            <w:tcW w:w="923" w:type="dxa"/>
            <w:tcBorders>
              <w:top w:val="nil"/>
              <w:left w:val="nil"/>
              <w:bottom w:val="nil"/>
              <w:right w:val="nil"/>
            </w:tcBorders>
          </w:tcPr>
          <w:p w14:paraId="4D3406D1"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0.84</w:t>
            </w:r>
            <w:r>
              <w:rPr>
                <w:rFonts w:ascii="Times New Roman" w:hAnsi="Times New Roman" w:hint="eastAsia"/>
                <w:sz w:val="16"/>
                <w:szCs w:val="16"/>
                <w:lang w:eastAsia="zh-HK"/>
              </w:rPr>
              <w:t>**</w:t>
            </w:r>
          </w:p>
          <w:p w14:paraId="5FF65ABD"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(2.33)</w:t>
            </w:r>
          </w:p>
        </w:tc>
        <w:tc>
          <w:tcPr>
            <w:tcW w:w="876" w:type="dxa"/>
            <w:tcBorders>
              <w:top w:val="nil"/>
              <w:left w:val="nil"/>
              <w:bottom w:val="nil"/>
              <w:right w:val="nil"/>
            </w:tcBorders>
          </w:tcPr>
          <w:p w14:paraId="0903E433"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1.06</w:t>
            </w:r>
          </w:p>
        </w:tc>
        <w:tc>
          <w:tcPr>
            <w:tcW w:w="984" w:type="dxa"/>
            <w:tcBorders>
              <w:top w:val="nil"/>
              <w:left w:val="nil"/>
              <w:bottom w:val="nil"/>
              <w:right w:val="nil"/>
            </w:tcBorders>
          </w:tcPr>
          <w:p w14:paraId="75561C57"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1.06</w:t>
            </w:r>
          </w:p>
        </w:tc>
        <w:tc>
          <w:tcPr>
            <w:tcW w:w="900" w:type="dxa"/>
            <w:tcBorders>
              <w:top w:val="nil"/>
              <w:left w:val="nil"/>
              <w:bottom w:val="nil"/>
              <w:right w:val="nil"/>
            </w:tcBorders>
          </w:tcPr>
          <w:p w14:paraId="038A2F11"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0.00</w:t>
            </w:r>
          </w:p>
          <w:p w14:paraId="673C6395"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(0.01)</w:t>
            </w:r>
          </w:p>
        </w:tc>
        <w:tc>
          <w:tcPr>
            <w:tcW w:w="931" w:type="dxa"/>
            <w:tcBorders>
              <w:top w:val="nil"/>
              <w:left w:val="nil"/>
              <w:bottom w:val="nil"/>
              <w:right w:val="nil"/>
            </w:tcBorders>
          </w:tcPr>
          <w:p w14:paraId="12C5451E"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.96</w:t>
            </w:r>
          </w:p>
        </w:tc>
        <w:tc>
          <w:tcPr>
            <w:tcW w:w="951" w:type="dxa"/>
            <w:tcBorders>
              <w:top w:val="nil"/>
              <w:left w:val="nil"/>
              <w:bottom w:val="nil"/>
              <w:right w:val="nil"/>
            </w:tcBorders>
          </w:tcPr>
          <w:p w14:paraId="34F93849"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2.92</w:t>
            </w:r>
          </w:p>
        </w:tc>
        <w:tc>
          <w:tcPr>
            <w:tcW w:w="924" w:type="dxa"/>
            <w:tcBorders>
              <w:top w:val="nil"/>
              <w:left w:val="nil"/>
              <w:bottom w:val="nil"/>
            </w:tcBorders>
          </w:tcPr>
          <w:p w14:paraId="57F11EB0"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1.96***</w:t>
            </w:r>
          </w:p>
          <w:p w14:paraId="58331B6E"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(2.60)</w:t>
            </w:r>
          </w:p>
        </w:tc>
      </w:tr>
      <w:tr w:rsidR="00C650ED" w:rsidRPr="00716971" w14:paraId="27EA05ED" w14:textId="77777777" w:rsidTr="00C650ED">
        <w:tc>
          <w:tcPr>
            <w:tcW w:w="2750" w:type="dxa"/>
            <w:tcBorders>
              <w:top w:val="nil"/>
              <w:bottom w:val="nil"/>
              <w:right w:val="nil"/>
            </w:tcBorders>
          </w:tcPr>
          <w:p w14:paraId="70F36D75" w14:textId="77777777" w:rsidR="00C650ED" w:rsidRPr="00716971" w:rsidRDefault="00C650ED" w:rsidP="00C650ED">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Investment income</w:t>
            </w:r>
            <w:r>
              <w:rPr>
                <w:rFonts w:ascii="Times New Roman" w:hAnsi="Times New Roman"/>
                <w:sz w:val="16"/>
                <w:szCs w:val="16"/>
                <w:lang w:eastAsia="zh-HK"/>
              </w:rPr>
              <w:t>s</w:t>
            </w:r>
          </w:p>
        </w:tc>
        <w:tc>
          <w:tcPr>
            <w:tcW w:w="980" w:type="dxa"/>
            <w:tcBorders>
              <w:top w:val="nil"/>
              <w:left w:val="nil"/>
              <w:bottom w:val="nil"/>
              <w:right w:val="nil"/>
            </w:tcBorders>
          </w:tcPr>
          <w:p w14:paraId="45BB26BA"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.03</w:t>
            </w:r>
          </w:p>
        </w:tc>
        <w:tc>
          <w:tcPr>
            <w:tcW w:w="980" w:type="dxa"/>
            <w:tcBorders>
              <w:top w:val="nil"/>
              <w:left w:val="nil"/>
              <w:bottom w:val="nil"/>
              <w:right w:val="nil"/>
            </w:tcBorders>
          </w:tcPr>
          <w:p w14:paraId="37C985E9"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0.03</w:t>
            </w:r>
          </w:p>
        </w:tc>
        <w:tc>
          <w:tcPr>
            <w:tcW w:w="923" w:type="dxa"/>
            <w:tcBorders>
              <w:top w:val="nil"/>
              <w:left w:val="nil"/>
              <w:bottom w:val="nil"/>
              <w:right w:val="nil"/>
            </w:tcBorders>
          </w:tcPr>
          <w:p w14:paraId="49231B67"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-0.00</w:t>
            </w:r>
            <w:r>
              <w:rPr>
                <w:rFonts w:ascii="Times New Roman" w:hAnsi="Times New Roman"/>
                <w:sz w:val="16"/>
                <w:szCs w:val="16"/>
                <w:lang w:eastAsia="zh-HK"/>
              </w:rPr>
              <w:t>2</w:t>
            </w:r>
          </w:p>
          <w:p w14:paraId="62DF1D80"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(-1.09)</w:t>
            </w:r>
          </w:p>
        </w:tc>
        <w:tc>
          <w:tcPr>
            <w:tcW w:w="876" w:type="dxa"/>
            <w:tcBorders>
              <w:top w:val="nil"/>
              <w:left w:val="nil"/>
              <w:bottom w:val="nil"/>
              <w:right w:val="nil"/>
            </w:tcBorders>
          </w:tcPr>
          <w:p w14:paraId="247BA499"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0.03</w:t>
            </w:r>
          </w:p>
        </w:tc>
        <w:tc>
          <w:tcPr>
            <w:tcW w:w="984" w:type="dxa"/>
            <w:tcBorders>
              <w:top w:val="nil"/>
              <w:left w:val="nil"/>
              <w:bottom w:val="nil"/>
              <w:right w:val="nil"/>
            </w:tcBorders>
          </w:tcPr>
          <w:p w14:paraId="3666470B"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0.03</w:t>
            </w:r>
          </w:p>
        </w:tc>
        <w:tc>
          <w:tcPr>
            <w:tcW w:w="900" w:type="dxa"/>
            <w:tcBorders>
              <w:top w:val="nil"/>
              <w:left w:val="nil"/>
              <w:bottom w:val="nil"/>
              <w:right w:val="nil"/>
            </w:tcBorders>
          </w:tcPr>
          <w:p w14:paraId="0CC03316"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0.002</w:t>
            </w:r>
          </w:p>
          <w:p w14:paraId="44748E69"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(0.77)</w:t>
            </w:r>
          </w:p>
        </w:tc>
        <w:tc>
          <w:tcPr>
            <w:tcW w:w="931" w:type="dxa"/>
            <w:tcBorders>
              <w:top w:val="nil"/>
              <w:left w:val="nil"/>
              <w:bottom w:val="nil"/>
              <w:right w:val="nil"/>
            </w:tcBorders>
          </w:tcPr>
          <w:p w14:paraId="46882D8F"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.03</w:t>
            </w:r>
          </w:p>
        </w:tc>
        <w:tc>
          <w:tcPr>
            <w:tcW w:w="951" w:type="dxa"/>
            <w:tcBorders>
              <w:top w:val="nil"/>
              <w:left w:val="nil"/>
              <w:bottom w:val="nil"/>
              <w:right w:val="nil"/>
            </w:tcBorders>
          </w:tcPr>
          <w:p w14:paraId="71489180"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0.03</w:t>
            </w:r>
          </w:p>
        </w:tc>
        <w:tc>
          <w:tcPr>
            <w:tcW w:w="924" w:type="dxa"/>
            <w:tcBorders>
              <w:top w:val="nil"/>
              <w:left w:val="nil"/>
              <w:bottom w:val="nil"/>
            </w:tcBorders>
          </w:tcPr>
          <w:p w14:paraId="0802D171"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-0.001</w:t>
            </w:r>
          </w:p>
          <w:p w14:paraId="6F298BED"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(-1.60)</w:t>
            </w:r>
          </w:p>
        </w:tc>
      </w:tr>
      <w:tr w:rsidR="00C650ED" w:rsidRPr="00716971" w14:paraId="48232B77" w14:textId="77777777" w:rsidTr="00C650ED">
        <w:tc>
          <w:tcPr>
            <w:tcW w:w="2750" w:type="dxa"/>
            <w:tcBorders>
              <w:top w:val="nil"/>
              <w:bottom w:val="nil"/>
              <w:right w:val="nil"/>
            </w:tcBorders>
          </w:tcPr>
          <w:p w14:paraId="57F20E44" w14:textId="77777777" w:rsidR="00C650ED" w:rsidRPr="00716971" w:rsidRDefault="00C650ED" w:rsidP="00C650ED">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ROA</w:t>
            </w:r>
            <w:r>
              <w:rPr>
                <w:rFonts w:ascii="Times New Roman" w:hAnsi="Times New Roman"/>
                <w:sz w:val="16"/>
                <w:szCs w:val="16"/>
                <w:lang w:eastAsia="zh-HK"/>
              </w:rPr>
              <w:t xml:space="preserve"> (%)</w:t>
            </w:r>
          </w:p>
        </w:tc>
        <w:tc>
          <w:tcPr>
            <w:tcW w:w="980" w:type="dxa"/>
            <w:tcBorders>
              <w:top w:val="nil"/>
              <w:left w:val="nil"/>
              <w:bottom w:val="nil"/>
              <w:right w:val="nil"/>
            </w:tcBorders>
          </w:tcPr>
          <w:p w14:paraId="7C1A373E"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0.63</w:t>
            </w:r>
          </w:p>
        </w:tc>
        <w:tc>
          <w:tcPr>
            <w:tcW w:w="980" w:type="dxa"/>
            <w:tcBorders>
              <w:top w:val="nil"/>
              <w:left w:val="nil"/>
              <w:bottom w:val="nil"/>
              <w:right w:val="nil"/>
            </w:tcBorders>
          </w:tcPr>
          <w:p w14:paraId="14C63EFC"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w:t>
            </w:r>
            <w:r>
              <w:rPr>
                <w:rFonts w:ascii="Times New Roman" w:hAnsi="Times New Roman"/>
                <w:sz w:val="16"/>
                <w:szCs w:val="16"/>
                <w:lang w:eastAsia="zh-HK"/>
              </w:rPr>
              <w:t>71</w:t>
            </w:r>
          </w:p>
        </w:tc>
        <w:tc>
          <w:tcPr>
            <w:tcW w:w="923" w:type="dxa"/>
            <w:tcBorders>
              <w:top w:val="nil"/>
              <w:left w:val="nil"/>
              <w:bottom w:val="nil"/>
              <w:right w:val="nil"/>
            </w:tcBorders>
          </w:tcPr>
          <w:p w14:paraId="146B0DF6"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2.08***</w:t>
            </w:r>
          </w:p>
          <w:p w14:paraId="6A03439F"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(23.93)</w:t>
            </w:r>
          </w:p>
        </w:tc>
        <w:tc>
          <w:tcPr>
            <w:tcW w:w="876" w:type="dxa"/>
            <w:tcBorders>
              <w:top w:val="nil"/>
              <w:left w:val="nil"/>
              <w:bottom w:val="nil"/>
              <w:right w:val="nil"/>
            </w:tcBorders>
          </w:tcPr>
          <w:p w14:paraId="1A461FE1"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.54</w:t>
            </w:r>
          </w:p>
        </w:tc>
        <w:tc>
          <w:tcPr>
            <w:tcW w:w="984" w:type="dxa"/>
            <w:tcBorders>
              <w:top w:val="nil"/>
              <w:left w:val="nil"/>
              <w:bottom w:val="nil"/>
              <w:right w:val="nil"/>
            </w:tcBorders>
          </w:tcPr>
          <w:p w14:paraId="0F41AA8C"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0.73</w:t>
            </w:r>
          </w:p>
        </w:tc>
        <w:tc>
          <w:tcPr>
            <w:tcW w:w="900" w:type="dxa"/>
            <w:tcBorders>
              <w:top w:val="nil"/>
              <w:left w:val="nil"/>
              <w:bottom w:val="nil"/>
              <w:right w:val="nil"/>
            </w:tcBorders>
          </w:tcPr>
          <w:p w14:paraId="65386BFD"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0.19</w:t>
            </w:r>
          </w:p>
          <w:p w14:paraId="4093AC6A"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(1.42)</w:t>
            </w:r>
          </w:p>
        </w:tc>
        <w:tc>
          <w:tcPr>
            <w:tcW w:w="931" w:type="dxa"/>
            <w:tcBorders>
              <w:top w:val="nil"/>
              <w:left w:val="nil"/>
              <w:bottom w:val="nil"/>
              <w:right w:val="nil"/>
            </w:tcBorders>
          </w:tcPr>
          <w:p w14:paraId="7C4A40BC"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w:t>
            </w:r>
            <w:r>
              <w:rPr>
                <w:rFonts w:ascii="Times New Roman" w:hAnsi="Times New Roman"/>
                <w:sz w:val="16"/>
                <w:szCs w:val="16"/>
                <w:lang w:eastAsia="zh-HK"/>
              </w:rPr>
              <w:t>.69</w:t>
            </w:r>
          </w:p>
        </w:tc>
        <w:tc>
          <w:tcPr>
            <w:tcW w:w="951" w:type="dxa"/>
            <w:tcBorders>
              <w:top w:val="nil"/>
              <w:left w:val="nil"/>
              <w:bottom w:val="nil"/>
              <w:right w:val="nil"/>
            </w:tcBorders>
          </w:tcPr>
          <w:p w14:paraId="47A27185"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2.72</w:t>
            </w:r>
          </w:p>
        </w:tc>
        <w:tc>
          <w:tcPr>
            <w:tcW w:w="924" w:type="dxa"/>
            <w:tcBorders>
              <w:top w:val="nil"/>
              <w:left w:val="nil"/>
              <w:bottom w:val="nil"/>
            </w:tcBorders>
          </w:tcPr>
          <w:p w14:paraId="3DE9D3A8"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0.03</w:t>
            </w:r>
          </w:p>
          <w:p w14:paraId="4E69B3CA"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(0.31)</w:t>
            </w:r>
          </w:p>
        </w:tc>
      </w:tr>
      <w:tr w:rsidR="00C650ED" w:rsidRPr="00716971" w14:paraId="6DF470FB" w14:textId="77777777" w:rsidTr="00C650ED">
        <w:tc>
          <w:tcPr>
            <w:tcW w:w="2750" w:type="dxa"/>
            <w:tcBorders>
              <w:top w:val="nil"/>
              <w:bottom w:val="nil"/>
              <w:right w:val="nil"/>
            </w:tcBorders>
          </w:tcPr>
          <w:p w14:paraId="08476154" w14:textId="77777777" w:rsidR="00C650ED" w:rsidRPr="00716971" w:rsidRDefault="00C650ED" w:rsidP="00C650ED">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Operating expenses</w:t>
            </w:r>
          </w:p>
        </w:tc>
        <w:tc>
          <w:tcPr>
            <w:tcW w:w="980" w:type="dxa"/>
            <w:tcBorders>
              <w:top w:val="nil"/>
              <w:left w:val="nil"/>
              <w:bottom w:val="nil"/>
              <w:right w:val="nil"/>
            </w:tcBorders>
          </w:tcPr>
          <w:p w14:paraId="356D98FA"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.92</w:t>
            </w:r>
          </w:p>
        </w:tc>
        <w:tc>
          <w:tcPr>
            <w:tcW w:w="980" w:type="dxa"/>
            <w:tcBorders>
              <w:top w:val="nil"/>
              <w:left w:val="nil"/>
              <w:bottom w:val="nil"/>
              <w:right w:val="nil"/>
            </w:tcBorders>
          </w:tcPr>
          <w:p w14:paraId="489270E8"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0.87</w:t>
            </w:r>
          </w:p>
        </w:tc>
        <w:tc>
          <w:tcPr>
            <w:tcW w:w="923" w:type="dxa"/>
            <w:tcBorders>
              <w:top w:val="nil"/>
              <w:left w:val="nil"/>
              <w:bottom w:val="nil"/>
              <w:right w:val="nil"/>
            </w:tcBorders>
          </w:tcPr>
          <w:p w14:paraId="35025610"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w:t>
            </w:r>
            <w:r>
              <w:rPr>
                <w:rFonts w:ascii="Times New Roman" w:hAnsi="Times New Roman"/>
                <w:sz w:val="16"/>
                <w:szCs w:val="16"/>
                <w:lang w:eastAsia="zh-HK"/>
              </w:rPr>
              <w:t>4***</w:t>
            </w:r>
          </w:p>
          <w:p w14:paraId="35AC7F3A" w14:textId="77777777" w:rsidR="00C650ED" w:rsidRPr="00C97E86"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(-8.10)</w:t>
            </w:r>
          </w:p>
        </w:tc>
        <w:tc>
          <w:tcPr>
            <w:tcW w:w="876" w:type="dxa"/>
            <w:tcBorders>
              <w:top w:val="nil"/>
              <w:left w:val="nil"/>
              <w:bottom w:val="nil"/>
              <w:right w:val="nil"/>
            </w:tcBorders>
          </w:tcPr>
          <w:p w14:paraId="35999EA0"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0.91</w:t>
            </w:r>
          </w:p>
        </w:tc>
        <w:tc>
          <w:tcPr>
            <w:tcW w:w="984" w:type="dxa"/>
            <w:tcBorders>
              <w:top w:val="nil"/>
              <w:left w:val="nil"/>
              <w:bottom w:val="nil"/>
              <w:right w:val="nil"/>
            </w:tcBorders>
          </w:tcPr>
          <w:p w14:paraId="61672FB2"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0.91</w:t>
            </w:r>
          </w:p>
        </w:tc>
        <w:tc>
          <w:tcPr>
            <w:tcW w:w="900" w:type="dxa"/>
            <w:tcBorders>
              <w:top w:val="nil"/>
              <w:left w:val="nil"/>
              <w:bottom w:val="nil"/>
              <w:right w:val="nil"/>
            </w:tcBorders>
          </w:tcPr>
          <w:p w14:paraId="4E9DBC1F"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-0.005</w:t>
            </w:r>
          </w:p>
          <w:p w14:paraId="1446BFCA"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(-0.57)</w:t>
            </w:r>
          </w:p>
        </w:tc>
        <w:tc>
          <w:tcPr>
            <w:tcW w:w="931" w:type="dxa"/>
            <w:tcBorders>
              <w:top w:val="nil"/>
              <w:left w:val="nil"/>
              <w:bottom w:val="nil"/>
              <w:right w:val="nil"/>
            </w:tcBorders>
          </w:tcPr>
          <w:p w14:paraId="793869A4"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.88</w:t>
            </w:r>
          </w:p>
        </w:tc>
        <w:tc>
          <w:tcPr>
            <w:tcW w:w="951" w:type="dxa"/>
            <w:tcBorders>
              <w:top w:val="nil"/>
              <w:left w:val="nil"/>
              <w:bottom w:val="nil"/>
              <w:right w:val="nil"/>
            </w:tcBorders>
          </w:tcPr>
          <w:p w14:paraId="0439C0CD"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0.87</w:t>
            </w:r>
          </w:p>
        </w:tc>
        <w:tc>
          <w:tcPr>
            <w:tcW w:w="924" w:type="dxa"/>
            <w:tcBorders>
              <w:top w:val="nil"/>
              <w:left w:val="nil"/>
              <w:bottom w:val="nil"/>
            </w:tcBorders>
          </w:tcPr>
          <w:p w14:paraId="36A634A4" w14:textId="77777777" w:rsidR="00C650ED" w:rsidRDefault="00C650ED" w:rsidP="00C650E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-0.01</w:t>
            </w:r>
            <w:r>
              <w:rPr>
                <w:rFonts w:ascii="Times New Roman" w:hAnsi="Times New Roman"/>
                <w:sz w:val="16"/>
                <w:szCs w:val="16"/>
                <w:lang w:eastAsia="zh-HK"/>
              </w:rPr>
              <w:t>***</w:t>
            </w:r>
          </w:p>
          <w:p w14:paraId="213E4BF3" w14:textId="77777777" w:rsidR="00C650ED" w:rsidRPr="00716971" w:rsidRDefault="00C650ED" w:rsidP="00C650ED">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(-3.02)</w:t>
            </w:r>
          </w:p>
        </w:tc>
      </w:tr>
      <w:tr w:rsidR="00C650ED" w:rsidRPr="00716971" w14:paraId="16C3C1E9" w14:textId="77777777" w:rsidTr="00C650ED">
        <w:tc>
          <w:tcPr>
            <w:tcW w:w="2750" w:type="dxa"/>
            <w:tcBorders>
              <w:top w:val="nil"/>
              <w:bottom w:val="single" w:sz="4" w:space="0" w:color="auto"/>
              <w:right w:val="nil"/>
            </w:tcBorders>
          </w:tcPr>
          <w:p w14:paraId="559F46DE" w14:textId="77777777" w:rsidR="00C650ED" w:rsidRPr="00716971" w:rsidRDefault="00C650ED" w:rsidP="00C650ED">
            <w:pPr>
              <w:spacing w:after="0" w:line="200" w:lineRule="exact"/>
              <w:rPr>
                <w:rFonts w:ascii="Times New Roman" w:hAnsi="Times New Roman"/>
                <w:sz w:val="16"/>
                <w:szCs w:val="16"/>
                <w:lang w:eastAsia="zh-HK"/>
              </w:rPr>
            </w:pPr>
          </w:p>
        </w:tc>
        <w:tc>
          <w:tcPr>
            <w:tcW w:w="980" w:type="dxa"/>
            <w:tcBorders>
              <w:top w:val="nil"/>
              <w:left w:val="nil"/>
              <w:bottom w:val="single" w:sz="4" w:space="0" w:color="auto"/>
              <w:right w:val="nil"/>
            </w:tcBorders>
          </w:tcPr>
          <w:p w14:paraId="5A6E8BE3" w14:textId="77777777" w:rsidR="00C650ED" w:rsidRPr="00C97E86" w:rsidRDefault="00C650ED" w:rsidP="00C650ED">
            <w:pPr>
              <w:spacing w:after="0" w:line="200" w:lineRule="exact"/>
              <w:jc w:val="center"/>
              <w:rPr>
                <w:rFonts w:ascii="Times New Roman" w:hAnsi="Times New Roman"/>
                <w:sz w:val="16"/>
                <w:szCs w:val="16"/>
                <w:lang w:eastAsia="zh-HK"/>
              </w:rPr>
            </w:pPr>
          </w:p>
        </w:tc>
        <w:tc>
          <w:tcPr>
            <w:tcW w:w="980" w:type="dxa"/>
            <w:tcBorders>
              <w:top w:val="nil"/>
              <w:left w:val="nil"/>
              <w:bottom w:val="single" w:sz="4" w:space="0" w:color="auto"/>
              <w:right w:val="nil"/>
            </w:tcBorders>
          </w:tcPr>
          <w:p w14:paraId="5DF96A1D" w14:textId="77777777" w:rsidR="00C650ED" w:rsidRPr="00C97E86" w:rsidRDefault="00C650ED" w:rsidP="00C650ED">
            <w:pPr>
              <w:spacing w:after="0" w:line="200" w:lineRule="exact"/>
              <w:jc w:val="center"/>
              <w:rPr>
                <w:rFonts w:ascii="Times New Roman" w:hAnsi="Times New Roman"/>
                <w:sz w:val="16"/>
                <w:szCs w:val="16"/>
                <w:lang w:eastAsia="zh-HK"/>
              </w:rPr>
            </w:pPr>
          </w:p>
        </w:tc>
        <w:tc>
          <w:tcPr>
            <w:tcW w:w="923" w:type="dxa"/>
            <w:tcBorders>
              <w:top w:val="nil"/>
              <w:left w:val="nil"/>
              <w:bottom w:val="single" w:sz="4" w:space="0" w:color="auto"/>
              <w:right w:val="nil"/>
            </w:tcBorders>
          </w:tcPr>
          <w:p w14:paraId="4468D4E5" w14:textId="77777777" w:rsidR="00C650ED" w:rsidRPr="00C97E86" w:rsidRDefault="00C650ED" w:rsidP="00C650ED">
            <w:pPr>
              <w:spacing w:after="0" w:line="200" w:lineRule="exact"/>
              <w:jc w:val="center"/>
              <w:rPr>
                <w:rFonts w:ascii="Times New Roman" w:hAnsi="Times New Roman"/>
                <w:sz w:val="16"/>
                <w:szCs w:val="16"/>
                <w:lang w:eastAsia="zh-HK"/>
              </w:rPr>
            </w:pPr>
          </w:p>
        </w:tc>
        <w:tc>
          <w:tcPr>
            <w:tcW w:w="876" w:type="dxa"/>
            <w:tcBorders>
              <w:top w:val="nil"/>
              <w:left w:val="nil"/>
              <w:bottom w:val="single" w:sz="4" w:space="0" w:color="auto"/>
              <w:right w:val="nil"/>
            </w:tcBorders>
          </w:tcPr>
          <w:p w14:paraId="04BC206C" w14:textId="77777777" w:rsidR="00C650ED" w:rsidRPr="00716971" w:rsidRDefault="00C650ED" w:rsidP="00C650ED">
            <w:pPr>
              <w:spacing w:after="0" w:line="200" w:lineRule="exact"/>
              <w:jc w:val="center"/>
              <w:rPr>
                <w:rFonts w:ascii="Times New Roman" w:hAnsi="Times New Roman"/>
                <w:sz w:val="16"/>
                <w:szCs w:val="16"/>
                <w:lang w:eastAsia="zh-HK"/>
              </w:rPr>
            </w:pPr>
          </w:p>
        </w:tc>
        <w:tc>
          <w:tcPr>
            <w:tcW w:w="984" w:type="dxa"/>
            <w:tcBorders>
              <w:top w:val="nil"/>
              <w:left w:val="nil"/>
              <w:bottom w:val="single" w:sz="4" w:space="0" w:color="auto"/>
              <w:right w:val="nil"/>
            </w:tcBorders>
          </w:tcPr>
          <w:p w14:paraId="403490CC" w14:textId="77777777" w:rsidR="00C650ED" w:rsidRPr="00716971" w:rsidRDefault="00C650ED" w:rsidP="00C650ED">
            <w:pPr>
              <w:spacing w:after="0" w:line="200" w:lineRule="exact"/>
              <w:jc w:val="center"/>
              <w:rPr>
                <w:rFonts w:ascii="Times New Roman" w:hAnsi="Times New Roman"/>
                <w:sz w:val="16"/>
                <w:szCs w:val="16"/>
                <w:lang w:eastAsia="zh-HK"/>
              </w:rPr>
            </w:pPr>
          </w:p>
        </w:tc>
        <w:tc>
          <w:tcPr>
            <w:tcW w:w="900" w:type="dxa"/>
            <w:tcBorders>
              <w:top w:val="nil"/>
              <w:left w:val="nil"/>
              <w:bottom w:val="single" w:sz="4" w:space="0" w:color="auto"/>
              <w:right w:val="nil"/>
            </w:tcBorders>
          </w:tcPr>
          <w:p w14:paraId="3BA3B97A" w14:textId="77777777" w:rsidR="00C650ED" w:rsidRPr="00716971" w:rsidRDefault="00C650ED" w:rsidP="00C650ED">
            <w:pPr>
              <w:spacing w:after="0" w:line="200" w:lineRule="exact"/>
              <w:jc w:val="center"/>
              <w:rPr>
                <w:rFonts w:ascii="Times New Roman" w:hAnsi="Times New Roman"/>
                <w:sz w:val="16"/>
                <w:szCs w:val="16"/>
                <w:lang w:eastAsia="zh-HK"/>
              </w:rPr>
            </w:pPr>
          </w:p>
        </w:tc>
        <w:tc>
          <w:tcPr>
            <w:tcW w:w="931" w:type="dxa"/>
            <w:tcBorders>
              <w:top w:val="nil"/>
              <w:left w:val="nil"/>
              <w:bottom w:val="single" w:sz="4" w:space="0" w:color="auto"/>
              <w:right w:val="nil"/>
            </w:tcBorders>
          </w:tcPr>
          <w:p w14:paraId="130F4F38" w14:textId="77777777" w:rsidR="00C650ED" w:rsidRPr="00716971" w:rsidRDefault="00C650ED" w:rsidP="00C650ED">
            <w:pPr>
              <w:spacing w:after="0" w:line="200" w:lineRule="exact"/>
              <w:jc w:val="center"/>
              <w:rPr>
                <w:rFonts w:ascii="Times New Roman" w:hAnsi="Times New Roman"/>
                <w:sz w:val="16"/>
                <w:szCs w:val="16"/>
                <w:lang w:eastAsia="zh-HK"/>
              </w:rPr>
            </w:pPr>
          </w:p>
        </w:tc>
        <w:tc>
          <w:tcPr>
            <w:tcW w:w="951" w:type="dxa"/>
            <w:tcBorders>
              <w:top w:val="nil"/>
              <w:left w:val="nil"/>
              <w:bottom w:val="single" w:sz="4" w:space="0" w:color="auto"/>
              <w:right w:val="nil"/>
            </w:tcBorders>
          </w:tcPr>
          <w:p w14:paraId="4D5EDF46" w14:textId="77777777" w:rsidR="00C650ED" w:rsidRPr="00716971" w:rsidRDefault="00C650ED" w:rsidP="00C650ED">
            <w:pPr>
              <w:spacing w:after="0" w:line="200" w:lineRule="exact"/>
              <w:jc w:val="center"/>
              <w:rPr>
                <w:rFonts w:ascii="Times New Roman" w:hAnsi="Times New Roman"/>
                <w:sz w:val="16"/>
                <w:szCs w:val="16"/>
                <w:lang w:eastAsia="zh-HK"/>
              </w:rPr>
            </w:pPr>
          </w:p>
        </w:tc>
        <w:tc>
          <w:tcPr>
            <w:tcW w:w="924" w:type="dxa"/>
            <w:tcBorders>
              <w:top w:val="nil"/>
              <w:left w:val="nil"/>
              <w:bottom w:val="single" w:sz="4" w:space="0" w:color="auto"/>
            </w:tcBorders>
          </w:tcPr>
          <w:p w14:paraId="4BA868A8" w14:textId="77777777" w:rsidR="00C650ED" w:rsidRPr="00716971" w:rsidRDefault="00C650ED" w:rsidP="00C650ED">
            <w:pPr>
              <w:spacing w:after="0" w:line="200" w:lineRule="exact"/>
              <w:jc w:val="center"/>
              <w:rPr>
                <w:rFonts w:ascii="Times New Roman" w:hAnsi="Times New Roman"/>
                <w:sz w:val="16"/>
                <w:szCs w:val="16"/>
                <w:lang w:eastAsia="zh-HK"/>
              </w:rPr>
            </w:pPr>
          </w:p>
        </w:tc>
      </w:tr>
      <w:tr w:rsidR="00C650ED" w:rsidRPr="00716971" w14:paraId="73180DE0" w14:textId="77777777" w:rsidTr="00C650ED">
        <w:tc>
          <w:tcPr>
            <w:tcW w:w="11199" w:type="dxa"/>
            <w:gridSpan w:val="10"/>
            <w:tcBorders>
              <w:top w:val="single" w:sz="4" w:space="0" w:color="auto"/>
              <w:bottom w:val="single" w:sz="4" w:space="0" w:color="auto"/>
            </w:tcBorders>
          </w:tcPr>
          <w:p w14:paraId="6EF2C90E" w14:textId="6F35417A" w:rsidR="00C650ED" w:rsidRPr="00A32F46" w:rsidRDefault="00C650ED" w:rsidP="003A3679">
            <w:pPr>
              <w:spacing w:after="0" w:line="200" w:lineRule="exact"/>
              <w:jc w:val="both"/>
              <w:rPr>
                <w:rFonts w:ascii="Times New Roman" w:eastAsiaTheme="minorEastAsia" w:hAnsi="Times New Roman"/>
                <w:sz w:val="16"/>
                <w:szCs w:val="16"/>
                <w:lang w:eastAsia="zh-HK"/>
              </w:rPr>
            </w:pPr>
            <w:r>
              <w:rPr>
                <w:rFonts w:ascii="Times New Roman" w:hAnsi="Times New Roman"/>
                <w:sz w:val="16"/>
                <w:szCs w:val="16"/>
                <w:lang w:eastAsia="zh-HK"/>
              </w:rPr>
              <w:t>The table above reports the univariate analysis of the three sys</w:t>
            </w:r>
            <w:r w:rsidR="003A3679">
              <w:rPr>
                <w:rFonts w:ascii="Times New Roman" w:hAnsi="Times New Roman"/>
                <w:sz w:val="16"/>
                <w:szCs w:val="16"/>
                <w:lang w:eastAsia="zh-HK"/>
              </w:rPr>
              <w:t>temic risk measures and insurer</w:t>
            </w:r>
            <w:r>
              <w:rPr>
                <w:rFonts w:ascii="Times New Roman" w:hAnsi="Times New Roman"/>
                <w:sz w:val="16"/>
                <w:szCs w:val="16"/>
                <w:lang w:eastAsia="zh-HK"/>
              </w:rPr>
              <w:t xml:space="preserve"> characteristics before and after the new regulation. It </w:t>
            </w:r>
            <w:r w:rsidR="00427772">
              <w:rPr>
                <w:rFonts w:ascii="Times New Roman" w:hAnsi="Times New Roman"/>
                <w:sz w:val="16"/>
                <w:szCs w:val="16"/>
                <w:lang w:eastAsia="zh-HK"/>
              </w:rPr>
              <w:t>also compares the systemic risk</w:t>
            </w:r>
            <w:r>
              <w:rPr>
                <w:rFonts w:ascii="Times New Roman" w:hAnsi="Times New Roman"/>
                <w:sz w:val="16"/>
                <w:szCs w:val="16"/>
                <w:lang w:eastAsia="zh-HK"/>
              </w:rPr>
              <w:t xml:space="preserve"> and ch</w:t>
            </w:r>
            <w:r w:rsidR="00427772">
              <w:rPr>
                <w:rFonts w:ascii="Times New Roman" w:hAnsi="Times New Roman"/>
                <w:sz w:val="16"/>
                <w:szCs w:val="16"/>
                <w:lang w:eastAsia="zh-HK"/>
              </w:rPr>
              <w:t>aracteristics of G-SIIs and non-</w:t>
            </w:r>
            <w:r>
              <w:rPr>
                <w:rFonts w:ascii="Times New Roman" w:hAnsi="Times New Roman"/>
                <w:sz w:val="16"/>
                <w:szCs w:val="16"/>
                <w:lang w:eastAsia="zh-HK"/>
              </w:rPr>
              <w:t xml:space="preserve">G-SIIs. </w:t>
            </w:r>
            <w:r w:rsidRPr="00B86E32">
              <w:rPr>
                <w:rFonts w:ascii="Times New Roman" w:hAnsi="Times New Roman"/>
                <w:sz w:val="16"/>
                <w:szCs w:val="16"/>
                <w:lang w:eastAsia="zh-HK"/>
              </w:rPr>
              <w:t>The</w:t>
            </w:r>
            <w:r>
              <w:rPr>
                <w:rFonts w:ascii="Times New Roman" w:hAnsi="Times New Roman"/>
                <w:sz w:val="16"/>
                <w:szCs w:val="16"/>
                <w:lang w:eastAsia="zh-HK"/>
              </w:rPr>
              <w:t xml:space="preserve"> </w:t>
            </w:r>
            <w:r w:rsidRPr="00B86E32">
              <w:rPr>
                <w:rFonts w:ascii="Times New Roman" w:hAnsi="Times New Roman"/>
                <w:sz w:val="16"/>
                <w:szCs w:val="16"/>
                <w:lang w:eastAsia="zh-HK"/>
              </w:rPr>
              <w:t xml:space="preserve">variables are </w:t>
            </w:r>
            <w:r>
              <w:rPr>
                <w:rFonts w:ascii="Times New Roman" w:hAnsi="Times New Roman"/>
                <w:sz w:val="16"/>
                <w:szCs w:val="16"/>
                <w:lang w:eastAsia="zh-HK"/>
              </w:rPr>
              <w:t>defined</w:t>
            </w:r>
            <w:r w:rsidRPr="00B86E32">
              <w:rPr>
                <w:rFonts w:ascii="Times New Roman" w:hAnsi="Times New Roman"/>
                <w:sz w:val="16"/>
                <w:szCs w:val="16"/>
                <w:lang w:eastAsia="zh-HK"/>
              </w:rPr>
              <w:t xml:space="preserve"> in Table </w:t>
            </w:r>
            <w:r>
              <w:rPr>
                <w:rFonts w:ascii="Times New Roman" w:eastAsiaTheme="minorEastAsia" w:hAnsi="Times New Roman" w:hint="eastAsia"/>
                <w:sz w:val="16"/>
                <w:szCs w:val="16"/>
                <w:lang w:eastAsia="zh-HK"/>
              </w:rPr>
              <w:t>II</w:t>
            </w:r>
            <w:r w:rsidRPr="00B86E32">
              <w:rPr>
                <w:rFonts w:ascii="Times New Roman" w:hAnsi="Times New Roman"/>
                <w:sz w:val="16"/>
                <w:szCs w:val="16"/>
                <w:lang w:eastAsia="zh-HK"/>
              </w:rPr>
              <w:t>.</w:t>
            </w:r>
            <w:r>
              <w:rPr>
                <w:rFonts w:ascii="Times New Roman" w:hAnsi="Times New Roman"/>
                <w:sz w:val="16"/>
                <w:szCs w:val="16"/>
                <w:lang w:eastAsia="zh-HK"/>
              </w:rPr>
              <w:t xml:space="preserve"> </w:t>
            </w:r>
            <w:r w:rsidRPr="00716971">
              <w:rPr>
                <w:rFonts w:ascii="Times New Roman" w:hAnsi="Times New Roman"/>
                <w:sz w:val="16"/>
                <w:szCs w:val="16"/>
                <w:lang w:eastAsia="zh-HK"/>
              </w:rPr>
              <w:t>t-statistics are reported in parentheses; *, **, and *** indicate significance at the 10%, 5% and 1% levels respectively.</w:t>
            </w:r>
          </w:p>
        </w:tc>
      </w:tr>
    </w:tbl>
    <w:p w14:paraId="5CFA96EE" w14:textId="77777777" w:rsidR="00157549" w:rsidRPr="00857AB7" w:rsidRDefault="00157549" w:rsidP="00157549">
      <w:pPr>
        <w:spacing w:after="0" w:line="260" w:lineRule="exact"/>
        <w:jc w:val="both"/>
        <w:rPr>
          <w:rFonts w:ascii="Times New Roman" w:eastAsiaTheme="minorEastAsia" w:hAnsi="Times New Roman"/>
          <w:sz w:val="20"/>
          <w:szCs w:val="20"/>
          <w:lang w:eastAsia="zh-HK"/>
        </w:rPr>
      </w:pPr>
    </w:p>
    <w:p w14:paraId="1CF7E2D6" w14:textId="77777777" w:rsidR="003818B4" w:rsidRPr="00157549" w:rsidRDefault="003818B4" w:rsidP="003818B4">
      <w:pPr>
        <w:spacing w:after="0" w:line="200" w:lineRule="exact"/>
        <w:jc w:val="both"/>
        <w:rPr>
          <w:rFonts w:ascii="Times New Roman" w:eastAsiaTheme="minorEastAsia" w:hAnsi="Times New Roman"/>
          <w:sz w:val="16"/>
          <w:szCs w:val="16"/>
          <w:lang w:eastAsia="zh-HK"/>
        </w:rPr>
      </w:pPr>
    </w:p>
    <w:p w14:paraId="2BD639A5" w14:textId="7B84124B" w:rsidR="00B550EF" w:rsidRPr="003818B4" w:rsidRDefault="00B550EF" w:rsidP="008E2B5A">
      <w:pPr>
        <w:spacing w:after="0" w:line="200" w:lineRule="exact"/>
        <w:jc w:val="center"/>
        <w:rPr>
          <w:rFonts w:ascii="Times New Roman" w:eastAsiaTheme="minorEastAsia" w:hAnsi="Times New Roman"/>
          <w:b/>
          <w:sz w:val="16"/>
          <w:szCs w:val="16"/>
          <w:lang w:eastAsia="zh-HK"/>
        </w:rPr>
      </w:pPr>
    </w:p>
    <w:p w14:paraId="14BED23E" w14:textId="53579624" w:rsidR="00B550EF" w:rsidRDefault="00B550EF" w:rsidP="008E2B5A">
      <w:pPr>
        <w:spacing w:after="0" w:line="200" w:lineRule="exact"/>
        <w:jc w:val="center"/>
        <w:rPr>
          <w:rFonts w:ascii="Times New Roman" w:eastAsiaTheme="minorEastAsia" w:hAnsi="Times New Roman"/>
          <w:b/>
          <w:sz w:val="16"/>
          <w:szCs w:val="16"/>
          <w:lang w:eastAsia="zh-HK"/>
        </w:rPr>
      </w:pPr>
    </w:p>
    <w:p w14:paraId="6227D50B" w14:textId="7E4178A2" w:rsidR="00B550EF" w:rsidRDefault="00B550EF" w:rsidP="008E2B5A">
      <w:pPr>
        <w:spacing w:after="0" w:line="200" w:lineRule="exact"/>
        <w:jc w:val="center"/>
        <w:rPr>
          <w:rFonts w:ascii="Times New Roman" w:eastAsiaTheme="minorEastAsia" w:hAnsi="Times New Roman"/>
          <w:b/>
          <w:sz w:val="16"/>
          <w:szCs w:val="16"/>
          <w:lang w:eastAsia="zh-HK"/>
        </w:rPr>
      </w:pPr>
    </w:p>
    <w:p w14:paraId="30BDE9B2" w14:textId="24100E7A" w:rsidR="00B550EF" w:rsidRDefault="00B550EF" w:rsidP="008E2B5A">
      <w:pPr>
        <w:spacing w:after="0" w:line="200" w:lineRule="exact"/>
        <w:jc w:val="center"/>
        <w:rPr>
          <w:rFonts w:ascii="Times New Roman" w:eastAsiaTheme="minorEastAsia" w:hAnsi="Times New Roman"/>
          <w:b/>
          <w:sz w:val="16"/>
          <w:szCs w:val="16"/>
          <w:lang w:eastAsia="zh-HK"/>
        </w:rPr>
      </w:pPr>
    </w:p>
    <w:p w14:paraId="170818D8" w14:textId="670281FE" w:rsidR="00B550EF" w:rsidRDefault="00B550EF" w:rsidP="008E2B5A">
      <w:pPr>
        <w:spacing w:after="0" w:line="200" w:lineRule="exact"/>
        <w:jc w:val="center"/>
        <w:rPr>
          <w:rFonts w:ascii="Times New Roman" w:eastAsiaTheme="minorEastAsia" w:hAnsi="Times New Roman"/>
          <w:b/>
          <w:sz w:val="16"/>
          <w:szCs w:val="16"/>
          <w:lang w:eastAsia="zh-HK"/>
        </w:rPr>
      </w:pPr>
    </w:p>
    <w:p w14:paraId="6641E7C7" w14:textId="58818650" w:rsidR="00B550EF" w:rsidRDefault="00B550EF" w:rsidP="008E2B5A">
      <w:pPr>
        <w:spacing w:after="0" w:line="200" w:lineRule="exact"/>
        <w:jc w:val="center"/>
        <w:rPr>
          <w:rFonts w:ascii="Times New Roman" w:eastAsiaTheme="minorEastAsia" w:hAnsi="Times New Roman"/>
          <w:b/>
          <w:sz w:val="16"/>
          <w:szCs w:val="16"/>
          <w:lang w:eastAsia="zh-HK"/>
        </w:rPr>
      </w:pPr>
    </w:p>
    <w:p w14:paraId="7C0A95FB" w14:textId="62231B8A" w:rsidR="00B550EF" w:rsidRDefault="00B550EF" w:rsidP="008E2B5A">
      <w:pPr>
        <w:spacing w:after="0" w:line="200" w:lineRule="exact"/>
        <w:jc w:val="center"/>
        <w:rPr>
          <w:rFonts w:ascii="Times New Roman" w:eastAsiaTheme="minorEastAsia" w:hAnsi="Times New Roman"/>
          <w:b/>
          <w:sz w:val="16"/>
          <w:szCs w:val="16"/>
          <w:lang w:eastAsia="zh-HK"/>
        </w:rPr>
      </w:pPr>
    </w:p>
    <w:p w14:paraId="77E463DB" w14:textId="77777777" w:rsidR="00B550EF" w:rsidRPr="00B550EF" w:rsidRDefault="00B550EF" w:rsidP="008E2B5A">
      <w:pPr>
        <w:spacing w:after="0" w:line="200" w:lineRule="exact"/>
        <w:jc w:val="center"/>
        <w:rPr>
          <w:rFonts w:ascii="Times New Roman" w:eastAsiaTheme="minorEastAsia" w:hAnsi="Times New Roman"/>
          <w:b/>
          <w:sz w:val="16"/>
          <w:szCs w:val="16"/>
          <w:lang w:eastAsia="zh-HK"/>
        </w:rPr>
      </w:pPr>
    </w:p>
    <w:p w14:paraId="554B77A7" w14:textId="77777777" w:rsidR="003E6282" w:rsidRPr="00B86E32" w:rsidRDefault="003E6282" w:rsidP="008E2B5A">
      <w:pPr>
        <w:spacing w:after="0" w:line="200" w:lineRule="exact"/>
        <w:rPr>
          <w:rFonts w:ascii="Times New Roman" w:eastAsiaTheme="minorEastAsia" w:hAnsi="Times New Roman"/>
          <w:sz w:val="16"/>
          <w:szCs w:val="16"/>
          <w:lang w:eastAsia="zh-HK"/>
        </w:rPr>
      </w:pPr>
      <w:r w:rsidRPr="00B86E32">
        <w:rPr>
          <w:rFonts w:ascii="Times New Roman" w:eastAsiaTheme="minorEastAsia" w:hAnsi="Times New Roman"/>
          <w:sz w:val="16"/>
          <w:szCs w:val="16"/>
          <w:lang w:eastAsia="zh-HK"/>
        </w:rPr>
        <w:br w:type="page"/>
      </w:r>
    </w:p>
    <w:p w14:paraId="50A91C8E" w14:textId="7A63C2F9" w:rsidR="00635365" w:rsidRDefault="00716971" w:rsidP="002A5AD2">
      <w:pPr>
        <w:spacing w:after="0" w:line="200" w:lineRule="exact"/>
        <w:jc w:val="center"/>
        <w:rPr>
          <w:rFonts w:ascii="Times New Roman" w:hAnsi="Times New Roman"/>
          <w:b/>
          <w:sz w:val="16"/>
          <w:szCs w:val="16"/>
          <w:lang w:eastAsia="zh-HK"/>
        </w:rPr>
      </w:pPr>
      <w:r w:rsidRPr="00716971">
        <w:rPr>
          <w:rFonts w:ascii="Times New Roman" w:hAnsi="Times New Roman"/>
          <w:b/>
          <w:sz w:val="16"/>
          <w:szCs w:val="16"/>
          <w:lang w:eastAsia="zh-HK"/>
        </w:rPr>
        <w:lastRenderedPageBreak/>
        <w:t xml:space="preserve">Table </w:t>
      </w:r>
      <w:r w:rsidR="002A5AD2">
        <w:rPr>
          <w:rFonts w:ascii="Times New Roman" w:hAnsi="Times New Roman"/>
          <w:b/>
          <w:sz w:val="16"/>
          <w:szCs w:val="16"/>
          <w:lang w:eastAsia="zh-HK"/>
        </w:rPr>
        <w:t>V</w:t>
      </w:r>
      <w:r>
        <w:rPr>
          <w:rFonts w:ascii="Times New Roman" w:eastAsiaTheme="minorEastAsia" w:hAnsi="Times New Roman" w:hint="eastAsia"/>
          <w:b/>
          <w:sz w:val="16"/>
          <w:szCs w:val="16"/>
          <w:lang w:eastAsia="zh-HK"/>
        </w:rPr>
        <w:t xml:space="preserve">. </w:t>
      </w:r>
      <w:r w:rsidR="002A5AD2">
        <w:rPr>
          <w:rFonts w:ascii="Times New Roman" w:hAnsi="Times New Roman"/>
          <w:b/>
          <w:sz w:val="16"/>
          <w:szCs w:val="16"/>
          <w:lang w:eastAsia="zh-HK"/>
        </w:rPr>
        <w:t>Baseline regression of systemic risks</w:t>
      </w:r>
      <w:r w:rsidR="00B23B5E">
        <w:rPr>
          <w:rFonts w:ascii="Times New Roman" w:hAnsi="Times New Roman"/>
          <w:b/>
          <w:sz w:val="16"/>
          <w:szCs w:val="16"/>
          <w:lang w:eastAsia="zh-HK"/>
        </w:rPr>
        <w:t xml:space="preserve"> on the whole sample</w:t>
      </w:r>
    </w:p>
    <w:p w14:paraId="01E29D97" w14:textId="77777777" w:rsidR="002A5AD2" w:rsidRPr="00A32F46" w:rsidRDefault="002A5AD2" w:rsidP="002A5AD2">
      <w:pPr>
        <w:spacing w:after="0" w:line="200" w:lineRule="exact"/>
        <w:jc w:val="center"/>
        <w:rPr>
          <w:rFonts w:ascii="Times New Roman" w:eastAsiaTheme="minorEastAsia" w:hAnsi="Times New Roman"/>
          <w:b/>
          <w:sz w:val="16"/>
          <w:szCs w:val="16"/>
          <w:lang w:eastAsia="zh-HK"/>
        </w:rPr>
      </w:pPr>
    </w:p>
    <w:tbl>
      <w:tblPr>
        <w:tblStyle w:val="TableGrid"/>
        <w:tblW w:w="720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710"/>
        <w:gridCol w:w="1620"/>
        <w:gridCol w:w="1530"/>
      </w:tblGrid>
      <w:tr w:rsidR="00716971" w:rsidRPr="00716971" w14:paraId="395E17D7" w14:textId="77777777" w:rsidTr="00494AD4">
        <w:tc>
          <w:tcPr>
            <w:tcW w:w="2340" w:type="dxa"/>
          </w:tcPr>
          <w:p w14:paraId="661EDA91" w14:textId="77777777" w:rsidR="00716971" w:rsidRPr="00716971" w:rsidRDefault="00716971" w:rsidP="00716971">
            <w:pPr>
              <w:spacing w:after="0" w:line="200" w:lineRule="exact"/>
              <w:jc w:val="center"/>
              <w:rPr>
                <w:rFonts w:ascii="Times New Roman" w:hAnsi="Times New Roman"/>
                <w:sz w:val="16"/>
                <w:szCs w:val="16"/>
              </w:rPr>
            </w:pPr>
          </w:p>
        </w:tc>
        <w:tc>
          <w:tcPr>
            <w:tcW w:w="4860" w:type="dxa"/>
            <w:gridSpan w:val="3"/>
            <w:tcBorders>
              <w:top w:val="single" w:sz="4" w:space="0" w:color="auto"/>
              <w:bottom w:val="single" w:sz="4" w:space="0" w:color="auto"/>
            </w:tcBorders>
          </w:tcPr>
          <w:p w14:paraId="48B3EB7E" w14:textId="77777777" w:rsidR="00716971" w:rsidRPr="00716971" w:rsidRDefault="00716971" w:rsidP="00716971">
            <w:pPr>
              <w:spacing w:after="0" w:line="200" w:lineRule="exact"/>
              <w:jc w:val="center"/>
              <w:rPr>
                <w:rFonts w:ascii="Times New Roman" w:hAnsi="Times New Roman"/>
                <w:sz w:val="16"/>
                <w:szCs w:val="16"/>
              </w:rPr>
            </w:pPr>
            <w:r w:rsidRPr="00716971">
              <w:rPr>
                <w:rFonts w:ascii="Times New Roman" w:hAnsi="Times New Roman"/>
                <w:sz w:val="16"/>
                <w:szCs w:val="16"/>
              </w:rPr>
              <w:t>Dependent variable</w:t>
            </w:r>
          </w:p>
        </w:tc>
      </w:tr>
      <w:tr w:rsidR="002A5AD2" w:rsidRPr="00716971" w14:paraId="154B5F02" w14:textId="77777777" w:rsidTr="00494AD4">
        <w:tc>
          <w:tcPr>
            <w:tcW w:w="2340" w:type="dxa"/>
            <w:tcBorders>
              <w:bottom w:val="nil"/>
            </w:tcBorders>
          </w:tcPr>
          <w:p w14:paraId="69C56F7D" w14:textId="77777777" w:rsidR="002A5AD2" w:rsidRPr="00716971" w:rsidRDefault="002A5AD2" w:rsidP="00716971">
            <w:pPr>
              <w:spacing w:after="0" w:line="200" w:lineRule="exact"/>
              <w:jc w:val="center"/>
              <w:rPr>
                <w:rFonts w:ascii="Times New Roman" w:hAnsi="Times New Roman"/>
                <w:sz w:val="16"/>
                <w:szCs w:val="16"/>
              </w:rPr>
            </w:pPr>
          </w:p>
        </w:tc>
        <w:tc>
          <w:tcPr>
            <w:tcW w:w="1710" w:type="dxa"/>
            <w:tcBorders>
              <w:top w:val="single" w:sz="4" w:space="0" w:color="auto"/>
              <w:bottom w:val="nil"/>
              <w:right w:val="nil"/>
            </w:tcBorders>
          </w:tcPr>
          <w:p w14:paraId="4B2DD12A" w14:textId="5D5B6E51" w:rsidR="002A5AD2" w:rsidRPr="00716971" w:rsidRDefault="002A5AD2" w:rsidP="00716971">
            <w:pPr>
              <w:spacing w:after="0" w:line="200" w:lineRule="exact"/>
              <w:jc w:val="center"/>
              <w:rPr>
                <w:rFonts w:ascii="Times New Roman" w:hAnsi="Times New Roman"/>
                <w:sz w:val="16"/>
                <w:szCs w:val="16"/>
              </w:rPr>
            </w:pPr>
            <w:r>
              <w:rPr>
                <w:rFonts w:ascii="Times New Roman" w:hAnsi="Times New Roman"/>
                <w:sz w:val="16"/>
                <w:szCs w:val="16"/>
              </w:rPr>
              <w:t>MES (%)</w:t>
            </w:r>
          </w:p>
        </w:tc>
        <w:tc>
          <w:tcPr>
            <w:tcW w:w="1620" w:type="dxa"/>
            <w:tcBorders>
              <w:top w:val="single" w:sz="4" w:space="0" w:color="auto"/>
              <w:left w:val="nil"/>
              <w:bottom w:val="nil"/>
              <w:right w:val="nil"/>
            </w:tcBorders>
          </w:tcPr>
          <w:p w14:paraId="37BE1339" w14:textId="24AE4340" w:rsidR="002A5AD2" w:rsidRPr="002A5AD2" w:rsidRDefault="002A5AD2" w:rsidP="00716971">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SRISK</w:t>
            </w:r>
            <w:r>
              <w:rPr>
                <w:rFonts w:ascii="Times New Roman" w:eastAsiaTheme="minorEastAsia" w:hAnsi="Times New Roman"/>
                <w:sz w:val="16"/>
                <w:szCs w:val="16"/>
                <w:lang w:eastAsia="zh-TW"/>
              </w:rPr>
              <w:t xml:space="preserve"> (in billions)</w:t>
            </w:r>
          </w:p>
        </w:tc>
        <w:tc>
          <w:tcPr>
            <w:tcW w:w="1530" w:type="dxa"/>
            <w:tcBorders>
              <w:top w:val="single" w:sz="4" w:space="0" w:color="auto"/>
              <w:left w:val="nil"/>
              <w:bottom w:val="nil"/>
            </w:tcBorders>
          </w:tcPr>
          <w:p w14:paraId="11F438D1" w14:textId="50B3C2CD" w:rsidR="002A5AD2" w:rsidRPr="00716971" w:rsidRDefault="00523984" w:rsidP="002A5AD2">
            <w:pPr>
              <w:spacing w:after="0" w:line="200" w:lineRule="exact"/>
              <w:jc w:val="center"/>
              <w:rPr>
                <w:rFonts w:ascii="Times New Roman" w:hAnsi="Times New Roman"/>
                <w:sz w:val="16"/>
                <w:szCs w:val="16"/>
              </w:rPr>
            </w:pPr>
            <w:proofErr w:type="spellStart"/>
            <w:r>
              <w:rPr>
                <w:rFonts w:ascii="Times New Roman" w:hAnsi="Times New Roman"/>
                <w:sz w:val="16"/>
                <w:szCs w:val="16"/>
                <w:lang w:eastAsia="zh-HK"/>
              </w:rPr>
              <w:t>Δ</w:t>
            </w:r>
            <w:r w:rsidR="002A5AD2">
              <w:rPr>
                <w:rFonts w:ascii="Times New Roman" w:hAnsi="Times New Roman"/>
                <w:sz w:val="16"/>
                <w:szCs w:val="16"/>
                <w:lang w:eastAsia="zh-HK"/>
              </w:rPr>
              <w:t>CoVAR</w:t>
            </w:r>
            <w:proofErr w:type="spellEnd"/>
            <w:r w:rsidR="002A5AD2">
              <w:rPr>
                <w:rFonts w:ascii="Times New Roman" w:hAnsi="Times New Roman"/>
                <w:sz w:val="16"/>
                <w:szCs w:val="16"/>
                <w:lang w:eastAsia="zh-HK"/>
              </w:rPr>
              <w:t xml:space="preserve"> (%)</w:t>
            </w:r>
          </w:p>
        </w:tc>
      </w:tr>
      <w:tr w:rsidR="002A5AD2" w:rsidRPr="00716971" w14:paraId="01E3E199" w14:textId="77777777" w:rsidTr="00494AD4">
        <w:tc>
          <w:tcPr>
            <w:tcW w:w="2340" w:type="dxa"/>
            <w:tcBorders>
              <w:top w:val="nil"/>
              <w:bottom w:val="single" w:sz="4" w:space="0" w:color="auto"/>
            </w:tcBorders>
          </w:tcPr>
          <w:p w14:paraId="0788824F" w14:textId="77777777" w:rsidR="002A5AD2" w:rsidRPr="00716971" w:rsidRDefault="002A5AD2" w:rsidP="00716971">
            <w:pPr>
              <w:spacing w:after="0" w:line="200" w:lineRule="exact"/>
              <w:jc w:val="center"/>
              <w:rPr>
                <w:rFonts w:ascii="Times New Roman" w:hAnsi="Times New Roman"/>
                <w:sz w:val="16"/>
                <w:szCs w:val="16"/>
              </w:rPr>
            </w:pPr>
          </w:p>
        </w:tc>
        <w:tc>
          <w:tcPr>
            <w:tcW w:w="1710" w:type="dxa"/>
            <w:tcBorders>
              <w:top w:val="nil"/>
              <w:bottom w:val="single" w:sz="4" w:space="0" w:color="auto"/>
              <w:right w:val="nil"/>
            </w:tcBorders>
          </w:tcPr>
          <w:p w14:paraId="1AFBB51E" w14:textId="77777777" w:rsidR="002A5AD2" w:rsidRPr="00716971" w:rsidRDefault="002A5AD2" w:rsidP="00716971">
            <w:pPr>
              <w:spacing w:after="0" w:line="200" w:lineRule="exact"/>
              <w:jc w:val="center"/>
              <w:rPr>
                <w:rFonts w:ascii="Times New Roman" w:hAnsi="Times New Roman"/>
                <w:sz w:val="16"/>
                <w:szCs w:val="16"/>
              </w:rPr>
            </w:pPr>
            <w:r w:rsidRPr="00716971">
              <w:rPr>
                <w:rFonts w:ascii="Times New Roman" w:hAnsi="Times New Roman"/>
                <w:sz w:val="16"/>
                <w:szCs w:val="16"/>
              </w:rPr>
              <w:t>(1)</w:t>
            </w:r>
          </w:p>
        </w:tc>
        <w:tc>
          <w:tcPr>
            <w:tcW w:w="1620" w:type="dxa"/>
            <w:tcBorders>
              <w:top w:val="nil"/>
              <w:left w:val="nil"/>
              <w:bottom w:val="single" w:sz="4" w:space="0" w:color="auto"/>
              <w:right w:val="nil"/>
            </w:tcBorders>
          </w:tcPr>
          <w:p w14:paraId="455FFE04" w14:textId="213A9302" w:rsidR="002A5AD2" w:rsidRPr="00716971" w:rsidRDefault="002A5AD2" w:rsidP="002A5AD2">
            <w:pPr>
              <w:spacing w:after="0" w:line="200" w:lineRule="exact"/>
              <w:jc w:val="center"/>
              <w:rPr>
                <w:rFonts w:ascii="Times New Roman" w:hAnsi="Times New Roman"/>
                <w:sz w:val="16"/>
                <w:szCs w:val="16"/>
              </w:rPr>
            </w:pPr>
            <w:r w:rsidRPr="00716971">
              <w:rPr>
                <w:rFonts w:ascii="Times New Roman" w:hAnsi="Times New Roman"/>
                <w:sz w:val="16"/>
                <w:szCs w:val="16"/>
              </w:rPr>
              <w:t>(</w:t>
            </w:r>
            <w:r>
              <w:rPr>
                <w:rFonts w:ascii="Times New Roman" w:hAnsi="Times New Roman"/>
                <w:sz w:val="16"/>
                <w:szCs w:val="16"/>
              </w:rPr>
              <w:t>2</w:t>
            </w:r>
            <w:r w:rsidRPr="00716971">
              <w:rPr>
                <w:rFonts w:ascii="Times New Roman" w:hAnsi="Times New Roman"/>
                <w:sz w:val="16"/>
                <w:szCs w:val="16"/>
              </w:rPr>
              <w:t>)</w:t>
            </w:r>
          </w:p>
        </w:tc>
        <w:tc>
          <w:tcPr>
            <w:tcW w:w="1530" w:type="dxa"/>
            <w:tcBorders>
              <w:top w:val="nil"/>
              <w:left w:val="nil"/>
              <w:bottom w:val="single" w:sz="4" w:space="0" w:color="auto"/>
            </w:tcBorders>
          </w:tcPr>
          <w:p w14:paraId="0EA0A930" w14:textId="77777777" w:rsidR="002A5AD2" w:rsidRPr="00716971" w:rsidRDefault="002A5AD2" w:rsidP="00716971">
            <w:pPr>
              <w:spacing w:after="0" w:line="200" w:lineRule="exact"/>
              <w:jc w:val="center"/>
              <w:rPr>
                <w:rFonts w:ascii="Times New Roman" w:hAnsi="Times New Roman"/>
                <w:sz w:val="16"/>
                <w:szCs w:val="16"/>
              </w:rPr>
            </w:pPr>
            <w:r w:rsidRPr="00716971">
              <w:rPr>
                <w:rFonts w:ascii="Times New Roman" w:hAnsi="Times New Roman"/>
                <w:sz w:val="16"/>
                <w:szCs w:val="16"/>
              </w:rPr>
              <w:t>(3)</w:t>
            </w:r>
          </w:p>
        </w:tc>
      </w:tr>
      <w:tr w:rsidR="00BB5EB8" w:rsidRPr="00716971" w14:paraId="7FC46017" w14:textId="77777777" w:rsidTr="00D44830">
        <w:tc>
          <w:tcPr>
            <w:tcW w:w="2340" w:type="dxa"/>
            <w:tcBorders>
              <w:top w:val="single" w:sz="4" w:space="0" w:color="auto"/>
            </w:tcBorders>
          </w:tcPr>
          <w:p w14:paraId="1E52628E" w14:textId="54A9FAFE" w:rsidR="00BB5EB8" w:rsidRPr="002A5AD2" w:rsidRDefault="00BB5EB8" w:rsidP="00BB5EB8">
            <w:pPr>
              <w:spacing w:after="0" w:line="200" w:lineRule="exact"/>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 xml:space="preserve">Policy </w:t>
            </w:r>
            <w:r>
              <w:rPr>
                <w:rFonts w:ascii="Times New Roman" w:eastAsiaTheme="minorEastAsia" w:hAnsi="Times New Roman"/>
                <w:sz w:val="16"/>
                <w:szCs w:val="16"/>
                <w:lang w:eastAsia="zh-TW"/>
              </w:rPr>
              <w:t>x GSII</w:t>
            </w:r>
          </w:p>
        </w:tc>
        <w:tc>
          <w:tcPr>
            <w:tcW w:w="1710" w:type="dxa"/>
            <w:tcBorders>
              <w:top w:val="single" w:sz="4" w:space="0" w:color="auto"/>
              <w:right w:val="nil"/>
            </w:tcBorders>
            <w:vAlign w:val="center"/>
          </w:tcPr>
          <w:p w14:paraId="4F84065A" w14:textId="4ED804DB"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-0.68</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w:t>
            </w:r>
          </w:p>
          <w:p w14:paraId="44A36218" w14:textId="174BBC50"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(-4.36)</w:t>
            </w:r>
          </w:p>
        </w:tc>
        <w:tc>
          <w:tcPr>
            <w:tcW w:w="1620" w:type="dxa"/>
            <w:tcBorders>
              <w:top w:val="single" w:sz="4" w:space="0" w:color="auto"/>
              <w:left w:val="nil"/>
              <w:right w:val="nil"/>
            </w:tcBorders>
            <w:vAlign w:val="center"/>
          </w:tcPr>
          <w:p w14:paraId="3547457F" w14:textId="77360B3C"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-7.99</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w:t>
            </w:r>
          </w:p>
          <w:p w14:paraId="02EE9885" w14:textId="0237E48A"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(-1.88)</w:t>
            </w:r>
          </w:p>
        </w:tc>
        <w:tc>
          <w:tcPr>
            <w:tcW w:w="1530" w:type="dxa"/>
            <w:tcBorders>
              <w:top w:val="single" w:sz="4" w:space="0" w:color="auto"/>
              <w:left w:val="nil"/>
            </w:tcBorders>
            <w:vAlign w:val="center"/>
          </w:tcPr>
          <w:p w14:paraId="5210BCCD"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0.214*** </w:t>
            </w:r>
          </w:p>
          <w:p w14:paraId="2BD4B743" w14:textId="7BC8667D"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(3.87)</w:t>
            </w:r>
          </w:p>
        </w:tc>
      </w:tr>
      <w:tr w:rsidR="00BB5EB8" w:rsidRPr="00716971" w14:paraId="47F15980" w14:textId="77777777" w:rsidTr="00D44830">
        <w:tc>
          <w:tcPr>
            <w:tcW w:w="2340" w:type="dxa"/>
          </w:tcPr>
          <w:p w14:paraId="2BA7600C" w14:textId="64E45F19" w:rsidR="00BB5EB8" w:rsidRPr="00716971" w:rsidRDefault="00BB5EB8" w:rsidP="00BB5EB8">
            <w:pPr>
              <w:spacing w:after="0" w:line="200" w:lineRule="exact"/>
              <w:rPr>
                <w:rFonts w:ascii="Times New Roman" w:hAnsi="Times New Roman"/>
                <w:sz w:val="16"/>
                <w:szCs w:val="16"/>
                <w:lang w:eastAsia="zh-HK"/>
              </w:rPr>
            </w:pPr>
            <w:r w:rsidRPr="003E7C25">
              <w:rPr>
                <w:rFonts w:ascii="Times New Roman" w:hAnsi="Times New Roman"/>
                <w:sz w:val="16"/>
                <w:szCs w:val="16"/>
                <w:lang w:eastAsia="zh-HK"/>
              </w:rPr>
              <w:t>Log (Assets in billions)</w:t>
            </w:r>
          </w:p>
        </w:tc>
        <w:tc>
          <w:tcPr>
            <w:tcW w:w="1710" w:type="dxa"/>
            <w:tcBorders>
              <w:right w:val="nil"/>
            </w:tcBorders>
            <w:vAlign w:val="center"/>
          </w:tcPr>
          <w:p w14:paraId="62B7F7A7"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0.177 </w:t>
            </w:r>
          </w:p>
          <w:p w14:paraId="4F1C726B" w14:textId="543725F5"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(1.04)</w:t>
            </w:r>
          </w:p>
        </w:tc>
        <w:tc>
          <w:tcPr>
            <w:tcW w:w="1620" w:type="dxa"/>
            <w:tcBorders>
              <w:left w:val="nil"/>
              <w:right w:val="nil"/>
            </w:tcBorders>
            <w:vAlign w:val="center"/>
          </w:tcPr>
          <w:p w14:paraId="49542ECF"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3.972** </w:t>
            </w:r>
          </w:p>
          <w:p w14:paraId="115E4658" w14:textId="35383BA0"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(2.72)</w:t>
            </w:r>
          </w:p>
        </w:tc>
        <w:tc>
          <w:tcPr>
            <w:tcW w:w="1530" w:type="dxa"/>
            <w:tcBorders>
              <w:left w:val="nil"/>
            </w:tcBorders>
            <w:vAlign w:val="center"/>
          </w:tcPr>
          <w:p w14:paraId="3FBEB496"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-0.163** </w:t>
            </w:r>
          </w:p>
          <w:p w14:paraId="68BD5EC8" w14:textId="5AE5DF91"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(-2.44)</w:t>
            </w:r>
          </w:p>
        </w:tc>
      </w:tr>
      <w:tr w:rsidR="00BB5EB8" w:rsidRPr="00716971" w14:paraId="6588A3BE" w14:textId="77777777" w:rsidTr="00D44830">
        <w:tc>
          <w:tcPr>
            <w:tcW w:w="2340" w:type="dxa"/>
          </w:tcPr>
          <w:p w14:paraId="1103624A" w14:textId="742C024A" w:rsidR="00BB5EB8" w:rsidRPr="00716971" w:rsidRDefault="00BB5EB8" w:rsidP="00BB5EB8">
            <w:pPr>
              <w:spacing w:after="0" w:line="200" w:lineRule="exact"/>
              <w:rPr>
                <w:rFonts w:ascii="Times New Roman" w:hAnsi="Times New Roman"/>
                <w:sz w:val="16"/>
                <w:szCs w:val="16"/>
              </w:rPr>
            </w:pPr>
            <w:r w:rsidRPr="003E7C25">
              <w:rPr>
                <w:rFonts w:ascii="Times New Roman" w:hAnsi="Times New Roman"/>
                <w:sz w:val="16"/>
                <w:szCs w:val="16"/>
              </w:rPr>
              <w:t>Leverage</w:t>
            </w:r>
          </w:p>
        </w:tc>
        <w:tc>
          <w:tcPr>
            <w:tcW w:w="1710" w:type="dxa"/>
            <w:tcBorders>
              <w:right w:val="nil"/>
            </w:tcBorders>
            <w:vAlign w:val="center"/>
          </w:tcPr>
          <w:p w14:paraId="22D94DDC"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0.029*** </w:t>
            </w:r>
          </w:p>
          <w:p w14:paraId="72725DF7" w14:textId="69B3693E"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(11.34)</w:t>
            </w:r>
          </w:p>
        </w:tc>
        <w:tc>
          <w:tcPr>
            <w:tcW w:w="1620" w:type="dxa"/>
            <w:tcBorders>
              <w:left w:val="nil"/>
              <w:right w:val="nil"/>
            </w:tcBorders>
            <w:vAlign w:val="center"/>
          </w:tcPr>
          <w:p w14:paraId="2F1E4A65"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0.195*** </w:t>
            </w:r>
          </w:p>
          <w:p w14:paraId="12790A3B" w14:textId="69A9B8AA"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(4.36)</w:t>
            </w:r>
          </w:p>
        </w:tc>
        <w:tc>
          <w:tcPr>
            <w:tcW w:w="1530" w:type="dxa"/>
            <w:tcBorders>
              <w:left w:val="nil"/>
            </w:tcBorders>
            <w:vAlign w:val="center"/>
          </w:tcPr>
          <w:p w14:paraId="4CE77E14"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0.002** </w:t>
            </w:r>
          </w:p>
          <w:p w14:paraId="7B1733B7" w14:textId="74ED411A"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(2.32)</w:t>
            </w:r>
          </w:p>
        </w:tc>
      </w:tr>
      <w:tr w:rsidR="00BB5EB8" w:rsidRPr="00716971" w14:paraId="78FED68D" w14:textId="77777777" w:rsidTr="00D44830">
        <w:tc>
          <w:tcPr>
            <w:tcW w:w="2340" w:type="dxa"/>
          </w:tcPr>
          <w:p w14:paraId="45FEA4FD" w14:textId="4D70562E" w:rsidR="00BB5EB8" w:rsidRPr="00716971" w:rsidRDefault="00BB5EB8" w:rsidP="00BB5EB8">
            <w:pPr>
              <w:spacing w:after="0" w:line="200" w:lineRule="exact"/>
              <w:rPr>
                <w:rFonts w:ascii="Times New Roman" w:hAnsi="Times New Roman"/>
                <w:sz w:val="16"/>
                <w:szCs w:val="16"/>
              </w:rPr>
            </w:pPr>
            <w:r w:rsidRPr="003E7C25">
              <w:rPr>
                <w:rFonts w:ascii="Times New Roman" w:hAnsi="Times New Roman"/>
                <w:sz w:val="16"/>
                <w:szCs w:val="16"/>
              </w:rPr>
              <w:t>Non-insurance activities</w:t>
            </w:r>
          </w:p>
        </w:tc>
        <w:tc>
          <w:tcPr>
            <w:tcW w:w="1710" w:type="dxa"/>
            <w:tcBorders>
              <w:right w:val="nil"/>
            </w:tcBorders>
            <w:vAlign w:val="center"/>
          </w:tcPr>
          <w:p w14:paraId="201018C4"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-0.056 </w:t>
            </w:r>
          </w:p>
          <w:p w14:paraId="52EBB0D0" w14:textId="5F461E95"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(-0.48)</w:t>
            </w:r>
          </w:p>
        </w:tc>
        <w:tc>
          <w:tcPr>
            <w:tcW w:w="1620" w:type="dxa"/>
            <w:tcBorders>
              <w:left w:val="nil"/>
              <w:right w:val="nil"/>
            </w:tcBorders>
            <w:vAlign w:val="center"/>
          </w:tcPr>
          <w:p w14:paraId="5EA8DDB5"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2.243* </w:t>
            </w:r>
          </w:p>
          <w:p w14:paraId="702B52B3" w14:textId="4BFDB22A"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(1.83)</w:t>
            </w:r>
          </w:p>
        </w:tc>
        <w:tc>
          <w:tcPr>
            <w:tcW w:w="1530" w:type="dxa"/>
            <w:tcBorders>
              <w:left w:val="nil"/>
            </w:tcBorders>
            <w:vAlign w:val="center"/>
          </w:tcPr>
          <w:p w14:paraId="0BED3E4C"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-0.009 </w:t>
            </w:r>
          </w:p>
          <w:p w14:paraId="18DAC6BE" w14:textId="77F1A253"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w:t>
            </w:r>
          </w:p>
        </w:tc>
      </w:tr>
      <w:tr w:rsidR="00BB5EB8" w:rsidRPr="00716971" w14:paraId="29AEABF3" w14:textId="77777777" w:rsidTr="00D44830">
        <w:tc>
          <w:tcPr>
            <w:tcW w:w="2340" w:type="dxa"/>
          </w:tcPr>
          <w:p w14:paraId="6379E0C6" w14:textId="3EB10C84" w:rsidR="00BB5EB8" w:rsidRPr="00716971" w:rsidRDefault="00BB5EB8" w:rsidP="00BB5EB8">
            <w:pPr>
              <w:spacing w:after="0" w:line="200" w:lineRule="exact"/>
              <w:rPr>
                <w:rFonts w:ascii="Times New Roman" w:hAnsi="Times New Roman"/>
                <w:sz w:val="16"/>
                <w:szCs w:val="16"/>
              </w:rPr>
            </w:pPr>
            <w:r w:rsidRPr="003E7C25">
              <w:rPr>
                <w:rFonts w:ascii="Times New Roman" w:hAnsi="Times New Roman"/>
                <w:sz w:val="16"/>
                <w:szCs w:val="16"/>
              </w:rPr>
              <w:t>Other incomes</w:t>
            </w:r>
          </w:p>
        </w:tc>
        <w:tc>
          <w:tcPr>
            <w:tcW w:w="1710" w:type="dxa"/>
            <w:tcBorders>
              <w:right w:val="nil"/>
            </w:tcBorders>
            <w:vAlign w:val="center"/>
          </w:tcPr>
          <w:p w14:paraId="1A181C52"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-1.56</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w:t>
            </w:r>
          </w:p>
          <w:p w14:paraId="7EC1C45B" w14:textId="1ABE859A"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(-0.91)</w:t>
            </w:r>
          </w:p>
        </w:tc>
        <w:tc>
          <w:tcPr>
            <w:tcW w:w="1620" w:type="dxa"/>
            <w:tcBorders>
              <w:left w:val="nil"/>
              <w:right w:val="nil"/>
            </w:tcBorders>
            <w:vAlign w:val="center"/>
          </w:tcPr>
          <w:p w14:paraId="639A26DC"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4.206 </w:t>
            </w:r>
          </w:p>
          <w:p w14:paraId="3674069B" w14:textId="43565F7D"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(0.89)</w:t>
            </w:r>
          </w:p>
        </w:tc>
        <w:tc>
          <w:tcPr>
            <w:tcW w:w="1530" w:type="dxa"/>
            <w:tcBorders>
              <w:left w:val="nil"/>
            </w:tcBorders>
            <w:vAlign w:val="center"/>
          </w:tcPr>
          <w:p w14:paraId="59BC836E"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0.778** </w:t>
            </w:r>
          </w:p>
          <w:p w14:paraId="36059978" w14:textId="63F8C578"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(2.67)</w:t>
            </w:r>
          </w:p>
        </w:tc>
      </w:tr>
      <w:tr w:rsidR="00BB5EB8" w:rsidRPr="00716971" w14:paraId="1A7B2A68" w14:textId="77777777" w:rsidTr="00D44830">
        <w:tc>
          <w:tcPr>
            <w:tcW w:w="2340" w:type="dxa"/>
          </w:tcPr>
          <w:p w14:paraId="2D07442C" w14:textId="0FE543A3" w:rsidR="00BB5EB8" w:rsidRPr="00716971" w:rsidRDefault="00BB5EB8" w:rsidP="00BB5EB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Global activities</w:t>
            </w:r>
          </w:p>
        </w:tc>
        <w:tc>
          <w:tcPr>
            <w:tcW w:w="1710" w:type="dxa"/>
            <w:tcBorders>
              <w:right w:val="nil"/>
            </w:tcBorders>
            <w:vAlign w:val="center"/>
          </w:tcPr>
          <w:p w14:paraId="2D0E1E64"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0.464 </w:t>
            </w:r>
          </w:p>
          <w:p w14:paraId="4697B096" w14:textId="54431875"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(1.33)</w:t>
            </w:r>
          </w:p>
        </w:tc>
        <w:tc>
          <w:tcPr>
            <w:tcW w:w="1620" w:type="dxa"/>
            <w:tcBorders>
              <w:left w:val="nil"/>
              <w:right w:val="nil"/>
            </w:tcBorders>
            <w:vAlign w:val="center"/>
          </w:tcPr>
          <w:p w14:paraId="2E5D1BD3"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1.098 </w:t>
            </w:r>
          </w:p>
          <w:p w14:paraId="6D81D8CB" w14:textId="407A495C"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(0.64)</w:t>
            </w:r>
          </w:p>
        </w:tc>
        <w:tc>
          <w:tcPr>
            <w:tcW w:w="1530" w:type="dxa"/>
            <w:tcBorders>
              <w:left w:val="nil"/>
            </w:tcBorders>
            <w:vAlign w:val="center"/>
          </w:tcPr>
          <w:p w14:paraId="3814F15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0.062 </w:t>
            </w:r>
          </w:p>
          <w:p w14:paraId="68301675" w14:textId="6E9A7F5C"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(0.55)</w:t>
            </w:r>
          </w:p>
        </w:tc>
      </w:tr>
      <w:tr w:rsidR="00BB5EB8" w:rsidRPr="00716971" w14:paraId="0361726A" w14:textId="77777777" w:rsidTr="00D44830">
        <w:tc>
          <w:tcPr>
            <w:tcW w:w="2340" w:type="dxa"/>
          </w:tcPr>
          <w:p w14:paraId="02168FD5" w14:textId="34E50750" w:rsidR="00BB5EB8" w:rsidRPr="00716971" w:rsidRDefault="00BB5EB8" w:rsidP="00BB5EB8">
            <w:pPr>
              <w:spacing w:after="0" w:line="200" w:lineRule="exact"/>
              <w:rPr>
                <w:rFonts w:ascii="Times New Roman" w:hAnsi="Times New Roman"/>
                <w:sz w:val="16"/>
                <w:szCs w:val="16"/>
                <w:lang w:eastAsia="zh-HK"/>
              </w:rPr>
            </w:pPr>
            <w:r w:rsidRPr="003E7C25">
              <w:rPr>
                <w:rFonts w:ascii="Times New Roman" w:hAnsi="Times New Roman"/>
                <w:sz w:val="16"/>
                <w:szCs w:val="16"/>
                <w:lang w:eastAsia="zh-HK"/>
              </w:rPr>
              <w:t>Liquidity</w:t>
            </w:r>
          </w:p>
        </w:tc>
        <w:tc>
          <w:tcPr>
            <w:tcW w:w="1710" w:type="dxa"/>
            <w:tcBorders>
              <w:right w:val="nil"/>
            </w:tcBorders>
            <w:vAlign w:val="center"/>
          </w:tcPr>
          <w:p w14:paraId="172AE10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-0.124 </w:t>
            </w:r>
          </w:p>
          <w:p w14:paraId="36988CC3" w14:textId="4891A9C6"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(-0.52)</w:t>
            </w:r>
          </w:p>
        </w:tc>
        <w:tc>
          <w:tcPr>
            <w:tcW w:w="1620" w:type="dxa"/>
            <w:tcBorders>
              <w:left w:val="nil"/>
              <w:right w:val="nil"/>
            </w:tcBorders>
            <w:vAlign w:val="center"/>
          </w:tcPr>
          <w:p w14:paraId="4BEF6F94"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-0.465 </w:t>
            </w:r>
          </w:p>
          <w:p w14:paraId="155CD908" w14:textId="191EC16F"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(-0.44)</w:t>
            </w:r>
          </w:p>
        </w:tc>
        <w:tc>
          <w:tcPr>
            <w:tcW w:w="1530" w:type="dxa"/>
            <w:tcBorders>
              <w:left w:val="nil"/>
            </w:tcBorders>
            <w:vAlign w:val="center"/>
          </w:tcPr>
          <w:p w14:paraId="49EC6E2C"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0.011 </w:t>
            </w:r>
          </w:p>
          <w:p w14:paraId="25FEB743" w14:textId="1A1C476A"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(0.14)</w:t>
            </w:r>
          </w:p>
        </w:tc>
      </w:tr>
      <w:tr w:rsidR="00BB5EB8" w:rsidRPr="00716971" w14:paraId="106EBE82" w14:textId="77777777" w:rsidTr="00D44830">
        <w:tc>
          <w:tcPr>
            <w:tcW w:w="2340" w:type="dxa"/>
          </w:tcPr>
          <w:p w14:paraId="750FDB8D" w14:textId="5D944735" w:rsidR="00BB5EB8" w:rsidRPr="003E7C25" w:rsidRDefault="00BB5EB8" w:rsidP="00BB5EB8">
            <w:pPr>
              <w:spacing w:after="0" w:line="200" w:lineRule="exact"/>
              <w:rPr>
                <w:rFonts w:ascii="Times New Roman" w:hAnsi="Times New Roman"/>
                <w:sz w:val="16"/>
                <w:szCs w:val="16"/>
                <w:lang w:eastAsia="zh-HK"/>
              </w:rPr>
            </w:pPr>
            <w:r>
              <w:rPr>
                <w:rFonts w:ascii="Times New Roman" w:eastAsiaTheme="minorEastAsia" w:hAnsi="Times New Roman" w:hint="eastAsia"/>
                <w:sz w:val="16"/>
                <w:szCs w:val="16"/>
                <w:lang w:eastAsia="zh-TW"/>
              </w:rPr>
              <w:t>M</w:t>
            </w:r>
            <w:r>
              <w:rPr>
                <w:rFonts w:ascii="Times New Roman" w:eastAsiaTheme="minorEastAsia" w:hAnsi="Times New Roman"/>
                <w:sz w:val="16"/>
                <w:szCs w:val="16"/>
                <w:lang w:eastAsia="zh-TW"/>
              </w:rPr>
              <w:t>arket-to-book ratio</w:t>
            </w:r>
          </w:p>
        </w:tc>
        <w:tc>
          <w:tcPr>
            <w:tcW w:w="1710" w:type="dxa"/>
            <w:tcBorders>
              <w:right w:val="nil"/>
            </w:tcBorders>
            <w:vAlign w:val="center"/>
          </w:tcPr>
          <w:p w14:paraId="78A40A9D"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-0.003 </w:t>
            </w:r>
          </w:p>
          <w:p w14:paraId="7C66ADCD" w14:textId="3B2795A1"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(-0.03)</w:t>
            </w:r>
          </w:p>
        </w:tc>
        <w:tc>
          <w:tcPr>
            <w:tcW w:w="1620" w:type="dxa"/>
            <w:tcBorders>
              <w:left w:val="nil"/>
              <w:right w:val="nil"/>
            </w:tcBorders>
            <w:vAlign w:val="center"/>
          </w:tcPr>
          <w:p w14:paraId="46FED419"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0.148 </w:t>
            </w:r>
          </w:p>
          <w:p w14:paraId="0A267BCD" w14:textId="4F2B30E0"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(0.69)</w:t>
            </w:r>
          </w:p>
        </w:tc>
        <w:tc>
          <w:tcPr>
            <w:tcW w:w="1530" w:type="dxa"/>
            <w:tcBorders>
              <w:left w:val="nil"/>
            </w:tcBorders>
            <w:vAlign w:val="center"/>
          </w:tcPr>
          <w:p w14:paraId="247D8360"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 </w:t>
            </w:r>
          </w:p>
          <w:p w14:paraId="0168115D" w14:textId="5AA91AFF"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(0.85)</w:t>
            </w:r>
          </w:p>
        </w:tc>
      </w:tr>
      <w:tr w:rsidR="00BB5EB8" w:rsidRPr="00716971" w14:paraId="5A0892FA" w14:textId="77777777" w:rsidTr="00D44830">
        <w:tc>
          <w:tcPr>
            <w:tcW w:w="2340" w:type="dxa"/>
          </w:tcPr>
          <w:p w14:paraId="70919804" w14:textId="212CCA32" w:rsidR="00BB5EB8" w:rsidRPr="003E7C25" w:rsidRDefault="00BB5EB8" w:rsidP="00BB5EB8">
            <w:pPr>
              <w:spacing w:after="0" w:line="200" w:lineRule="exact"/>
              <w:rPr>
                <w:rFonts w:ascii="Times New Roman" w:eastAsiaTheme="minorEastAsia" w:hAnsi="Times New Roman"/>
                <w:sz w:val="16"/>
                <w:szCs w:val="16"/>
                <w:lang w:eastAsia="zh-HK"/>
              </w:rPr>
            </w:pPr>
            <w:r w:rsidRPr="003E7C25">
              <w:rPr>
                <w:rFonts w:ascii="Times New Roman" w:eastAsiaTheme="minorEastAsia" w:hAnsi="Times New Roman"/>
                <w:sz w:val="16"/>
                <w:szCs w:val="16"/>
                <w:lang w:eastAsia="zh-TW"/>
              </w:rPr>
              <w:t>Life</w:t>
            </w:r>
          </w:p>
        </w:tc>
        <w:tc>
          <w:tcPr>
            <w:tcW w:w="1710" w:type="dxa"/>
            <w:tcBorders>
              <w:right w:val="nil"/>
            </w:tcBorders>
            <w:vAlign w:val="center"/>
          </w:tcPr>
          <w:p w14:paraId="77387482"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0.059 </w:t>
            </w:r>
          </w:p>
          <w:p w14:paraId="1C81B3C3" w14:textId="4D5955AC"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(0.06)</w:t>
            </w:r>
          </w:p>
        </w:tc>
        <w:tc>
          <w:tcPr>
            <w:tcW w:w="1620" w:type="dxa"/>
            <w:tcBorders>
              <w:left w:val="nil"/>
              <w:right w:val="nil"/>
            </w:tcBorders>
            <w:vAlign w:val="center"/>
          </w:tcPr>
          <w:p w14:paraId="090C47DD"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16.116** </w:t>
            </w:r>
          </w:p>
          <w:p w14:paraId="36D9FF4E" w14:textId="26D65F21"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(2.36)</w:t>
            </w:r>
          </w:p>
        </w:tc>
        <w:tc>
          <w:tcPr>
            <w:tcW w:w="1530" w:type="dxa"/>
            <w:tcBorders>
              <w:left w:val="nil"/>
            </w:tcBorders>
            <w:vAlign w:val="center"/>
          </w:tcPr>
          <w:p w14:paraId="4E3839A3"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-0.053 </w:t>
            </w:r>
          </w:p>
          <w:p w14:paraId="64242767" w14:textId="3D85B9DD"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(-0.18)</w:t>
            </w:r>
          </w:p>
        </w:tc>
      </w:tr>
      <w:tr w:rsidR="00BB5EB8" w:rsidRPr="00716971" w14:paraId="3712C440" w14:textId="77777777" w:rsidTr="00D44830">
        <w:tc>
          <w:tcPr>
            <w:tcW w:w="2340" w:type="dxa"/>
          </w:tcPr>
          <w:p w14:paraId="1567733D" w14:textId="52602135" w:rsidR="00BB5EB8" w:rsidRPr="003E7C25" w:rsidRDefault="00BB5EB8" w:rsidP="00BB5EB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Loss ratio</w:t>
            </w:r>
          </w:p>
        </w:tc>
        <w:tc>
          <w:tcPr>
            <w:tcW w:w="1710" w:type="dxa"/>
            <w:tcBorders>
              <w:right w:val="nil"/>
            </w:tcBorders>
            <w:vAlign w:val="center"/>
          </w:tcPr>
          <w:p w14:paraId="6B7E21BA"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-0.001*** </w:t>
            </w:r>
          </w:p>
          <w:p w14:paraId="3CBC9592" w14:textId="2692DEE8"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(-4.8)</w:t>
            </w:r>
          </w:p>
        </w:tc>
        <w:tc>
          <w:tcPr>
            <w:tcW w:w="1620" w:type="dxa"/>
            <w:tcBorders>
              <w:left w:val="nil"/>
              <w:right w:val="nil"/>
            </w:tcBorders>
            <w:vAlign w:val="center"/>
          </w:tcPr>
          <w:p w14:paraId="56BFF2A2"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0.001 </w:t>
            </w:r>
          </w:p>
          <w:p w14:paraId="29C2D489" w14:textId="641362BE"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(0.97)</w:t>
            </w:r>
          </w:p>
        </w:tc>
        <w:tc>
          <w:tcPr>
            <w:tcW w:w="1530" w:type="dxa"/>
            <w:tcBorders>
              <w:left w:val="nil"/>
            </w:tcBorders>
            <w:vAlign w:val="center"/>
          </w:tcPr>
          <w:p w14:paraId="2A10499E"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color w:val="000000"/>
                <w:sz w:val="16"/>
                <w:szCs w:val="16"/>
              </w:rPr>
              <w:t>-</w:t>
            </w: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.000</w:t>
            </w:r>
            <w:r>
              <w:rPr>
                <w:rFonts w:ascii="Times New Roman Uni" w:eastAsia="Times New Roman Uni" w:hAnsi="Times New Roman Uni" w:cs="Times New Roman Uni" w:hint="eastAsia"/>
                <w:color w:val="000000"/>
                <w:sz w:val="16"/>
                <w:szCs w:val="16"/>
              </w:rPr>
              <w:t xml:space="preserve"> </w:t>
            </w:r>
          </w:p>
          <w:p w14:paraId="32606516" w14:textId="28824EA8"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(-0.23)</w:t>
            </w:r>
          </w:p>
        </w:tc>
      </w:tr>
      <w:tr w:rsidR="00BB5EB8" w:rsidRPr="00716971" w14:paraId="78420A38" w14:textId="77777777" w:rsidTr="00D44830">
        <w:tc>
          <w:tcPr>
            <w:tcW w:w="2340" w:type="dxa"/>
          </w:tcPr>
          <w:p w14:paraId="7FFD1C7C" w14:textId="3A2AE21D" w:rsidR="00BB5EB8" w:rsidRPr="003E7C25" w:rsidRDefault="00BB5EB8" w:rsidP="00BB5EB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Investment income</w:t>
            </w:r>
            <w:r>
              <w:rPr>
                <w:rFonts w:ascii="Times New Roman" w:hAnsi="Times New Roman"/>
                <w:sz w:val="16"/>
                <w:szCs w:val="16"/>
                <w:lang w:eastAsia="zh-HK"/>
              </w:rPr>
              <w:t>s</w:t>
            </w:r>
          </w:p>
        </w:tc>
        <w:tc>
          <w:tcPr>
            <w:tcW w:w="1710" w:type="dxa"/>
            <w:tcBorders>
              <w:right w:val="nil"/>
            </w:tcBorders>
            <w:vAlign w:val="center"/>
          </w:tcPr>
          <w:p w14:paraId="152EACF4"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7.223** </w:t>
            </w:r>
          </w:p>
          <w:p w14:paraId="2C3AAB4C" w14:textId="050B14EE"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(2.58)</w:t>
            </w:r>
          </w:p>
        </w:tc>
        <w:tc>
          <w:tcPr>
            <w:tcW w:w="1620" w:type="dxa"/>
            <w:tcBorders>
              <w:left w:val="nil"/>
              <w:right w:val="nil"/>
            </w:tcBorders>
            <w:vAlign w:val="center"/>
          </w:tcPr>
          <w:p w14:paraId="12600F53"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-7.809 </w:t>
            </w:r>
          </w:p>
          <w:p w14:paraId="61CA4BF6" w14:textId="519669A7"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(-0.78)</w:t>
            </w:r>
          </w:p>
        </w:tc>
        <w:tc>
          <w:tcPr>
            <w:tcW w:w="1530" w:type="dxa"/>
            <w:tcBorders>
              <w:left w:val="nil"/>
            </w:tcBorders>
            <w:vAlign w:val="center"/>
          </w:tcPr>
          <w:p w14:paraId="31929D6C"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-0.852 </w:t>
            </w:r>
          </w:p>
          <w:p w14:paraId="28D115E7" w14:textId="6707CEBA"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(-0.71)</w:t>
            </w:r>
          </w:p>
        </w:tc>
      </w:tr>
      <w:tr w:rsidR="00BB5EB8" w:rsidRPr="00716971" w14:paraId="385F1136" w14:textId="77777777" w:rsidTr="00D44830">
        <w:tc>
          <w:tcPr>
            <w:tcW w:w="2340" w:type="dxa"/>
          </w:tcPr>
          <w:p w14:paraId="47CBB11A" w14:textId="183626A2" w:rsidR="00BB5EB8" w:rsidRDefault="00BB5EB8" w:rsidP="00BB5EB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ROA (%)</w:t>
            </w:r>
          </w:p>
        </w:tc>
        <w:tc>
          <w:tcPr>
            <w:tcW w:w="1710" w:type="dxa"/>
            <w:tcBorders>
              <w:right w:val="nil"/>
            </w:tcBorders>
            <w:vAlign w:val="center"/>
          </w:tcPr>
          <w:p w14:paraId="47726C4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-0.028 </w:t>
            </w:r>
          </w:p>
          <w:p w14:paraId="6C560670" w14:textId="391A77CB"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(-0.75)</w:t>
            </w:r>
          </w:p>
        </w:tc>
        <w:tc>
          <w:tcPr>
            <w:tcW w:w="1620" w:type="dxa"/>
            <w:tcBorders>
              <w:left w:val="nil"/>
              <w:right w:val="nil"/>
            </w:tcBorders>
            <w:vAlign w:val="center"/>
          </w:tcPr>
          <w:p w14:paraId="7EB174D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0.049 </w:t>
            </w:r>
          </w:p>
          <w:p w14:paraId="3B41E848" w14:textId="030C01E6"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(0.78)</w:t>
            </w:r>
          </w:p>
        </w:tc>
        <w:tc>
          <w:tcPr>
            <w:tcW w:w="1530" w:type="dxa"/>
            <w:tcBorders>
              <w:left w:val="nil"/>
            </w:tcBorders>
            <w:vAlign w:val="center"/>
          </w:tcPr>
          <w:p w14:paraId="785EEA5D"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-0.025** </w:t>
            </w:r>
          </w:p>
          <w:p w14:paraId="6A78D3B7" w14:textId="738CB73F"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(-2.7)</w:t>
            </w:r>
          </w:p>
        </w:tc>
      </w:tr>
      <w:tr w:rsidR="00BB5EB8" w:rsidRPr="00716971" w14:paraId="3A273957" w14:textId="77777777" w:rsidTr="00D44830">
        <w:tc>
          <w:tcPr>
            <w:tcW w:w="2340" w:type="dxa"/>
          </w:tcPr>
          <w:p w14:paraId="5B624F56" w14:textId="299FEE13" w:rsidR="00BB5EB8" w:rsidRDefault="00BB5EB8" w:rsidP="00BB5EB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Operating expenses</w:t>
            </w:r>
          </w:p>
        </w:tc>
        <w:tc>
          <w:tcPr>
            <w:tcW w:w="1710" w:type="dxa"/>
            <w:tcBorders>
              <w:right w:val="nil"/>
            </w:tcBorders>
            <w:vAlign w:val="center"/>
          </w:tcPr>
          <w:p w14:paraId="43C4ADA5"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0.53 </w:t>
            </w:r>
          </w:p>
          <w:p w14:paraId="658A83C9" w14:textId="3EB869EE"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(0.79)</w:t>
            </w:r>
          </w:p>
        </w:tc>
        <w:tc>
          <w:tcPr>
            <w:tcW w:w="1620" w:type="dxa"/>
            <w:tcBorders>
              <w:left w:val="nil"/>
              <w:right w:val="nil"/>
            </w:tcBorders>
            <w:vAlign w:val="center"/>
          </w:tcPr>
          <w:p w14:paraId="4DE27CF6"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0.012 </w:t>
            </w:r>
          </w:p>
          <w:p w14:paraId="0DEEA54B" w14:textId="37A84817"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(0.01)</w:t>
            </w:r>
          </w:p>
        </w:tc>
        <w:tc>
          <w:tcPr>
            <w:tcW w:w="1530" w:type="dxa"/>
            <w:tcBorders>
              <w:left w:val="nil"/>
            </w:tcBorders>
            <w:vAlign w:val="center"/>
          </w:tcPr>
          <w:p w14:paraId="084AB8C9"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-0.183 </w:t>
            </w:r>
          </w:p>
          <w:p w14:paraId="1747D79C" w14:textId="34CBC4D4"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(-0.69)</w:t>
            </w:r>
          </w:p>
        </w:tc>
      </w:tr>
      <w:tr w:rsidR="00BB5EB8" w:rsidRPr="00716971" w14:paraId="5F6858DE" w14:textId="77777777" w:rsidTr="00D44830">
        <w:tc>
          <w:tcPr>
            <w:tcW w:w="2340" w:type="dxa"/>
          </w:tcPr>
          <w:p w14:paraId="11546303" w14:textId="1C2E8173" w:rsidR="00BB5EB8" w:rsidRDefault="00BB5EB8" w:rsidP="00BB5EB8">
            <w:pPr>
              <w:spacing w:after="0" w:line="200" w:lineRule="exact"/>
              <w:rPr>
                <w:rFonts w:ascii="Times New Roman" w:hAnsi="Times New Roman"/>
                <w:sz w:val="16"/>
                <w:szCs w:val="16"/>
                <w:lang w:eastAsia="zh-HK"/>
              </w:rPr>
            </w:pPr>
            <w:r>
              <w:rPr>
                <w:rFonts w:ascii="Times New Roman" w:eastAsiaTheme="minorEastAsia" w:hAnsi="Times New Roman"/>
                <w:sz w:val="16"/>
                <w:szCs w:val="16"/>
                <w:lang w:eastAsia="zh-HK"/>
              </w:rPr>
              <w:t>GDP growth (%)</w:t>
            </w:r>
          </w:p>
        </w:tc>
        <w:tc>
          <w:tcPr>
            <w:tcW w:w="1710" w:type="dxa"/>
            <w:tcBorders>
              <w:right w:val="nil"/>
            </w:tcBorders>
            <w:vAlign w:val="center"/>
          </w:tcPr>
          <w:p w14:paraId="0B74F81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-0.036 </w:t>
            </w:r>
          </w:p>
          <w:p w14:paraId="6D6735D7" w14:textId="05AE5163"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(-0.65)</w:t>
            </w:r>
          </w:p>
        </w:tc>
        <w:tc>
          <w:tcPr>
            <w:tcW w:w="1620" w:type="dxa"/>
            <w:tcBorders>
              <w:left w:val="nil"/>
              <w:right w:val="nil"/>
            </w:tcBorders>
            <w:vAlign w:val="center"/>
          </w:tcPr>
          <w:p w14:paraId="29B7B7B1"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0.216* </w:t>
            </w:r>
          </w:p>
          <w:p w14:paraId="2B896B73" w14:textId="6577384C"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(1.73)</w:t>
            </w:r>
          </w:p>
        </w:tc>
        <w:tc>
          <w:tcPr>
            <w:tcW w:w="1530" w:type="dxa"/>
            <w:tcBorders>
              <w:left w:val="nil"/>
            </w:tcBorders>
            <w:vAlign w:val="center"/>
          </w:tcPr>
          <w:p w14:paraId="4200F9CD"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-0.022 </w:t>
            </w:r>
          </w:p>
          <w:p w14:paraId="51EBD572" w14:textId="4DFEC60F"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(-1.48)</w:t>
            </w:r>
          </w:p>
        </w:tc>
      </w:tr>
      <w:tr w:rsidR="00BB5EB8" w:rsidRPr="00716971" w14:paraId="6ED57B5D" w14:textId="77777777" w:rsidTr="00D44830">
        <w:tc>
          <w:tcPr>
            <w:tcW w:w="2340" w:type="dxa"/>
          </w:tcPr>
          <w:p w14:paraId="389AF3BC" w14:textId="1595DBA3" w:rsidR="00BB5EB8" w:rsidRDefault="00BB5EB8" w:rsidP="00BB5EB8">
            <w:pPr>
              <w:spacing w:after="0" w:line="200" w:lineRule="exact"/>
              <w:rPr>
                <w:rFonts w:ascii="Times New Roman" w:hAnsi="Times New Roman"/>
                <w:sz w:val="16"/>
                <w:szCs w:val="16"/>
                <w:lang w:eastAsia="zh-HK"/>
              </w:rPr>
            </w:pPr>
            <w:r>
              <w:rPr>
                <w:rFonts w:ascii="Times New Roman" w:hAnsi="Times New Roman"/>
                <w:sz w:val="16"/>
                <w:szCs w:val="16"/>
                <w:lang w:eastAsia="zh-HK"/>
              </w:rPr>
              <w:t>Inflation (%)</w:t>
            </w:r>
          </w:p>
        </w:tc>
        <w:tc>
          <w:tcPr>
            <w:tcW w:w="1710" w:type="dxa"/>
            <w:tcBorders>
              <w:right w:val="nil"/>
            </w:tcBorders>
            <w:vAlign w:val="center"/>
          </w:tcPr>
          <w:p w14:paraId="21560D81"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 </w:t>
            </w:r>
          </w:p>
          <w:p w14:paraId="2B854F63" w14:textId="52DA720C" w:rsidR="00BB5EB8" w:rsidRPr="00FD6F7F"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(-0.55)</w:t>
            </w:r>
          </w:p>
        </w:tc>
        <w:tc>
          <w:tcPr>
            <w:tcW w:w="1620" w:type="dxa"/>
            <w:tcBorders>
              <w:left w:val="nil"/>
              <w:right w:val="nil"/>
            </w:tcBorders>
            <w:vAlign w:val="center"/>
          </w:tcPr>
          <w:p w14:paraId="12D61AFA"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-0.161 </w:t>
            </w:r>
          </w:p>
          <w:p w14:paraId="34434582" w14:textId="79F6F9B2"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(-1.28)</w:t>
            </w:r>
          </w:p>
        </w:tc>
        <w:tc>
          <w:tcPr>
            <w:tcW w:w="1530" w:type="dxa"/>
            <w:tcBorders>
              <w:left w:val="nil"/>
            </w:tcBorders>
            <w:vAlign w:val="center"/>
          </w:tcPr>
          <w:p w14:paraId="424299B1"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0.022 </w:t>
            </w:r>
          </w:p>
          <w:p w14:paraId="13CE5D14" w14:textId="1639CB8D" w:rsidR="00BB5EB8" w:rsidRPr="00333CA8"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(1.36)</w:t>
            </w:r>
          </w:p>
        </w:tc>
      </w:tr>
      <w:tr w:rsidR="003E7C25" w:rsidRPr="00716971" w14:paraId="65B5C44A" w14:textId="77777777" w:rsidTr="00494AD4">
        <w:tc>
          <w:tcPr>
            <w:tcW w:w="2340" w:type="dxa"/>
          </w:tcPr>
          <w:p w14:paraId="5539E133" w14:textId="70423A2F" w:rsidR="003E7C25" w:rsidRDefault="003E7C25" w:rsidP="00716971">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Firm fixed effects</w:t>
            </w:r>
          </w:p>
        </w:tc>
        <w:tc>
          <w:tcPr>
            <w:tcW w:w="1710" w:type="dxa"/>
            <w:tcBorders>
              <w:right w:val="nil"/>
            </w:tcBorders>
          </w:tcPr>
          <w:p w14:paraId="28813560" w14:textId="6766DD9D" w:rsidR="003E7C25" w:rsidRPr="00716971" w:rsidRDefault="00F76184" w:rsidP="00716971">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620" w:type="dxa"/>
            <w:tcBorders>
              <w:left w:val="nil"/>
              <w:right w:val="nil"/>
            </w:tcBorders>
          </w:tcPr>
          <w:p w14:paraId="7FE9612A" w14:textId="614298DD" w:rsidR="00333CA8" w:rsidRPr="00716971" w:rsidRDefault="00333CA8" w:rsidP="00333CA8">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530" w:type="dxa"/>
            <w:tcBorders>
              <w:left w:val="nil"/>
            </w:tcBorders>
          </w:tcPr>
          <w:p w14:paraId="3741786D" w14:textId="3826B1E3" w:rsidR="003E7C25" w:rsidRPr="00716971" w:rsidRDefault="00FB1E64" w:rsidP="00716971">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r>
      <w:tr w:rsidR="002A5AD2" w:rsidRPr="00716971" w14:paraId="33AC1601" w14:textId="77777777" w:rsidTr="00494AD4">
        <w:tc>
          <w:tcPr>
            <w:tcW w:w="2340" w:type="dxa"/>
          </w:tcPr>
          <w:p w14:paraId="4C6F06E0" w14:textId="2DE25576" w:rsidR="002A5AD2" w:rsidRPr="00716971" w:rsidRDefault="00490310" w:rsidP="00716971">
            <w:pPr>
              <w:spacing w:after="0" w:line="200" w:lineRule="exact"/>
              <w:rPr>
                <w:rFonts w:ascii="Times New Roman" w:hAnsi="Times New Roman"/>
                <w:sz w:val="16"/>
                <w:szCs w:val="16"/>
                <w:lang w:eastAsia="zh-HK"/>
              </w:rPr>
            </w:pPr>
            <w:r>
              <w:rPr>
                <w:rFonts w:ascii="Times New Roman" w:hAnsi="Times New Roman"/>
                <w:sz w:val="16"/>
                <w:szCs w:val="16"/>
                <w:lang w:eastAsia="zh-HK"/>
              </w:rPr>
              <w:t>Time</w:t>
            </w:r>
            <w:r w:rsidR="002A5AD2" w:rsidRPr="00716971">
              <w:rPr>
                <w:rFonts w:ascii="Times New Roman" w:hAnsi="Times New Roman"/>
                <w:sz w:val="16"/>
                <w:szCs w:val="16"/>
                <w:lang w:eastAsia="zh-HK"/>
              </w:rPr>
              <w:t xml:space="preserve"> fixed effects</w:t>
            </w:r>
          </w:p>
        </w:tc>
        <w:tc>
          <w:tcPr>
            <w:tcW w:w="1710" w:type="dxa"/>
            <w:tcBorders>
              <w:right w:val="nil"/>
            </w:tcBorders>
          </w:tcPr>
          <w:p w14:paraId="5A67AC52" w14:textId="66F589F8" w:rsidR="002A5AD2" w:rsidRPr="00716971" w:rsidRDefault="00F76184" w:rsidP="00716971">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620" w:type="dxa"/>
            <w:tcBorders>
              <w:left w:val="nil"/>
              <w:right w:val="nil"/>
            </w:tcBorders>
          </w:tcPr>
          <w:p w14:paraId="564AA3AC" w14:textId="3F4973F3" w:rsidR="002A5AD2" w:rsidRPr="00716971" w:rsidRDefault="00333CA8" w:rsidP="00716971">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530" w:type="dxa"/>
            <w:tcBorders>
              <w:left w:val="nil"/>
            </w:tcBorders>
          </w:tcPr>
          <w:p w14:paraId="0875EE2E" w14:textId="226F6B8F" w:rsidR="002A5AD2" w:rsidRPr="00716971" w:rsidRDefault="00FB1E64" w:rsidP="00716971">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r>
      <w:tr w:rsidR="003E7C25" w:rsidRPr="00716971" w14:paraId="04506AEA" w14:textId="77777777" w:rsidTr="00494AD4">
        <w:tc>
          <w:tcPr>
            <w:tcW w:w="2340" w:type="dxa"/>
          </w:tcPr>
          <w:p w14:paraId="732BD543" w14:textId="07FB6608" w:rsidR="003E7C25" w:rsidRPr="00716971" w:rsidRDefault="003E7C25" w:rsidP="00716971">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Observations</w:t>
            </w:r>
          </w:p>
        </w:tc>
        <w:tc>
          <w:tcPr>
            <w:tcW w:w="1710" w:type="dxa"/>
            <w:tcBorders>
              <w:right w:val="nil"/>
            </w:tcBorders>
          </w:tcPr>
          <w:p w14:paraId="73A1670B" w14:textId="2DCA8C9D" w:rsidR="003E7C25" w:rsidRPr="00716971" w:rsidRDefault="00F76184" w:rsidP="00D44830">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343</w:t>
            </w:r>
            <w:r w:rsidR="00D44830">
              <w:rPr>
                <w:rFonts w:ascii="Times New Roman" w:hAnsi="Times New Roman"/>
                <w:sz w:val="16"/>
                <w:szCs w:val="16"/>
                <w:lang w:eastAsia="zh-HK"/>
              </w:rPr>
              <w:t>9</w:t>
            </w:r>
          </w:p>
        </w:tc>
        <w:tc>
          <w:tcPr>
            <w:tcW w:w="1620" w:type="dxa"/>
            <w:tcBorders>
              <w:left w:val="nil"/>
              <w:right w:val="nil"/>
            </w:tcBorders>
          </w:tcPr>
          <w:p w14:paraId="11FB0D01" w14:textId="1A36F877" w:rsidR="003E7C25" w:rsidRPr="00716971" w:rsidRDefault="00333CA8" w:rsidP="00D44830">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343</w:t>
            </w:r>
            <w:r w:rsidR="00D44830">
              <w:rPr>
                <w:rFonts w:ascii="Times New Roman" w:hAnsi="Times New Roman"/>
                <w:sz w:val="16"/>
                <w:szCs w:val="16"/>
                <w:lang w:eastAsia="zh-HK"/>
              </w:rPr>
              <w:t>9</w:t>
            </w:r>
          </w:p>
        </w:tc>
        <w:tc>
          <w:tcPr>
            <w:tcW w:w="1530" w:type="dxa"/>
            <w:tcBorders>
              <w:left w:val="nil"/>
            </w:tcBorders>
          </w:tcPr>
          <w:p w14:paraId="672EAA84" w14:textId="4D013897" w:rsidR="003E7C25" w:rsidRPr="00716971" w:rsidRDefault="00FB1E64" w:rsidP="00D44830">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343</w:t>
            </w:r>
            <w:r w:rsidR="00D44830">
              <w:rPr>
                <w:rFonts w:ascii="Times New Roman" w:hAnsi="Times New Roman"/>
                <w:sz w:val="16"/>
                <w:szCs w:val="16"/>
                <w:lang w:eastAsia="zh-HK"/>
              </w:rPr>
              <w:t>9</w:t>
            </w:r>
          </w:p>
        </w:tc>
      </w:tr>
      <w:tr w:rsidR="002A5AD2" w:rsidRPr="00716971" w14:paraId="7205748E" w14:textId="77777777" w:rsidTr="00494AD4">
        <w:tc>
          <w:tcPr>
            <w:tcW w:w="2340" w:type="dxa"/>
            <w:tcBorders>
              <w:bottom w:val="single" w:sz="4" w:space="0" w:color="auto"/>
            </w:tcBorders>
          </w:tcPr>
          <w:p w14:paraId="6BD4F74E" w14:textId="2AB9DB4B" w:rsidR="002A5AD2" w:rsidRPr="00716971" w:rsidRDefault="003E7C25" w:rsidP="00716971">
            <w:pPr>
              <w:spacing w:after="0" w:line="200" w:lineRule="exact"/>
              <w:rPr>
                <w:rFonts w:ascii="Times New Roman" w:hAnsi="Times New Roman"/>
                <w:sz w:val="16"/>
                <w:szCs w:val="16"/>
                <w:lang w:eastAsia="zh-HK"/>
              </w:rPr>
            </w:pPr>
            <w:r>
              <w:rPr>
                <w:rFonts w:ascii="Times New Roman" w:hAnsi="Times New Roman"/>
                <w:sz w:val="16"/>
                <w:szCs w:val="16"/>
                <w:lang w:eastAsia="zh-HK"/>
              </w:rPr>
              <w:t>R</w:t>
            </w:r>
            <w:r w:rsidRPr="003E7C25">
              <w:rPr>
                <w:rFonts w:ascii="Times New Roman" w:hAnsi="Times New Roman"/>
                <w:sz w:val="16"/>
                <w:szCs w:val="16"/>
                <w:vertAlign w:val="superscript"/>
                <w:lang w:eastAsia="zh-HK"/>
              </w:rPr>
              <w:t>2</w:t>
            </w:r>
          </w:p>
        </w:tc>
        <w:tc>
          <w:tcPr>
            <w:tcW w:w="1710" w:type="dxa"/>
            <w:tcBorders>
              <w:bottom w:val="single" w:sz="4" w:space="0" w:color="auto"/>
              <w:right w:val="nil"/>
            </w:tcBorders>
          </w:tcPr>
          <w:p w14:paraId="64206E75" w14:textId="08B27BAB" w:rsidR="002A5AD2" w:rsidRPr="00716971" w:rsidRDefault="00333CA8" w:rsidP="00490310">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w:t>
            </w:r>
            <w:r w:rsidR="00490310">
              <w:rPr>
                <w:rFonts w:ascii="Times New Roman" w:hAnsi="Times New Roman"/>
                <w:sz w:val="16"/>
                <w:szCs w:val="16"/>
                <w:lang w:eastAsia="zh-HK"/>
              </w:rPr>
              <w:t>570</w:t>
            </w:r>
          </w:p>
        </w:tc>
        <w:tc>
          <w:tcPr>
            <w:tcW w:w="1620" w:type="dxa"/>
            <w:tcBorders>
              <w:left w:val="nil"/>
              <w:bottom w:val="single" w:sz="4" w:space="0" w:color="auto"/>
              <w:right w:val="nil"/>
            </w:tcBorders>
          </w:tcPr>
          <w:p w14:paraId="4B3A79E9" w14:textId="10E68FAF" w:rsidR="002A5AD2" w:rsidRPr="00716971" w:rsidRDefault="00333CA8" w:rsidP="00D44830">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0.8</w:t>
            </w:r>
            <w:r w:rsidR="00D44830">
              <w:rPr>
                <w:rFonts w:ascii="Times New Roman" w:hAnsi="Times New Roman"/>
                <w:sz w:val="16"/>
                <w:szCs w:val="16"/>
                <w:lang w:eastAsia="zh-HK"/>
              </w:rPr>
              <w:t>84</w:t>
            </w:r>
          </w:p>
        </w:tc>
        <w:tc>
          <w:tcPr>
            <w:tcW w:w="1530" w:type="dxa"/>
            <w:tcBorders>
              <w:left w:val="nil"/>
              <w:bottom w:val="single" w:sz="4" w:space="0" w:color="auto"/>
            </w:tcBorders>
          </w:tcPr>
          <w:p w14:paraId="1D63BFB4" w14:textId="7AFAE30E" w:rsidR="002A5AD2" w:rsidRPr="00716971" w:rsidRDefault="00FB1E64" w:rsidP="00E50C96">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0.</w:t>
            </w:r>
            <w:r w:rsidR="00E50C96">
              <w:rPr>
                <w:rFonts w:ascii="Times New Roman" w:hAnsi="Times New Roman"/>
                <w:sz w:val="16"/>
                <w:szCs w:val="16"/>
                <w:lang w:eastAsia="zh-HK"/>
              </w:rPr>
              <w:t>690</w:t>
            </w:r>
          </w:p>
        </w:tc>
      </w:tr>
      <w:tr w:rsidR="00716971" w:rsidRPr="00716971" w14:paraId="79739910" w14:textId="77777777" w:rsidTr="00333CA8">
        <w:tc>
          <w:tcPr>
            <w:tcW w:w="7200" w:type="dxa"/>
            <w:gridSpan w:val="4"/>
            <w:tcBorders>
              <w:top w:val="single" w:sz="4" w:space="0" w:color="auto"/>
              <w:bottom w:val="single" w:sz="4" w:space="0" w:color="auto"/>
            </w:tcBorders>
          </w:tcPr>
          <w:p w14:paraId="266B3240" w14:textId="7E65C5E6" w:rsidR="00716971" w:rsidRPr="00A32F46" w:rsidRDefault="002A5AD2" w:rsidP="00B3411E">
            <w:pPr>
              <w:spacing w:after="0" w:line="200" w:lineRule="exact"/>
              <w:jc w:val="both"/>
              <w:rPr>
                <w:rFonts w:ascii="Times New Roman" w:eastAsiaTheme="minorEastAsia" w:hAnsi="Times New Roman"/>
                <w:sz w:val="16"/>
                <w:szCs w:val="16"/>
                <w:lang w:eastAsia="zh-HK"/>
              </w:rPr>
            </w:pPr>
            <w:r>
              <w:rPr>
                <w:rFonts w:ascii="Times New Roman" w:hAnsi="Times New Roman"/>
                <w:sz w:val="16"/>
                <w:szCs w:val="16"/>
                <w:lang w:eastAsia="zh-HK"/>
              </w:rPr>
              <w:t xml:space="preserve">The table above reports the result of </w:t>
            </w:r>
            <w:r w:rsidR="0063281D">
              <w:rPr>
                <w:rFonts w:ascii="Times New Roman" w:hAnsi="Times New Roman"/>
                <w:sz w:val="16"/>
                <w:szCs w:val="16"/>
                <w:lang w:eastAsia="zh-HK"/>
              </w:rPr>
              <w:t>running the baseline regression on the whole sample</w:t>
            </w:r>
            <w:r w:rsidR="00716971" w:rsidRPr="00716971">
              <w:rPr>
                <w:rFonts w:ascii="Times New Roman" w:hAnsi="Times New Roman"/>
                <w:sz w:val="16"/>
                <w:szCs w:val="16"/>
                <w:lang w:eastAsia="zh-HK"/>
              </w:rPr>
              <w:t xml:space="preserve">. </w:t>
            </w:r>
            <w:r w:rsidR="00523984">
              <w:rPr>
                <w:rFonts w:ascii="Times New Roman" w:hAnsi="Times New Roman"/>
                <w:sz w:val="16"/>
                <w:szCs w:val="16"/>
                <w:lang w:eastAsia="zh-HK"/>
              </w:rPr>
              <w:t xml:space="preserve">MES, SRISK and </w:t>
            </w:r>
            <w:proofErr w:type="spellStart"/>
            <w:r w:rsidR="00523984">
              <w:rPr>
                <w:rFonts w:ascii="Times New Roman" w:hAnsi="Times New Roman"/>
                <w:sz w:val="16"/>
                <w:szCs w:val="16"/>
                <w:lang w:eastAsia="zh-HK"/>
              </w:rPr>
              <w:t>ΔCoVAR</w:t>
            </w:r>
            <w:proofErr w:type="spellEnd"/>
            <w:r w:rsidR="00523984">
              <w:rPr>
                <w:rFonts w:ascii="Times New Roman" w:hAnsi="Times New Roman"/>
                <w:sz w:val="16"/>
                <w:szCs w:val="16"/>
                <w:lang w:eastAsia="zh-HK"/>
              </w:rPr>
              <w:t xml:space="preserve"> are computed with the World </w:t>
            </w:r>
            <w:proofErr w:type="spellStart"/>
            <w:r w:rsidR="00B3411E">
              <w:rPr>
                <w:rFonts w:ascii="Times New Roman" w:hAnsi="Times New Roman"/>
                <w:sz w:val="16"/>
                <w:szCs w:val="16"/>
                <w:lang w:eastAsia="zh-HK"/>
              </w:rPr>
              <w:t>Datastream</w:t>
            </w:r>
            <w:proofErr w:type="spellEnd"/>
            <w:r w:rsidR="00523984">
              <w:rPr>
                <w:rFonts w:ascii="Times New Roman" w:hAnsi="Times New Roman"/>
                <w:sz w:val="16"/>
                <w:szCs w:val="16"/>
                <w:lang w:eastAsia="zh-HK"/>
              </w:rPr>
              <w:t xml:space="preserve"> Financial Index as proxy for market index. </w:t>
            </w:r>
            <w:r w:rsidR="002C0781">
              <w:rPr>
                <w:rFonts w:ascii="Times New Roman" w:hAnsi="Times New Roman"/>
                <w:sz w:val="16"/>
                <w:szCs w:val="16"/>
                <w:lang w:eastAsia="zh-HK"/>
              </w:rPr>
              <w:t>Firm fixed effects</w:t>
            </w:r>
            <w:r>
              <w:rPr>
                <w:rFonts w:ascii="Times New Roman" w:hAnsi="Times New Roman"/>
                <w:sz w:val="16"/>
                <w:szCs w:val="16"/>
                <w:lang w:eastAsia="zh-HK"/>
              </w:rPr>
              <w:t xml:space="preserve"> and time</w:t>
            </w:r>
            <w:r w:rsidR="00716971" w:rsidRPr="00716971">
              <w:rPr>
                <w:rFonts w:ascii="Times New Roman" w:hAnsi="Times New Roman"/>
                <w:sz w:val="16"/>
                <w:szCs w:val="16"/>
                <w:lang w:eastAsia="zh-HK"/>
              </w:rPr>
              <w:t xml:space="preserve"> fixed effects are included</w:t>
            </w:r>
            <w:r>
              <w:rPr>
                <w:rFonts w:ascii="Times New Roman" w:hAnsi="Times New Roman"/>
                <w:sz w:val="16"/>
                <w:szCs w:val="16"/>
                <w:lang w:eastAsia="zh-HK"/>
              </w:rPr>
              <w:t>. Standard errors are clustered at the country level</w:t>
            </w:r>
            <w:r w:rsidR="00716971" w:rsidRPr="00716971">
              <w:rPr>
                <w:rFonts w:ascii="Times New Roman" w:hAnsi="Times New Roman"/>
                <w:sz w:val="16"/>
                <w:szCs w:val="16"/>
                <w:lang w:eastAsia="zh-HK"/>
              </w:rPr>
              <w:t xml:space="preserve"> and t-statistics are reported in parentheses; *, **, and *** indicate significance at the 10%, 5% and 1% levels respectively.</w:t>
            </w:r>
            <w:r w:rsidR="00A32F46">
              <w:rPr>
                <w:rFonts w:ascii="Times New Roman" w:hAnsi="Times New Roman"/>
                <w:sz w:val="16"/>
                <w:szCs w:val="16"/>
                <w:lang w:eastAsia="zh-HK"/>
              </w:rPr>
              <w:t xml:space="preserve"> </w:t>
            </w:r>
            <w:r w:rsidR="00A32F46" w:rsidRPr="00B86E32">
              <w:rPr>
                <w:rFonts w:ascii="Times New Roman" w:hAnsi="Times New Roman"/>
                <w:sz w:val="16"/>
                <w:szCs w:val="16"/>
                <w:lang w:eastAsia="zh-HK"/>
              </w:rPr>
              <w:t>The</w:t>
            </w:r>
            <w:r w:rsidR="00A32F46">
              <w:rPr>
                <w:rFonts w:ascii="Times New Roman" w:hAnsi="Times New Roman"/>
                <w:sz w:val="16"/>
                <w:szCs w:val="16"/>
                <w:lang w:eastAsia="zh-HK"/>
              </w:rPr>
              <w:t xml:space="preserve"> </w:t>
            </w:r>
            <w:r w:rsidR="00A32F46" w:rsidRPr="00B86E32">
              <w:rPr>
                <w:rFonts w:ascii="Times New Roman" w:hAnsi="Times New Roman"/>
                <w:sz w:val="16"/>
                <w:szCs w:val="16"/>
                <w:lang w:eastAsia="zh-HK"/>
              </w:rPr>
              <w:t xml:space="preserve">variables are </w:t>
            </w:r>
            <w:r w:rsidR="00A32F46">
              <w:rPr>
                <w:rFonts w:ascii="Times New Roman" w:hAnsi="Times New Roman"/>
                <w:sz w:val="16"/>
                <w:szCs w:val="16"/>
                <w:lang w:eastAsia="zh-HK"/>
              </w:rPr>
              <w:t>defined</w:t>
            </w:r>
            <w:r w:rsidR="00A32F46" w:rsidRPr="00B86E32">
              <w:rPr>
                <w:rFonts w:ascii="Times New Roman" w:hAnsi="Times New Roman"/>
                <w:sz w:val="16"/>
                <w:szCs w:val="16"/>
                <w:lang w:eastAsia="zh-HK"/>
              </w:rPr>
              <w:t xml:space="preserve"> in Table </w:t>
            </w:r>
            <w:r w:rsidR="00A32F46">
              <w:rPr>
                <w:rFonts w:ascii="Times New Roman" w:eastAsiaTheme="minorEastAsia" w:hAnsi="Times New Roman" w:hint="eastAsia"/>
                <w:sz w:val="16"/>
                <w:szCs w:val="16"/>
                <w:lang w:eastAsia="zh-HK"/>
              </w:rPr>
              <w:t>II</w:t>
            </w:r>
            <w:r w:rsidR="00A32F46" w:rsidRPr="00B86E32">
              <w:rPr>
                <w:rFonts w:ascii="Times New Roman" w:hAnsi="Times New Roman"/>
                <w:sz w:val="16"/>
                <w:szCs w:val="16"/>
                <w:lang w:eastAsia="zh-HK"/>
              </w:rPr>
              <w:t>.</w:t>
            </w:r>
          </w:p>
        </w:tc>
      </w:tr>
    </w:tbl>
    <w:p w14:paraId="34E5D2A5" w14:textId="309DE01B" w:rsidR="00716971" w:rsidRDefault="00716971" w:rsidP="006206B4">
      <w:pPr>
        <w:spacing w:after="0" w:line="200" w:lineRule="exact"/>
        <w:jc w:val="center"/>
        <w:rPr>
          <w:rFonts w:ascii="Times New Roman" w:eastAsiaTheme="minorEastAsia" w:hAnsi="Times New Roman"/>
          <w:b/>
          <w:sz w:val="16"/>
          <w:szCs w:val="16"/>
          <w:lang w:eastAsia="zh-HK"/>
        </w:rPr>
      </w:pPr>
    </w:p>
    <w:p w14:paraId="33AB32B1" w14:textId="5A82D273" w:rsidR="00523984" w:rsidRDefault="00523984" w:rsidP="006206B4">
      <w:pPr>
        <w:spacing w:after="0" w:line="200" w:lineRule="exact"/>
        <w:jc w:val="center"/>
        <w:rPr>
          <w:rFonts w:ascii="Times New Roman" w:eastAsiaTheme="minorEastAsia" w:hAnsi="Times New Roman"/>
          <w:b/>
          <w:sz w:val="16"/>
          <w:szCs w:val="16"/>
          <w:lang w:eastAsia="zh-HK"/>
        </w:rPr>
      </w:pPr>
    </w:p>
    <w:p w14:paraId="67D0775E" w14:textId="026557BC" w:rsidR="00523984" w:rsidRDefault="00523984" w:rsidP="006206B4">
      <w:pPr>
        <w:spacing w:after="0" w:line="200" w:lineRule="exact"/>
        <w:jc w:val="center"/>
        <w:rPr>
          <w:rFonts w:ascii="Times New Roman" w:eastAsiaTheme="minorEastAsia" w:hAnsi="Times New Roman"/>
          <w:b/>
          <w:sz w:val="16"/>
          <w:szCs w:val="16"/>
          <w:lang w:eastAsia="zh-HK"/>
        </w:rPr>
      </w:pPr>
    </w:p>
    <w:p w14:paraId="04E38AF7" w14:textId="12815B85" w:rsidR="00523984" w:rsidRDefault="00523984" w:rsidP="006206B4">
      <w:pPr>
        <w:spacing w:after="0" w:line="200" w:lineRule="exact"/>
        <w:jc w:val="center"/>
        <w:rPr>
          <w:rFonts w:ascii="Times New Roman" w:eastAsiaTheme="minorEastAsia" w:hAnsi="Times New Roman"/>
          <w:b/>
          <w:sz w:val="16"/>
          <w:szCs w:val="16"/>
          <w:lang w:eastAsia="zh-HK"/>
        </w:rPr>
      </w:pPr>
    </w:p>
    <w:p w14:paraId="07A0C8FF" w14:textId="1E6D1B6A" w:rsidR="00523984" w:rsidRDefault="00523984" w:rsidP="006206B4">
      <w:pPr>
        <w:spacing w:after="0" w:line="200" w:lineRule="exact"/>
        <w:jc w:val="center"/>
        <w:rPr>
          <w:rFonts w:ascii="Times New Roman" w:eastAsiaTheme="minorEastAsia" w:hAnsi="Times New Roman"/>
          <w:b/>
          <w:sz w:val="16"/>
          <w:szCs w:val="16"/>
          <w:lang w:eastAsia="zh-HK"/>
        </w:rPr>
      </w:pPr>
    </w:p>
    <w:p w14:paraId="5AC16F8C" w14:textId="1C0343F6" w:rsidR="00523984" w:rsidRDefault="00523984" w:rsidP="006206B4">
      <w:pPr>
        <w:spacing w:after="0" w:line="200" w:lineRule="exact"/>
        <w:jc w:val="center"/>
        <w:rPr>
          <w:rFonts w:ascii="Times New Roman" w:eastAsiaTheme="minorEastAsia" w:hAnsi="Times New Roman"/>
          <w:b/>
          <w:sz w:val="16"/>
          <w:szCs w:val="16"/>
          <w:lang w:eastAsia="zh-HK"/>
        </w:rPr>
      </w:pPr>
    </w:p>
    <w:p w14:paraId="4452F6E7" w14:textId="2483979D" w:rsidR="00523984" w:rsidRDefault="00523984" w:rsidP="006206B4">
      <w:pPr>
        <w:spacing w:after="0" w:line="200" w:lineRule="exact"/>
        <w:jc w:val="center"/>
        <w:rPr>
          <w:rFonts w:ascii="Times New Roman" w:eastAsiaTheme="minorEastAsia" w:hAnsi="Times New Roman"/>
          <w:b/>
          <w:sz w:val="16"/>
          <w:szCs w:val="16"/>
          <w:lang w:eastAsia="zh-HK"/>
        </w:rPr>
      </w:pPr>
    </w:p>
    <w:p w14:paraId="2166108D" w14:textId="77777777" w:rsidR="002C0781" w:rsidRDefault="002C0781" w:rsidP="006206B4">
      <w:pPr>
        <w:spacing w:after="0" w:line="200" w:lineRule="exact"/>
        <w:jc w:val="center"/>
        <w:rPr>
          <w:rFonts w:ascii="Times New Roman" w:eastAsiaTheme="minorEastAsia" w:hAnsi="Times New Roman"/>
          <w:b/>
          <w:sz w:val="16"/>
          <w:szCs w:val="16"/>
          <w:lang w:eastAsia="zh-HK"/>
        </w:rPr>
      </w:pPr>
    </w:p>
    <w:p w14:paraId="675C1848" w14:textId="1D237968" w:rsidR="00523984" w:rsidRDefault="00523984" w:rsidP="006206B4">
      <w:pPr>
        <w:spacing w:after="0" w:line="200" w:lineRule="exact"/>
        <w:jc w:val="center"/>
        <w:rPr>
          <w:rFonts w:ascii="Times New Roman" w:eastAsiaTheme="minorEastAsia" w:hAnsi="Times New Roman"/>
          <w:b/>
          <w:sz w:val="16"/>
          <w:szCs w:val="16"/>
          <w:lang w:eastAsia="zh-HK"/>
        </w:rPr>
      </w:pPr>
    </w:p>
    <w:p w14:paraId="74F54C57" w14:textId="7038ADCA" w:rsidR="00523984" w:rsidRDefault="00523984" w:rsidP="006206B4">
      <w:pPr>
        <w:spacing w:after="0" w:line="200" w:lineRule="exact"/>
        <w:jc w:val="center"/>
        <w:rPr>
          <w:rFonts w:ascii="Times New Roman" w:eastAsiaTheme="minorEastAsia" w:hAnsi="Times New Roman"/>
          <w:b/>
          <w:sz w:val="16"/>
          <w:szCs w:val="16"/>
          <w:lang w:eastAsia="zh-HK"/>
        </w:rPr>
      </w:pPr>
    </w:p>
    <w:p w14:paraId="49701A50" w14:textId="3CEFBBC7" w:rsidR="00523984" w:rsidRDefault="00523984" w:rsidP="006206B4">
      <w:pPr>
        <w:spacing w:after="0" w:line="200" w:lineRule="exact"/>
        <w:jc w:val="center"/>
        <w:rPr>
          <w:rFonts w:ascii="Times New Roman" w:eastAsiaTheme="minorEastAsia" w:hAnsi="Times New Roman"/>
          <w:b/>
          <w:sz w:val="16"/>
          <w:szCs w:val="16"/>
          <w:lang w:eastAsia="zh-HK"/>
        </w:rPr>
      </w:pPr>
    </w:p>
    <w:p w14:paraId="54039C7B" w14:textId="251B96BC" w:rsidR="00523984" w:rsidRDefault="00523984" w:rsidP="006206B4">
      <w:pPr>
        <w:spacing w:after="0" w:line="200" w:lineRule="exact"/>
        <w:jc w:val="center"/>
        <w:rPr>
          <w:rFonts w:ascii="Times New Roman" w:eastAsiaTheme="minorEastAsia" w:hAnsi="Times New Roman"/>
          <w:b/>
          <w:sz w:val="16"/>
          <w:szCs w:val="16"/>
          <w:lang w:eastAsia="zh-HK"/>
        </w:rPr>
      </w:pPr>
    </w:p>
    <w:p w14:paraId="2E727ED1" w14:textId="2E607C9D" w:rsidR="00523984" w:rsidRDefault="00523984" w:rsidP="006206B4">
      <w:pPr>
        <w:spacing w:after="0" w:line="200" w:lineRule="exact"/>
        <w:jc w:val="center"/>
        <w:rPr>
          <w:rFonts w:ascii="Times New Roman" w:eastAsiaTheme="minorEastAsia" w:hAnsi="Times New Roman"/>
          <w:b/>
          <w:sz w:val="16"/>
          <w:szCs w:val="16"/>
          <w:lang w:eastAsia="zh-HK"/>
        </w:rPr>
      </w:pPr>
    </w:p>
    <w:p w14:paraId="46996C0D" w14:textId="77777777" w:rsidR="00523984" w:rsidRDefault="00523984" w:rsidP="006206B4">
      <w:pPr>
        <w:spacing w:after="0" w:line="200" w:lineRule="exact"/>
        <w:jc w:val="center"/>
        <w:rPr>
          <w:rFonts w:ascii="Times New Roman" w:eastAsiaTheme="minorEastAsia" w:hAnsi="Times New Roman"/>
          <w:b/>
          <w:sz w:val="16"/>
          <w:szCs w:val="16"/>
          <w:lang w:eastAsia="zh-HK"/>
        </w:rPr>
      </w:pPr>
    </w:p>
    <w:p w14:paraId="59FFE22F" w14:textId="43554542" w:rsidR="00523984" w:rsidRDefault="00523984" w:rsidP="00523984">
      <w:pPr>
        <w:spacing w:after="0" w:line="200" w:lineRule="exact"/>
        <w:ind w:leftChars="-323" w:left="-711" w:rightChars="-273" w:right="-601" w:firstLine="1"/>
        <w:jc w:val="center"/>
        <w:rPr>
          <w:rFonts w:ascii="Times New Roman" w:hAnsi="Times New Roman"/>
          <w:b/>
          <w:sz w:val="16"/>
          <w:szCs w:val="16"/>
          <w:lang w:eastAsia="zh-HK"/>
        </w:rPr>
      </w:pPr>
      <w:r>
        <w:rPr>
          <w:rFonts w:ascii="Times New Roman" w:eastAsiaTheme="minorEastAsia" w:hAnsi="Times New Roman" w:hint="eastAsia"/>
          <w:b/>
          <w:sz w:val="16"/>
          <w:szCs w:val="16"/>
          <w:lang w:eastAsia="zh-HK"/>
        </w:rPr>
        <w:t xml:space="preserve">Table </w:t>
      </w:r>
      <w:r w:rsidR="004B71D7">
        <w:rPr>
          <w:rFonts w:ascii="Times New Roman" w:eastAsiaTheme="minorEastAsia" w:hAnsi="Times New Roman"/>
          <w:b/>
          <w:sz w:val="16"/>
          <w:szCs w:val="16"/>
          <w:lang w:eastAsia="zh-HK"/>
        </w:rPr>
        <w:t>VI</w:t>
      </w:r>
      <w:r>
        <w:rPr>
          <w:rFonts w:ascii="Times New Roman" w:eastAsiaTheme="minorEastAsia" w:hAnsi="Times New Roman" w:hint="eastAsia"/>
          <w:b/>
          <w:sz w:val="16"/>
          <w:szCs w:val="16"/>
          <w:lang w:eastAsia="zh-HK"/>
        </w:rPr>
        <w:t xml:space="preserve">: </w:t>
      </w:r>
      <w:r w:rsidR="003F01E7">
        <w:rPr>
          <w:rFonts w:ascii="Times New Roman" w:eastAsiaTheme="minorEastAsia" w:hAnsi="Times New Roman"/>
          <w:b/>
          <w:sz w:val="16"/>
          <w:szCs w:val="16"/>
          <w:lang w:eastAsia="zh-HK"/>
        </w:rPr>
        <w:t>R</w:t>
      </w:r>
      <w:r w:rsidR="004B71D7">
        <w:rPr>
          <w:rFonts w:ascii="Times New Roman" w:eastAsiaTheme="minorEastAsia" w:hAnsi="Times New Roman"/>
          <w:b/>
          <w:sz w:val="16"/>
          <w:szCs w:val="16"/>
          <w:lang w:eastAsia="zh-HK"/>
        </w:rPr>
        <w:t xml:space="preserve">egression with market index </w:t>
      </w:r>
      <w:proofErr w:type="spellStart"/>
      <w:r w:rsidR="004B71D7">
        <w:rPr>
          <w:rFonts w:ascii="Times New Roman" w:eastAsiaTheme="minorEastAsia" w:hAnsi="Times New Roman"/>
          <w:b/>
          <w:sz w:val="16"/>
          <w:szCs w:val="16"/>
          <w:lang w:eastAsia="zh-HK"/>
        </w:rPr>
        <w:t>proxied</w:t>
      </w:r>
      <w:proofErr w:type="spellEnd"/>
      <w:r w:rsidR="004B71D7">
        <w:rPr>
          <w:rFonts w:ascii="Times New Roman" w:eastAsiaTheme="minorEastAsia" w:hAnsi="Times New Roman"/>
          <w:b/>
          <w:sz w:val="16"/>
          <w:szCs w:val="16"/>
          <w:lang w:eastAsia="zh-HK"/>
        </w:rPr>
        <w:t xml:space="preserve"> by different </w:t>
      </w:r>
      <w:proofErr w:type="spellStart"/>
      <w:r w:rsidR="004B71D7">
        <w:rPr>
          <w:rFonts w:ascii="Times New Roman" w:eastAsiaTheme="minorEastAsia" w:hAnsi="Times New Roman"/>
          <w:b/>
          <w:sz w:val="16"/>
          <w:szCs w:val="16"/>
          <w:lang w:eastAsia="zh-HK"/>
        </w:rPr>
        <w:t>datastream</w:t>
      </w:r>
      <w:proofErr w:type="spellEnd"/>
      <w:r w:rsidR="004B71D7">
        <w:rPr>
          <w:rFonts w:ascii="Times New Roman" w:eastAsiaTheme="minorEastAsia" w:hAnsi="Times New Roman"/>
          <w:b/>
          <w:sz w:val="16"/>
          <w:szCs w:val="16"/>
          <w:lang w:eastAsia="zh-HK"/>
        </w:rPr>
        <w:t xml:space="preserve"> indices</w:t>
      </w:r>
    </w:p>
    <w:tbl>
      <w:tblPr>
        <w:tblStyle w:val="TableGrid"/>
        <w:tblW w:w="11199" w:type="dxa"/>
        <w:tblInd w:w="-19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940"/>
        <w:gridCol w:w="848"/>
        <w:gridCol w:w="922"/>
        <w:gridCol w:w="979"/>
        <w:gridCol w:w="849"/>
        <w:gridCol w:w="938"/>
        <w:gridCol w:w="891"/>
        <w:gridCol w:w="850"/>
        <w:gridCol w:w="870"/>
      </w:tblGrid>
      <w:tr w:rsidR="00B118E9" w:rsidRPr="00C50894" w14:paraId="428F1523" w14:textId="77777777" w:rsidTr="006211F5">
        <w:tc>
          <w:tcPr>
            <w:tcW w:w="3112" w:type="dxa"/>
            <w:tcBorders>
              <w:top w:val="single" w:sz="4" w:space="0" w:color="auto"/>
              <w:bottom w:val="nil"/>
              <w:right w:val="nil"/>
            </w:tcBorders>
          </w:tcPr>
          <w:p w14:paraId="48950C40" w14:textId="77777777" w:rsidR="00886D94" w:rsidRPr="00C50894" w:rsidRDefault="00886D94" w:rsidP="00BA3B02">
            <w:pPr>
              <w:spacing w:after="0" w:line="200" w:lineRule="exact"/>
              <w:jc w:val="center"/>
              <w:rPr>
                <w:rFonts w:ascii="Times New Roman" w:hAnsi="Times New Roman"/>
                <w:sz w:val="20"/>
                <w:szCs w:val="20"/>
              </w:rPr>
            </w:pPr>
          </w:p>
        </w:tc>
        <w:tc>
          <w:tcPr>
            <w:tcW w:w="2710" w:type="dxa"/>
            <w:gridSpan w:val="3"/>
            <w:tcBorders>
              <w:top w:val="single" w:sz="4" w:space="0" w:color="auto"/>
              <w:left w:val="nil"/>
              <w:bottom w:val="single" w:sz="4" w:space="0" w:color="auto"/>
              <w:right w:val="nil"/>
            </w:tcBorders>
          </w:tcPr>
          <w:p w14:paraId="08C4C226" w14:textId="5350C32B" w:rsidR="00886D94" w:rsidRPr="00886D94" w:rsidRDefault="00886D94" w:rsidP="00BA3B02">
            <w:pPr>
              <w:spacing w:after="0" w:line="200" w:lineRule="exact"/>
              <w:jc w:val="center"/>
              <w:rPr>
                <w:rFonts w:ascii="Times New Roman" w:eastAsiaTheme="minorEastAsia" w:hAnsi="Times New Roman"/>
                <w:sz w:val="16"/>
                <w:szCs w:val="16"/>
                <w:lang w:eastAsia="zh-TW"/>
              </w:rPr>
            </w:pPr>
            <w:r w:rsidRPr="00886D94">
              <w:rPr>
                <w:rFonts w:ascii="Times New Roman" w:eastAsiaTheme="minorEastAsia" w:hAnsi="Times New Roman" w:hint="eastAsia"/>
                <w:sz w:val="16"/>
                <w:szCs w:val="16"/>
                <w:lang w:eastAsia="zh-TW"/>
              </w:rPr>
              <w:t xml:space="preserve">World </w:t>
            </w:r>
            <w:proofErr w:type="spellStart"/>
            <w:r w:rsidRPr="00886D94">
              <w:rPr>
                <w:rFonts w:ascii="Times New Roman" w:eastAsiaTheme="minorEastAsia" w:hAnsi="Times New Roman" w:hint="eastAsia"/>
                <w:sz w:val="16"/>
                <w:szCs w:val="16"/>
                <w:lang w:eastAsia="zh-TW"/>
              </w:rPr>
              <w:t>Datastream</w:t>
            </w:r>
            <w:proofErr w:type="spellEnd"/>
            <w:r>
              <w:rPr>
                <w:rFonts w:ascii="Times New Roman" w:eastAsiaTheme="minorEastAsia" w:hAnsi="Times New Roman"/>
                <w:sz w:val="16"/>
                <w:szCs w:val="16"/>
                <w:lang w:eastAsia="zh-TW"/>
              </w:rPr>
              <w:t xml:space="preserve"> Market Index</w:t>
            </w:r>
          </w:p>
        </w:tc>
        <w:tc>
          <w:tcPr>
            <w:tcW w:w="2766" w:type="dxa"/>
            <w:gridSpan w:val="3"/>
            <w:tcBorders>
              <w:top w:val="single" w:sz="4" w:space="0" w:color="auto"/>
              <w:left w:val="nil"/>
              <w:bottom w:val="single" w:sz="4" w:space="0" w:color="auto"/>
              <w:right w:val="nil"/>
            </w:tcBorders>
          </w:tcPr>
          <w:p w14:paraId="7AD889DD" w14:textId="74B4E30F" w:rsidR="00886D94" w:rsidRPr="00C50894" w:rsidRDefault="00886D94" w:rsidP="00BA3B02">
            <w:pPr>
              <w:spacing w:after="0" w:line="200" w:lineRule="exact"/>
              <w:jc w:val="center"/>
              <w:rPr>
                <w:rFonts w:ascii="Times New Roman" w:hAnsi="Times New Roman"/>
                <w:sz w:val="16"/>
                <w:szCs w:val="16"/>
              </w:rPr>
            </w:pPr>
            <w:r>
              <w:rPr>
                <w:rFonts w:ascii="Times New Roman" w:hAnsi="Times New Roman"/>
                <w:sz w:val="16"/>
                <w:szCs w:val="16"/>
              </w:rPr>
              <w:t xml:space="preserve">World </w:t>
            </w:r>
            <w:proofErr w:type="spellStart"/>
            <w:r>
              <w:rPr>
                <w:rFonts w:ascii="Times New Roman" w:hAnsi="Times New Roman"/>
                <w:sz w:val="16"/>
                <w:szCs w:val="16"/>
              </w:rPr>
              <w:t>Datastream</w:t>
            </w:r>
            <w:proofErr w:type="spellEnd"/>
            <w:r>
              <w:rPr>
                <w:rFonts w:ascii="Times New Roman" w:hAnsi="Times New Roman"/>
                <w:sz w:val="16"/>
                <w:szCs w:val="16"/>
              </w:rPr>
              <w:t xml:space="preserve"> Bank Index</w:t>
            </w:r>
          </w:p>
        </w:tc>
        <w:tc>
          <w:tcPr>
            <w:tcW w:w="2611" w:type="dxa"/>
            <w:gridSpan w:val="3"/>
            <w:tcBorders>
              <w:top w:val="single" w:sz="4" w:space="0" w:color="auto"/>
              <w:left w:val="nil"/>
              <w:bottom w:val="single" w:sz="4" w:space="0" w:color="auto"/>
            </w:tcBorders>
          </w:tcPr>
          <w:p w14:paraId="1903D1AA" w14:textId="4FAF7D03" w:rsidR="00886D94" w:rsidRPr="00886D94" w:rsidRDefault="00886D94" w:rsidP="00BA3B02">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 xml:space="preserve">World </w:t>
            </w:r>
            <w:proofErr w:type="spellStart"/>
            <w:r>
              <w:rPr>
                <w:rFonts w:ascii="Times New Roman" w:eastAsiaTheme="minorEastAsia" w:hAnsi="Times New Roman" w:hint="eastAsia"/>
                <w:sz w:val="16"/>
                <w:szCs w:val="16"/>
                <w:lang w:eastAsia="zh-TW"/>
              </w:rPr>
              <w:t>Datastream</w:t>
            </w:r>
            <w:proofErr w:type="spellEnd"/>
            <w:r>
              <w:rPr>
                <w:rFonts w:ascii="Times New Roman" w:eastAsiaTheme="minorEastAsia" w:hAnsi="Times New Roman" w:hint="eastAsia"/>
                <w:sz w:val="16"/>
                <w:szCs w:val="16"/>
                <w:lang w:eastAsia="zh-TW"/>
              </w:rPr>
              <w:t xml:space="preserve"> Insurance Index</w:t>
            </w:r>
          </w:p>
        </w:tc>
      </w:tr>
      <w:tr w:rsidR="006211F5" w:rsidRPr="00C50894" w14:paraId="6ECE4665" w14:textId="77777777" w:rsidTr="006211F5">
        <w:tc>
          <w:tcPr>
            <w:tcW w:w="3112" w:type="dxa"/>
            <w:tcBorders>
              <w:top w:val="nil"/>
              <w:bottom w:val="nil"/>
              <w:right w:val="nil"/>
            </w:tcBorders>
          </w:tcPr>
          <w:p w14:paraId="11A376FE" w14:textId="77777777" w:rsidR="006211F5" w:rsidRPr="00C50894" w:rsidRDefault="006211F5" w:rsidP="00BA3B02">
            <w:pPr>
              <w:spacing w:after="0" w:line="200" w:lineRule="exact"/>
              <w:jc w:val="center"/>
              <w:rPr>
                <w:rFonts w:ascii="Times New Roman" w:hAnsi="Times New Roman"/>
                <w:sz w:val="20"/>
                <w:szCs w:val="20"/>
              </w:rPr>
            </w:pPr>
          </w:p>
        </w:tc>
        <w:tc>
          <w:tcPr>
            <w:tcW w:w="8087" w:type="dxa"/>
            <w:gridSpan w:val="9"/>
            <w:tcBorders>
              <w:top w:val="single" w:sz="4" w:space="0" w:color="auto"/>
              <w:left w:val="nil"/>
              <w:bottom w:val="single" w:sz="4" w:space="0" w:color="auto"/>
            </w:tcBorders>
          </w:tcPr>
          <w:p w14:paraId="1C511CE5" w14:textId="46B89463" w:rsidR="006211F5" w:rsidRDefault="006211F5" w:rsidP="00BA3B02">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D</w:t>
            </w:r>
            <w:r>
              <w:rPr>
                <w:rFonts w:ascii="Times New Roman" w:eastAsiaTheme="minorEastAsia" w:hAnsi="Times New Roman"/>
                <w:sz w:val="16"/>
                <w:szCs w:val="16"/>
                <w:lang w:eastAsia="zh-TW"/>
              </w:rPr>
              <w:t>ependent variable</w:t>
            </w:r>
          </w:p>
        </w:tc>
      </w:tr>
      <w:tr w:rsidR="00B118E9" w:rsidRPr="00C50894" w14:paraId="559EA002" w14:textId="77777777" w:rsidTr="006211F5">
        <w:tc>
          <w:tcPr>
            <w:tcW w:w="3112" w:type="dxa"/>
            <w:tcBorders>
              <w:top w:val="nil"/>
              <w:bottom w:val="nil"/>
              <w:right w:val="nil"/>
            </w:tcBorders>
          </w:tcPr>
          <w:p w14:paraId="062ACA44" w14:textId="77777777" w:rsidR="009F7D58" w:rsidRPr="00C50894" w:rsidRDefault="009F7D58" w:rsidP="009F7D58">
            <w:pPr>
              <w:spacing w:after="0" w:line="200" w:lineRule="exact"/>
              <w:jc w:val="center"/>
              <w:rPr>
                <w:rFonts w:ascii="Times New Roman" w:hAnsi="Times New Roman"/>
                <w:sz w:val="20"/>
                <w:szCs w:val="20"/>
              </w:rPr>
            </w:pPr>
          </w:p>
        </w:tc>
        <w:tc>
          <w:tcPr>
            <w:tcW w:w="940" w:type="dxa"/>
            <w:tcBorders>
              <w:top w:val="single" w:sz="4" w:space="0" w:color="auto"/>
              <w:left w:val="nil"/>
              <w:bottom w:val="nil"/>
              <w:right w:val="nil"/>
            </w:tcBorders>
          </w:tcPr>
          <w:p w14:paraId="6737733C" w14:textId="469B75CB" w:rsidR="009F7D58" w:rsidRPr="00C50894" w:rsidRDefault="009F7D58" w:rsidP="009F7D58">
            <w:pPr>
              <w:spacing w:after="0" w:line="200" w:lineRule="exact"/>
              <w:jc w:val="center"/>
              <w:rPr>
                <w:rFonts w:ascii="Times New Roman" w:hAnsi="Times New Roman"/>
                <w:sz w:val="20"/>
                <w:szCs w:val="20"/>
              </w:rPr>
            </w:pPr>
            <w:r>
              <w:rPr>
                <w:rFonts w:ascii="Times New Roman" w:hAnsi="Times New Roman"/>
                <w:sz w:val="16"/>
                <w:szCs w:val="16"/>
              </w:rPr>
              <w:t>MES (%)</w:t>
            </w:r>
          </w:p>
        </w:tc>
        <w:tc>
          <w:tcPr>
            <w:tcW w:w="848" w:type="dxa"/>
            <w:tcBorders>
              <w:top w:val="single" w:sz="4" w:space="0" w:color="auto"/>
              <w:left w:val="nil"/>
              <w:bottom w:val="nil"/>
              <w:right w:val="nil"/>
            </w:tcBorders>
          </w:tcPr>
          <w:p w14:paraId="0E9190CB" w14:textId="1275BFF3" w:rsidR="009F7D58" w:rsidRPr="00C50894" w:rsidRDefault="009F7D58" w:rsidP="009F7D58">
            <w:pPr>
              <w:spacing w:after="0" w:line="200" w:lineRule="exact"/>
              <w:jc w:val="center"/>
              <w:rPr>
                <w:rFonts w:ascii="Times New Roman" w:hAnsi="Times New Roman"/>
                <w:sz w:val="20"/>
                <w:szCs w:val="20"/>
              </w:rPr>
            </w:pPr>
            <w:r>
              <w:rPr>
                <w:rFonts w:ascii="Times New Roman" w:eastAsiaTheme="minorEastAsia" w:hAnsi="Times New Roman" w:hint="eastAsia"/>
                <w:sz w:val="16"/>
                <w:szCs w:val="16"/>
                <w:lang w:eastAsia="zh-TW"/>
              </w:rPr>
              <w:t>SRISK</w:t>
            </w:r>
            <w:r>
              <w:rPr>
                <w:rFonts w:ascii="Times New Roman" w:eastAsiaTheme="minorEastAsia" w:hAnsi="Times New Roman"/>
                <w:sz w:val="16"/>
                <w:szCs w:val="16"/>
                <w:lang w:eastAsia="zh-TW"/>
              </w:rPr>
              <w:t>(in billions)</w:t>
            </w:r>
          </w:p>
        </w:tc>
        <w:tc>
          <w:tcPr>
            <w:tcW w:w="922" w:type="dxa"/>
            <w:tcBorders>
              <w:top w:val="single" w:sz="4" w:space="0" w:color="auto"/>
              <w:left w:val="nil"/>
              <w:bottom w:val="nil"/>
              <w:right w:val="nil"/>
            </w:tcBorders>
          </w:tcPr>
          <w:p w14:paraId="10DE4382" w14:textId="66C59772" w:rsidR="009F7D58" w:rsidRPr="00C50894" w:rsidRDefault="009F7D58" w:rsidP="009F7D58">
            <w:pPr>
              <w:spacing w:after="0" w:line="200" w:lineRule="exact"/>
              <w:jc w:val="center"/>
              <w:rPr>
                <w:rFonts w:ascii="Times New Roman" w:hAnsi="Times New Roman"/>
                <w:sz w:val="20"/>
                <w:szCs w:val="20"/>
              </w:rPr>
            </w:pP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w:t>
            </w:r>
          </w:p>
        </w:tc>
        <w:tc>
          <w:tcPr>
            <w:tcW w:w="979" w:type="dxa"/>
            <w:tcBorders>
              <w:top w:val="single" w:sz="4" w:space="0" w:color="auto"/>
              <w:left w:val="nil"/>
              <w:bottom w:val="nil"/>
              <w:right w:val="nil"/>
            </w:tcBorders>
          </w:tcPr>
          <w:p w14:paraId="7EA650FB" w14:textId="7F5C40CD" w:rsidR="009F7D58" w:rsidRPr="00C50894" w:rsidRDefault="009F7D58" w:rsidP="009F7D58">
            <w:pPr>
              <w:spacing w:after="0" w:line="200" w:lineRule="exact"/>
              <w:jc w:val="center"/>
              <w:rPr>
                <w:rFonts w:ascii="Times New Roman" w:hAnsi="Times New Roman"/>
                <w:sz w:val="12"/>
                <w:szCs w:val="12"/>
              </w:rPr>
            </w:pPr>
            <w:r>
              <w:rPr>
                <w:rFonts w:ascii="Times New Roman" w:hAnsi="Times New Roman"/>
                <w:sz w:val="16"/>
                <w:szCs w:val="16"/>
              </w:rPr>
              <w:t>MES (%)</w:t>
            </w:r>
          </w:p>
        </w:tc>
        <w:tc>
          <w:tcPr>
            <w:tcW w:w="849" w:type="dxa"/>
            <w:tcBorders>
              <w:top w:val="single" w:sz="4" w:space="0" w:color="auto"/>
              <w:left w:val="nil"/>
              <w:bottom w:val="nil"/>
              <w:right w:val="nil"/>
            </w:tcBorders>
          </w:tcPr>
          <w:p w14:paraId="4D7DA897" w14:textId="112F00EC" w:rsidR="009F7D58" w:rsidRPr="00C50894" w:rsidRDefault="009F7D58" w:rsidP="009F7D58">
            <w:pPr>
              <w:spacing w:after="0" w:line="200" w:lineRule="exact"/>
              <w:jc w:val="center"/>
              <w:rPr>
                <w:rFonts w:ascii="Times New Roman" w:hAnsi="Times New Roman"/>
                <w:sz w:val="12"/>
                <w:szCs w:val="12"/>
              </w:rPr>
            </w:pPr>
            <w:r>
              <w:rPr>
                <w:rFonts w:ascii="Times New Roman" w:eastAsiaTheme="minorEastAsia" w:hAnsi="Times New Roman" w:hint="eastAsia"/>
                <w:sz w:val="16"/>
                <w:szCs w:val="16"/>
                <w:lang w:eastAsia="zh-TW"/>
              </w:rPr>
              <w:t>SRISK</w:t>
            </w:r>
            <w:r>
              <w:rPr>
                <w:rFonts w:ascii="Times New Roman" w:eastAsiaTheme="minorEastAsia" w:hAnsi="Times New Roman"/>
                <w:sz w:val="16"/>
                <w:szCs w:val="16"/>
                <w:lang w:eastAsia="zh-TW"/>
              </w:rPr>
              <w:t>(in billions)</w:t>
            </w:r>
          </w:p>
        </w:tc>
        <w:tc>
          <w:tcPr>
            <w:tcW w:w="938" w:type="dxa"/>
            <w:tcBorders>
              <w:top w:val="single" w:sz="4" w:space="0" w:color="auto"/>
              <w:left w:val="nil"/>
              <w:bottom w:val="nil"/>
              <w:right w:val="nil"/>
            </w:tcBorders>
          </w:tcPr>
          <w:p w14:paraId="68B988FC" w14:textId="5343085E" w:rsidR="009F7D58" w:rsidRPr="00C50894" w:rsidRDefault="009F7D58" w:rsidP="009F7D58">
            <w:pPr>
              <w:spacing w:after="0" w:line="200" w:lineRule="exact"/>
              <w:jc w:val="center"/>
              <w:rPr>
                <w:rFonts w:ascii="Times New Roman" w:hAnsi="Times New Roman"/>
                <w:sz w:val="16"/>
                <w:szCs w:val="16"/>
              </w:rPr>
            </w:pP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w:t>
            </w:r>
          </w:p>
        </w:tc>
        <w:tc>
          <w:tcPr>
            <w:tcW w:w="891" w:type="dxa"/>
            <w:tcBorders>
              <w:top w:val="single" w:sz="4" w:space="0" w:color="auto"/>
              <w:left w:val="nil"/>
              <w:bottom w:val="nil"/>
              <w:right w:val="nil"/>
            </w:tcBorders>
          </w:tcPr>
          <w:p w14:paraId="30E25373" w14:textId="58776315" w:rsidR="009F7D58" w:rsidRPr="00C50894" w:rsidRDefault="009F7D58" w:rsidP="009F7D58">
            <w:pPr>
              <w:spacing w:after="0" w:line="200" w:lineRule="exact"/>
              <w:jc w:val="center"/>
              <w:rPr>
                <w:rFonts w:ascii="Times New Roman" w:hAnsi="Times New Roman"/>
                <w:sz w:val="12"/>
                <w:szCs w:val="12"/>
              </w:rPr>
            </w:pPr>
            <w:r>
              <w:rPr>
                <w:rFonts w:ascii="Times New Roman" w:hAnsi="Times New Roman"/>
                <w:sz w:val="16"/>
                <w:szCs w:val="16"/>
              </w:rPr>
              <w:t>MES (%)</w:t>
            </w:r>
          </w:p>
        </w:tc>
        <w:tc>
          <w:tcPr>
            <w:tcW w:w="850" w:type="dxa"/>
            <w:tcBorders>
              <w:top w:val="single" w:sz="4" w:space="0" w:color="auto"/>
              <w:left w:val="nil"/>
              <w:bottom w:val="nil"/>
              <w:right w:val="nil"/>
            </w:tcBorders>
          </w:tcPr>
          <w:p w14:paraId="75A82A1B" w14:textId="77210D2B" w:rsidR="009F7D58" w:rsidRPr="00C50894" w:rsidRDefault="009F7D58" w:rsidP="009F7D58">
            <w:pPr>
              <w:spacing w:after="0" w:line="200" w:lineRule="exact"/>
              <w:jc w:val="center"/>
              <w:rPr>
                <w:rFonts w:ascii="Times New Roman" w:hAnsi="Times New Roman"/>
                <w:sz w:val="12"/>
                <w:szCs w:val="12"/>
              </w:rPr>
            </w:pPr>
            <w:r>
              <w:rPr>
                <w:rFonts w:ascii="Times New Roman" w:eastAsiaTheme="minorEastAsia" w:hAnsi="Times New Roman" w:hint="eastAsia"/>
                <w:sz w:val="16"/>
                <w:szCs w:val="16"/>
                <w:lang w:eastAsia="zh-TW"/>
              </w:rPr>
              <w:t>SRISK</w:t>
            </w:r>
            <w:r>
              <w:rPr>
                <w:rFonts w:ascii="Times New Roman" w:eastAsiaTheme="minorEastAsia" w:hAnsi="Times New Roman"/>
                <w:sz w:val="16"/>
                <w:szCs w:val="16"/>
                <w:lang w:eastAsia="zh-TW"/>
              </w:rPr>
              <w:t>(in billions)</w:t>
            </w:r>
          </w:p>
        </w:tc>
        <w:tc>
          <w:tcPr>
            <w:tcW w:w="870" w:type="dxa"/>
            <w:tcBorders>
              <w:top w:val="single" w:sz="4" w:space="0" w:color="auto"/>
              <w:left w:val="nil"/>
              <w:bottom w:val="nil"/>
            </w:tcBorders>
          </w:tcPr>
          <w:p w14:paraId="4F644B03" w14:textId="4A032414" w:rsidR="009F7D58" w:rsidRPr="00C50894" w:rsidRDefault="009F7D58" w:rsidP="009F7D58">
            <w:pPr>
              <w:spacing w:after="0" w:line="200" w:lineRule="exact"/>
              <w:jc w:val="center"/>
              <w:rPr>
                <w:rFonts w:ascii="Times New Roman" w:hAnsi="Times New Roman"/>
                <w:sz w:val="16"/>
                <w:szCs w:val="16"/>
              </w:rPr>
            </w:pP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w:t>
            </w:r>
          </w:p>
        </w:tc>
      </w:tr>
      <w:tr w:rsidR="00B118E9" w:rsidRPr="00C50894" w14:paraId="05D026ED" w14:textId="77777777" w:rsidTr="006211F5">
        <w:tc>
          <w:tcPr>
            <w:tcW w:w="3112" w:type="dxa"/>
            <w:tcBorders>
              <w:top w:val="nil"/>
              <w:bottom w:val="single" w:sz="4" w:space="0" w:color="auto"/>
              <w:right w:val="nil"/>
            </w:tcBorders>
          </w:tcPr>
          <w:p w14:paraId="416D5879" w14:textId="77777777" w:rsidR="009F7D58" w:rsidRPr="00C50894" w:rsidRDefault="009F7D58" w:rsidP="009F7D58">
            <w:pPr>
              <w:spacing w:after="0" w:line="200" w:lineRule="exact"/>
              <w:jc w:val="center"/>
              <w:rPr>
                <w:rFonts w:ascii="Times New Roman" w:hAnsi="Times New Roman"/>
                <w:sz w:val="20"/>
                <w:szCs w:val="20"/>
              </w:rPr>
            </w:pPr>
          </w:p>
        </w:tc>
        <w:tc>
          <w:tcPr>
            <w:tcW w:w="940" w:type="dxa"/>
            <w:tcBorders>
              <w:top w:val="nil"/>
              <w:left w:val="nil"/>
              <w:bottom w:val="single" w:sz="4" w:space="0" w:color="auto"/>
              <w:right w:val="nil"/>
            </w:tcBorders>
          </w:tcPr>
          <w:p w14:paraId="66345EFE" w14:textId="454FE65A" w:rsidR="009F7D58" w:rsidRPr="00C50894" w:rsidRDefault="009F7D58" w:rsidP="009F7D58">
            <w:pPr>
              <w:spacing w:after="0" w:line="200" w:lineRule="exact"/>
              <w:jc w:val="center"/>
              <w:rPr>
                <w:rFonts w:ascii="Times New Roman" w:hAnsi="Times New Roman"/>
                <w:sz w:val="20"/>
                <w:szCs w:val="20"/>
              </w:rPr>
            </w:pPr>
            <w:r w:rsidRPr="00716971">
              <w:rPr>
                <w:rFonts w:ascii="Times New Roman" w:hAnsi="Times New Roman"/>
                <w:sz w:val="16"/>
                <w:szCs w:val="16"/>
              </w:rPr>
              <w:t>(1)</w:t>
            </w:r>
          </w:p>
        </w:tc>
        <w:tc>
          <w:tcPr>
            <w:tcW w:w="848" w:type="dxa"/>
            <w:tcBorders>
              <w:top w:val="nil"/>
              <w:left w:val="nil"/>
              <w:bottom w:val="single" w:sz="4" w:space="0" w:color="auto"/>
              <w:right w:val="nil"/>
            </w:tcBorders>
          </w:tcPr>
          <w:p w14:paraId="24F78914" w14:textId="2544E0CA" w:rsidR="009F7D58" w:rsidRPr="00C50894" w:rsidRDefault="009F7D58" w:rsidP="009F7D58">
            <w:pPr>
              <w:spacing w:after="0" w:line="200" w:lineRule="exact"/>
              <w:jc w:val="center"/>
              <w:rPr>
                <w:rFonts w:ascii="Times New Roman" w:hAnsi="Times New Roman"/>
                <w:sz w:val="20"/>
                <w:szCs w:val="20"/>
              </w:rPr>
            </w:pPr>
            <w:r w:rsidRPr="00716971">
              <w:rPr>
                <w:rFonts w:ascii="Times New Roman" w:hAnsi="Times New Roman"/>
                <w:sz w:val="16"/>
                <w:szCs w:val="16"/>
              </w:rPr>
              <w:t>(</w:t>
            </w:r>
            <w:r>
              <w:rPr>
                <w:rFonts w:ascii="Times New Roman" w:hAnsi="Times New Roman"/>
                <w:sz w:val="16"/>
                <w:szCs w:val="16"/>
              </w:rPr>
              <w:t>2</w:t>
            </w:r>
            <w:r w:rsidRPr="00716971">
              <w:rPr>
                <w:rFonts w:ascii="Times New Roman" w:hAnsi="Times New Roman"/>
                <w:sz w:val="16"/>
                <w:szCs w:val="16"/>
              </w:rPr>
              <w:t>)</w:t>
            </w:r>
          </w:p>
        </w:tc>
        <w:tc>
          <w:tcPr>
            <w:tcW w:w="922" w:type="dxa"/>
            <w:tcBorders>
              <w:top w:val="nil"/>
              <w:left w:val="nil"/>
              <w:bottom w:val="single" w:sz="4" w:space="0" w:color="auto"/>
              <w:right w:val="nil"/>
            </w:tcBorders>
          </w:tcPr>
          <w:p w14:paraId="7DA9775F" w14:textId="5E7073E8" w:rsidR="009F7D58" w:rsidRPr="00C50894" w:rsidRDefault="009F7D58" w:rsidP="009F7D58">
            <w:pPr>
              <w:spacing w:after="0" w:line="200" w:lineRule="exact"/>
              <w:jc w:val="center"/>
              <w:rPr>
                <w:rFonts w:ascii="Times New Roman" w:hAnsi="Times New Roman"/>
                <w:sz w:val="20"/>
                <w:szCs w:val="20"/>
              </w:rPr>
            </w:pPr>
            <w:r w:rsidRPr="00716971">
              <w:rPr>
                <w:rFonts w:ascii="Times New Roman" w:hAnsi="Times New Roman"/>
                <w:sz w:val="16"/>
                <w:szCs w:val="16"/>
              </w:rPr>
              <w:t>(3)</w:t>
            </w:r>
          </w:p>
        </w:tc>
        <w:tc>
          <w:tcPr>
            <w:tcW w:w="979" w:type="dxa"/>
            <w:tcBorders>
              <w:top w:val="nil"/>
              <w:left w:val="nil"/>
              <w:bottom w:val="single" w:sz="4" w:space="0" w:color="auto"/>
              <w:right w:val="nil"/>
            </w:tcBorders>
          </w:tcPr>
          <w:p w14:paraId="1AE7FB71" w14:textId="2D7B7ED9" w:rsidR="009F7D58" w:rsidRPr="00C50894" w:rsidRDefault="009F7D58" w:rsidP="00BA3B02">
            <w:pPr>
              <w:spacing w:after="0" w:line="200" w:lineRule="exact"/>
              <w:jc w:val="center"/>
              <w:rPr>
                <w:rFonts w:ascii="Times New Roman" w:hAnsi="Times New Roman"/>
                <w:sz w:val="16"/>
                <w:szCs w:val="16"/>
              </w:rPr>
            </w:pPr>
            <w:r w:rsidRPr="00716971">
              <w:rPr>
                <w:rFonts w:ascii="Times New Roman" w:hAnsi="Times New Roman"/>
                <w:sz w:val="16"/>
                <w:szCs w:val="16"/>
              </w:rPr>
              <w:t>(</w:t>
            </w:r>
            <w:r w:rsidR="00BA3B02">
              <w:rPr>
                <w:rFonts w:ascii="Times New Roman" w:hAnsi="Times New Roman"/>
                <w:sz w:val="16"/>
                <w:szCs w:val="16"/>
              </w:rPr>
              <w:t>4</w:t>
            </w:r>
            <w:r w:rsidRPr="00716971">
              <w:rPr>
                <w:rFonts w:ascii="Times New Roman" w:hAnsi="Times New Roman"/>
                <w:sz w:val="16"/>
                <w:szCs w:val="16"/>
              </w:rPr>
              <w:t>)</w:t>
            </w:r>
          </w:p>
        </w:tc>
        <w:tc>
          <w:tcPr>
            <w:tcW w:w="849" w:type="dxa"/>
            <w:tcBorders>
              <w:top w:val="nil"/>
              <w:left w:val="nil"/>
              <w:bottom w:val="single" w:sz="4" w:space="0" w:color="auto"/>
              <w:right w:val="nil"/>
            </w:tcBorders>
          </w:tcPr>
          <w:p w14:paraId="50A5DD97" w14:textId="09378E5E" w:rsidR="009F7D58" w:rsidRPr="00C50894" w:rsidRDefault="009F7D58" w:rsidP="00BA3B02">
            <w:pPr>
              <w:spacing w:after="0" w:line="200" w:lineRule="exact"/>
              <w:jc w:val="center"/>
              <w:rPr>
                <w:rFonts w:ascii="Times New Roman" w:hAnsi="Times New Roman"/>
                <w:sz w:val="16"/>
                <w:szCs w:val="16"/>
              </w:rPr>
            </w:pPr>
            <w:r w:rsidRPr="00716971">
              <w:rPr>
                <w:rFonts w:ascii="Times New Roman" w:hAnsi="Times New Roman"/>
                <w:sz w:val="16"/>
                <w:szCs w:val="16"/>
              </w:rPr>
              <w:t>(</w:t>
            </w:r>
            <w:r w:rsidR="00BA3B02">
              <w:rPr>
                <w:rFonts w:ascii="Times New Roman" w:hAnsi="Times New Roman"/>
                <w:sz w:val="16"/>
                <w:szCs w:val="16"/>
              </w:rPr>
              <w:t>5</w:t>
            </w:r>
            <w:r w:rsidRPr="00716971">
              <w:rPr>
                <w:rFonts w:ascii="Times New Roman" w:hAnsi="Times New Roman"/>
                <w:sz w:val="16"/>
                <w:szCs w:val="16"/>
              </w:rPr>
              <w:t>)</w:t>
            </w:r>
          </w:p>
        </w:tc>
        <w:tc>
          <w:tcPr>
            <w:tcW w:w="938" w:type="dxa"/>
            <w:tcBorders>
              <w:top w:val="nil"/>
              <w:left w:val="nil"/>
              <w:bottom w:val="single" w:sz="4" w:space="0" w:color="auto"/>
              <w:right w:val="nil"/>
            </w:tcBorders>
          </w:tcPr>
          <w:p w14:paraId="0632C4E6" w14:textId="034F189A" w:rsidR="009F7D58" w:rsidRPr="00C50894" w:rsidRDefault="009F7D58" w:rsidP="00BA3B02">
            <w:pPr>
              <w:spacing w:after="0" w:line="200" w:lineRule="exact"/>
              <w:jc w:val="center"/>
              <w:rPr>
                <w:rFonts w:ascii="Times New Roman" w:hAnsi="Times New Roman"/>
                <w:sz w:val="16"/>
                <w:szCs w:val="16"/>
              </w:rPr>
            </w:pPr>
            <w:r w:rsidRPr="00716971">
              <w:rPr>
                <w:rFonts w:ascii="Times New Roman" w:hAnsi="Times New Roman"/>
                <w:sz w:val="16"/>
                <w:szCs w:val="16"/>
              </w:rPr>
              <w:t>(</w:t>
            </w:r>
            <w:r w:rsidR="00BA3B02">
              <w:rPr>
                <w:rFonts w:ascii="Times New Roman" w:hAnsi="Times New Roman"/>
                <w:sz w:val="16"/>
                <w:szCs w:val="16"/>
              </w:rPr>
              <w:t>6</w:t>
            </w:r>
            <w:r w:rsidRPr="00716971">
              <w:rPr>
                <w:rFonts w:ascii="Times New Roman" w:hAnsi="Times New Roman"/>
                <w:sz w:val="16"/>
                <w:szCs w:val="16"/>
              </w:rPr>
              <w:t>)</w:t>
            </w:r>
          </w:p>
        </w:tc>
        <w:tc>
          <w:tcPr>
            <w:tcW w:w="891" w:type="dxa"/>
            <w:tcBorders>
              <w:top w:val="nil"/>
              <w:left w:val="nil"/>
              <w:bottom w:val="single" w:sz="4" w:space="0" w:color="auto"/>
              <w:right w:val="nil"/>
            </w:tcBorders>
          </w:tcPr>
          <w:p w14:paraId="64B85344" w14:textId="43CB8209" w:rsidR="009F7D58" w:rsidRPr="00C50894" w:rsidRDefault="009F7D58" w:rsidP="00BA3B02">
            <w:pPr>
              <w:spacing w:after="0" w:line="200" w:lineRule="exact"/>
              <w:jc w:val="center"/>
              <w:rPr>
                <w:rFonts w:ascii="Times New Roman" w:hAnsi="Times New Roman"/>
                <w:sz w:val="16"/>
                <w:szCs w:val="16"/>
              </w:rPr>
            </w:pPr>
            <w:r w:rsidRPr="00716971">
              <w:rPr>
                <w:rFonts w:ascii="Times New Roman" w:hAnsi="Times New Roman"/>
                <w:sz w:val="16"/>
                <w:szCs w:val="16"/>
              </w:rPr>
              <w:t>(</w:t>
            </w:r>
            <w:r w:rsidR="00BA3B02">
              <w:rPr>
                <w:rFonts w:ascii="Times New Roman" w:hAnsi="Times New Roman"/>
                <w:sz w:val="16"/>
                <w:szCs w:val="16"/>
              </w:rPr>
              <w:t>7</w:t>
            </w:r>
            <w:r w:rsidRPr="00716971">
              <w:rPr>
                <w:rFonts w:ascii="Times New Roman" w:hAnsi="Times New Roman"/>
                <w:sz w:val="16"/>
                <w:szCs w:val="16"/>
              </w:rPr>
              <w:t>)</w:t>
            </w:r>
          </w:p>
        </w:tc>
        <w:tc>
          <w:tcPr>
            <w:tcW w:w="850" w:type="dxa"/>
            <w:tcBorders>
              <w:top w:val="nil"/>
              <w:left w:val="nil"/>
              <w:bottom w:val="single" w:sz="4" w:space="0" w:color="auto"/>
              <w:right w:val="nil"/>
            </w:tcBorders>
          </w:tcPr>
          <w:p w14:paraId="0E5F3BE3" w14:textId="4EADA93F" w:rsidR="009F7D58" w:rsidRPr="00C50894" w:rsidRDefault="009F7D58" w:rsidP="00BA3B02">
            <w:pPr>
              <w:spacing w:after="0" w:line="200" w:lineRule="exact"/>
              <w:jc w:val="center"/>
              <w:rPr>
                <w:rFonts w:ascii="Times New Roman" w:hAnsi="Times New Roman"/>
                <w:sz w:val="16"/>
                <w:szCs w:val="16"/>
              </w:rPr>
            </w:pPr>
            <w:r w:rsidRPr="00716971">
              <w:rPr>
                <w:rFonts w:ascii="Times New Roman" w:hAnsi="Times New Roman"/>
                <w:sz w:val="16"/>
                <w:szCs w:val="16"/>
              </w:rPr>
              <w:t>(</w:t>
            </w:r>
            <w:r w:rsidR="00BA3B02">
              <w:rPr>
                <w:rFonts w:ascii="Times New Roman" w:hAnsi="Times New Roman"/>
                <w:sz w:val="16"/>
                <w:szCs w:val="16"/>
              </w:rPr>
              <w:t>8</w:t>
            </w:r>
            <w:r w:rsidRPr="00716971">
              <w:rPr>
                <w:rFonts w:ascii="Times New Roman" w:hAnsi="Times New Roman"/>
                <w:sz w:val="16"/>
                <w:szCs w:val="16"/>
              </w:rPr>
              <w:t>)</w:t>
            </w:r>
          </w:p>
        </w:tc>
        <w:tc>
          <w:tcPr>
            <w:tcW w:w="870" w:type="dxa"/>
            <w:tcBorders>
              <w:top w:val="nil"/>
              <w:left w:val="nil"/>
              <w:bottom w:val="single" w:sz="4" w:space="0" w:color="auto"/>
            </w:tcBorders>
          </w:tcPr>
          <w:p w14:paraId="76892151" w14:textId="5DF5E217" w:rsidR="009F7D58" w:rsidRPr="00C50894" w:rsidRDefault="009F7D58" w:rsidP="00BA3B02">
            <w:pPr>
              <w:spacing w:after="0" w:line="200" w:lineRule="exact"/>
              <w:jc w:val="center"/>
              <w:rPr>
                <w:rFonts w:ascii="Times New Roman" w:hAnsi="Times New Roman"/>
                <w:sz w:val="16"/>
                <w:szCs w:val="16"/>
              </w:rPr>
            </w:pPr>
            <w:r w:rsidRPr="00716971">
              <w:rPr>
                <w:rFonts w:ascii="Times New Roman" w:hAnsi="Times New Roman"/>
                <w:sz w:val="16"/>
                <w:szCs w:val="16"/>
              </w:rPr>
              <w:t>(</w:t>
            </w:r>
            <w:r w:rsidR="00BA3B02">
              <w:rPr>
                <w:rFonts w:ascii="Times New Roman" w:hAnsi="Times New Roman"/>
                <w:sz w:val="16"/>
                <w:szCs w:val="16"/>
              </w:rPr>
              <w:t>9</w:t>
            </w:r>
            <w:r w:rsidRPr="00716971">
              <w:rPr>
                <w:rFonts w:ascii="Times New Roman" w:hAnsi="Times New Roman"/>
                <w:sz w:val="16"/>
                <w:szCs w:val="16"/>
              </w:rPr>
              <w:t>)</w:t>
            </w:r>
          </w:p>
        </w:tc>
      </w:tr>
      <w:tr w:rsidR="007F1A16" w:rsidRPr="00B86E32" w14:paraId="139BB084" w14:textId="77777777" w:rsidTr="00FC7A46">
        <w:tc>
          <w:tcPr>
            <w:tcW w:w="3112" w:type="dxa"/>
            <w:tcBorders>
              <w:top w:val="single" w:sz="4" w:space="0" w:color="auto"/>
              <w:right w:val="nil"/>
            </w:tcBorders>
          </w:tcPr>
          <w:p w14:paraId="1D720760" w14:textId="57A60FDC" w:rsidR="007F1A16" w:rsidRPr="00C50894" w:rsidRDefault="007F1A16" w:rsidP="007F1A16">
            <w:pPr>
              <w:spacing w:after="0" w:line="200" w:lineRule="exact"/>
              <w:rPr>
                <w:rFonts w:ascii="Times New Roman" w:hAnsi="Times New Roman"/>
                <w:sz w:val="20"/>
                <w:szCs w:val="20"/>
              </w:rPr>
            </w:pPr>
            <w:r>
              <w:rPr>
                <w:rFonts w:ascii="Times New Roman" w:eastAsiaTheme="minorEastAsia" w:hAnsi="Times New Roman" w:hint="eastAsia"/>
                <w:sz w:val="16"/>
                <w:szCs w:val="16"/>
                <w:lang w:eastAsia="zh-TW"/>
              </w:rPr>
              <w:t xml:space="preserve">Policy </w:t>
            </w:r>
            <w:r>
              <w:rPr>
                <w:rFonts w:ascii="Times New Roman" w:eastAsiaTheme="minorEastAsia" w:hAnsi="Times New Roman"/>
                <w:sz w:val="16"/>
                <w:szCs w:val="16"/>
                <w:lang w:eastAsia="zh-TW"/>
              </w:rPr>
              <w:t>x GSII</w:t>
            </w:r>
          </w:p>
        </w:tc>
        <w:tc>
          <w:tcPr>
            <w:tcW w:w="940" w:type="dxa"/>
            <w:tcBorders>
              <w:top w:val="single" w:sz="4" w:space="0" w:color="auto"/>
              <w:left w:val="nil"/>
              <w:right w:val="nil"/>
            </w:tcBorders>
            <w:vAlign w:val="center"/>
          </w:tcPr>
          <w:p w14:paraId="1CF90600" w14:textId="11600036"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-0.581*** (-5.63)</w:t>
            </w:r>
          </w:p>
        </w:tc>
        <w:tc>
          <w:tcPr>
            <w:tcW w:w="848" w:type="dxa"/>
            <w:tcBorders>
              <w:top w:val="single" w:sz="4" w:space="0" w:color="auto"/>
              <w:left w:val="nil"/>
              <w:right w:val="nil"/>
            </w:tcBorders>
            <w:vAlign w:val="center"/>
          </w:tcPr>
          <w:p w14:paraId="7B7E2602" w14:textId="179300C6"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-7.796* (-1.92)</w:t>
            </w:r>
          </w:p>
        </w:tc>
        <w:tc>
          <w:tcPr>
            <w:tcW w:w="922" w:type="dxa"/>
            <w:tcBorders>
              <w:top w:val="single" w:sz="4" w:space="0" w:color="auto"/>
              <w:left w:val="nil"/>
              <w:right w:val="nil"/>
            </w:tcBorders>
            <w:vAlign w:val="center"/>
          </w:tcPr>
          <w:p w14:paraId="369B86C1" w14:textId="6DA18E15"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0.134** (2.58)</w:t>
            </w:r>
          </w:p>
        </w:tc>
        <w:tc>
          <w:tcPr>
            <w:tcW w:w="979" w:type="dxa"/>
            <w:tcBorders>
              <w:top w:val="single" w:sz="4" w:space="0" w:color="auto"/>
              <w:left w:val="nil"/>
              <w:right w:val="nil"/>
            </w:tcBorders>
            <w:vAlign w:val="center"/>
          </w:tcPr>
          <w:p w14:paraId="00BF61AC" w14:textId="45C148BE"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-0.615*** (-4.12)</w:t>
            </w:r>
          </w:p>
        </w:tc>
        <w:tc>
          <w:tcPr>
            <w:tcW w:w="849" w:type="dxa"/>
            <w:tcBorders>
              <w:top w:val="single" w:sz="4" w:space="0" w:color="auto"/>
              <w:left w:val="nil"/>
              <w:right w:val="nil"/>
            </w:tcBorders>
            <w:vAlign w:val="center"/>
          </w:tcPr>
          <w:p w14:paraId="6D9D3190" w14:textId="25B1D257"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-7.759* (-1.89)</w:t>
            </w:r>
          </w:p>
        </w:tc>
        <w:tc>
          <w:tcPr>
            <w:tcW w:w="938" w:type="dxa"/>
            <w:tcBorders>
              <w:top w:val="single" w:sz="4" w:space="0" w:color="auto"/>
              <w:left w:val="nil"/>
              <w:right w:val="nil"/>
            </w:tcBorders>
            <w:vAlign w:val="center"/>
          </w:tcPr>
          <w:p w14:paraId="4585D399" w14:textId="413D54CE"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0.222*** (4.51)</w:t>
            </w:r>
          </w:p>
        </w:tc>
        <w:tc>
          <w:tcPr>
            <w:tcW w:w="891" w:type="dxa"/>
            <w:tcBorders>
              <w:top w:val="single" w:sz="4" w:space="0" w:color="auto"/>
              <w:left w:val="nil"/>
              <w:right w:val="nil"/>
            </w:tcBorders>
            <w:vAlign w:val="center"/>
          </w:tcPr>
          <w:p w14:paraId="142731F0" w14:textId="42DE22C9"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-0.735*** (-4.75)</w:t>
            </w:r>
          </w:p>
        </w:tc>
        <w:tc>
          <w:tcPr>
            <w:tcW w:w="850" w:type="dxa"/>
            <w:tcBorders>
              <w:top w:val="single" w:sz="4" w:space="0" w:color="auto"/>
              <w:left w:val="nil"/>
              <w:right w:val="nil"/>
            </w:tcBorders>
            <w:vAlign w:val="center"/>
          </w:tcPr>
          <w:p w14:paraId="08894956" w14:textId="53ECD303"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-7.913* (-1.99)</w:t>
            </w:r>
          </w:p>
        </w:tc>
        <w:tc>
          <w:tcPr>
            <w:tcW w:w="870" w:type="dxa"/>
            <w:tcBorders>
              <w:top w:val="single" w:sz="4" w:space="0" w:color="auto"/>
              <w:left w:val="nil"/>
            </w:tcBorders>
            <w:vAlign w:val="center"/>
          </w:tcPr>
          <w:p w14:paraId="445BDF8B" w14:textId="28E12025"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0.241*** (3.98)</w:t>
            </w:r>
          </w:p>
        </w:tc>
      </w:tr>
      <w:tr w:rsidR="007F1A16" w:rsidRPr="00B86E32" w14:paraId="0765E538" w14:textId="77777777" w:rsidTr="00FC7A46">
        <w:tc>
          <w:tcPr>
            <w:tcW w:w="3112" w:type="dxa"/>
            <w:tcBorders>
              <w:right w:val="nil"/>
            </w:tcBorders>
          </w:tcPr>
          <w:p w14:paraId="56CF6356" w14:textId="18BB43F0" w:rsidR="007F1A16" w:rsidRPr="00C50894" w:rsidRDefault="007F1A16" w:rsidP="007F1A16">
            <w:pPr>
              <w:spacing w:after="0" w:line="200" w:lineRule="exact"/>
              <w:rPr>
                <w:rFonts w:ascii="Times New Roman" w:hAnsi="Times New Roman"/>
                <w:sz w:val="16"/>
                <w:szCs w:val="16"/>
                <w:lang w:eastAsia="zh-HK"/>
              </w:rPr>
            </w:pPr>
            <w:r w:rsidRPr="003E7C25">
              <w:rPr>
                <w:rFonts w:ascii="Times New Roman" w:hAnsi="Times New Roman"/>
                <w:sz w:val="16"/>
                <w:szCs w:val="16"/>
                <w:lang w:eastAsia="zh-HK"/>
              </w:rPr>
              <w:t>Log (Assets in billions)</w:t>
            </w:r>
          </w:p>
        </w:tc>
        <w:tc>
          <w:tcPr>
            <w:tcW w:w="940" w:type="dxa"/>
            <w:tcBorders>
              <w:left w:val="nil"/>
              <w:right w:val="nil"/>
            </w:tcBorders>
            <w:vAlign w:val="center"/>
          </w:tcPr>
          <w:p w14:paraId="2C850D8A" w14:textId="0A6B3D0D" w:rsidR="007F1A16" w:rsidRPr="00BA3B02"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0.139 (0.98)</w:t>
            </w:r>
          </w:p>
        </w:tc>
        <w:tc>
          <w:tcPr>
            <w:tcW w:w="848" w:type="dxa"/>
            <w:tcBorders>
              <w:left w:val="nil"/>
              <w:right w:val="nil"/>
            </w:tcBorders>
            <w:vAlign w:val="center"/>
          </w:tcPr>
          <w:p w14:paraId="29255801" w14:textId="506FC323" w:rsidR="007F1A16" w:rsidRPr="003B7945"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3.894** (2.71)</w:t>
            </w:r>
          </w:p>
        </w:tc>
        <w:tc>
          <w:tcPr>
            <w:tcW w:w="922" w:type="dxa"/>
            <w:tcBorders>
              <w:left w:val="nil"/>
              <w:right w:val="nil"/>
            </w:tcBorders>
            <w:vAlign w:val="center"/>
          </w:tcPr>
          <w:p w14:paraId="67657FC6" w14:textId="002AF6DB" w:rsidR="007F1A16" w:rsidRPr="003B7945"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-0.11</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(-2.52)</w:t>
            </w:r>
          </w:p>
        </w:tc>
        <w:tc>
          <w:tcPr>
            <w:tcW w:w="979" w:type="dxa"/>
            <w:tcBorders>
              <w:left w:val="nil"/>
              <w:right w:val="nil"/>
            </w:tcBorders>
            <w:vAlign w:val="center"/>
          </w:tcPr>
          <w:p w14:paraId="6D22BA99" w14:textId="4C2C0C1A"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0.287** (2.05)</w:t>
            </w:r>
          </w:p>
        </w:tc>
        <w:tc>
          <w:tcPr>
            <w:tcW w:w="849" w:type="dxa"/>
            <w:tcBorders>
              <w:left w:val="nil"/>
              <w:right w:val="nil"/>
            </w:tcBorders>
            <w:vAlign w:val="center"/>
          </w:tcPr>
          <w:p w14:paraId="685D700C" w14:textId="5655C8D3"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4.101*** (2.88)</w:t>
            </w:r>
          </w:p>
        </w:tc>
        <w:tc>
          <w:tcPr>
            <w:tcW w:w="938" w:type="dxa"/>
            <w:tcBorders>
              <w:left w:val="nil"/>
              <w:right w:val="nil"/>
            </w:tcBorders>
            <w:vAlign w:val="center"/>
          </w:tcPr>
          <w:p w14:paraId="63A06EEC" w14:textId="206D0E16"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-0.147* (-2.04)</w:t>
            </w:r>
          </w:p>
        </w:tc>
        <w:tc>
          <w:tcPr>
            <w:tcW w:w="891" w:type="dxa"/>
            <w:tcBorders>
              <w:left w:val="nil"/>
              <w:right w:val="nil"/>
            </w:tcBorders>
            <w:vAlign w:val="center"/>
          </w:tcPr>
          <w:p w14:paraId="642D61D5" w14:textId="356A53D4"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0.054 (0.3</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850" w:type="dxa"/>
            <w:tcBorders>
              <w:left w:val="nil"/>
              <w:right w:val="nil"/>
            </w:tcBorders>
            <w:vAlign w:val="center"/>
          </w:tcPr>
          <w:p w14:paraId="2C1ED31B" w14:textId="14FCA0FE"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3.946** (2.69)</w:t>
            </w:r>
          </w:p>
        </w:tc>
        <w:tc>
          <w:tcPr>
            <w:tcW w:w="870" w:type="dxa"/>
            <w:tcBorders>
              <w:left w:val="nil"/>
            </w:tcBorders>
            <w:vAlign w:val="center"/>
          </w:tcPr>
          <w:p w14:paraId="41C39632" w14:textId="56748BDE"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-0.137* (-1.88)</w:t>
            </w:r>
          </w:p>
        </w:tc>
      </w:tr>
      <w:tr w:rsidR="007F1A16" w:rsidRPr="00B86E32" w14:paraId="3C7A5FED" w14:textId="77777777" w:rsidTr="00FC7A46">
        <w:tc>
          <w:tcPr>
            <w:tcW w:w="3112" w:type="dxa"/>
            <w:tcBorders>
              <w:right w:val="nil"/>
            </w:tcBorders>
          </w:tcPr>
          <w:p w14:paraId="6B173BC8" w14:textId="632A1FEF" w:rsidR="007F1A16" w:rsidRPr="00C50894" w:rsidRDefault="007F1A16" w:rsidP="007F1A16">
            <w:pPr>
              <w:spacing w:after="0" w:line="200" w:lineRule="exact"/>
              <w:rPr>
                <w:rFonts w:ascii="Times New Roman" w:hAnsi="Times New Roman"/>
                <w:sz w:val="20"/>
                <w:szCs w:val="20"/>
              </w:rPr>
            </w:pPr>
            <w:r w:rsidRPr="003E7C25">
              <w:rPr>
                <w:rFonts w:ascii="Times New Roman" w:hAnsi="Times New Roman"/>
                <w:sz w:val="16"/>
                <w:szCs w:val="16"/>
              </w:rPr>
              <w:t>Leverage</w:t>
            </w:r>
          </w:p>
        </w:tc>
        <w:tc>
          <w:tcPr>
            <w:tcW w:w="940" w:type="dxa"/>
            <w:tcBorders>
              <w:left w:val="nil"/>
              <w:right w:val="nil"/>
            </w:tcBorders>
            <w:vAlign w:val="center"/>
          </w:tcPr>
          <w:p w14:paraId="145CD484" w14:textId="7B18543F"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0.027*** (8.39)</w:t>
            </w:r>
          </w:p>
        </w:tc>
        <w:tc>
          <w:tcPr>
            <w:tcW w:w="848" w:type="dxa"/>
            <w:tcBorders>
              <w:left w:val="nil"/>
              <w:right w:val="nil"/>
            </w:tcBorders>
            <w:vAlign w:val="center"/>
          </w:tcPr>
          <w:p w14:paraId="0B4FE298" w14:textId="49EA5603"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0.196*** (4.38)</w:t>
            </w:r>
          </w:p>
        </w:tc>
        <w:tc>
          <w:tcPr>
            <w:tcW w:w="922" w:type="dxa"/>
            <w:tcBorders>
              <w:left w:val="nil"/>
              <w:right w:val="nil"/>
            </w:tcBorders>
            <w:vAlign w:val="center"/>
          </w:tcPr>
          <w:p w14:paraId="636EE385" w14:textId="32AD26CF"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0.002** (2.15)</w:t>
            </w:r>
          </w:p>
        </w:tc>
        <w:tc>
          <w:tcPr>
            <w:tcW w:w="979" w:type="dxa"/>
            <w:tcBorders>
              <w:left w:val="nil"/>
              <w:right w:val="nil"/>
            </w:tcBorders>
            <w:vAlign w:val="center"/>
          </w:tcPr>
          <w:p w14:paraId="16B1CAC9" w14:textId="33043C2F"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0.029*** (11.82)</w:t>
            </w:r>
          </w:p>
        </w:tc>
        <w:tc>
          <w:tcPr>
            <w:tcW w:w="849" w:type="dxa"/>
            <w:tcBorders>
              <w:left w:val="nil"/>
              <w:right w:val="nil"/>
            </w:tcBorders>
            <w:vAlign w:val="center"/>
          </w:tcPr>
          <w:p w14:paraId="1E93BDD0" w14:textId="69197EF4"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0.192*** (4.43)</w:t>
            </w:r>
          </w:p>
        </w:tc>
        <w:tc>
          <w:tcPr>
            <w:tcW w:w="938" w:type="dxa"/>
            <w:tcBorders>
              <w:left w:val="nil"/>
              <w:right w:val="nil"/>
            </w:tcBorders>
            <w:vAlign w:val="center"/>
          </w:tcPr>
          <w:p w14:paraId="148F7A15" w14:textId="3DC96B38"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0.002* (2.01)</w:t>
            </w:r>
          </w:p>
        </w:tc>
        <w:tc>
          <w:tcPr>
            <w:tcW w:w="891" w:type="dxa"/>
            <w:tcBorders>
              <w:left w:val="nil"/>
              <w:right w:val="nil"/>
            </w:tcBorders>
            <w:vAlign w:val="center"/>
          </w:tcPr>
          <w:p w14:paraId="6564D294" w14:textId="0338F1BC"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0.024*** (10.38)</w:t>
            </w:r>
          </w:p>
        </w:tc>
        <w:tc>
          <w:tcPr>
            <w:tcW w:w="850" w:type="dxa"/>
            <w:tcBorders>
              <w:left w:val="nil"/>
              <w:right w:val="nil"/>
            </w:tcBorders>
            <w:vAlign w:val="center"/>
          </w:tcPr>
          <w:p w14:paraId="6428ACD2" w14:textId="65A3A4C7"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0.193*** (4.49)</w:t>
            </w:r>
          </w:p>
        </w:tc>
        <w:tc>
          <w:tcPr>
            <w:tcW w:w="870" w:type="dxa"/>
            <w:tcBorders>
              <w:left w:val="nil"/>
            </w:tcBorders>
            <w:vAlign w:val="center"/>
          </w:tcPr>
          <w:p w14:paraId="12615EB1" w14:textId="73216557"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0.003** (2.64)</w:t>
            </w:r>
          </w:p>
        </w:tc>
      </w:tr>
      <w:tr w:rsidR="007F1A16" w:rsidRPr="00B86E32" w14:paraId="44C783DC" w14:textId="77777777" w:rsidTr="00FC7A46">
        <w:tc>
          <w:tcPr>
            <w:tcW w:w="3112" w:type="dxa"/>
            <w:tcBorders>
              <w:right w:val="nil"/>
            </w:tcBorders>
          </w:tcPr>
          <w:p w14:paraId="3DBEE6B5" w14:textId="6217F42E" w:rsidR="007F1A16" w:rsidRPr="00C50894" w:rsidRDefault="007F1A16" w:rsidP="007F1A16">
            <w:pPr>
              <w:spacing w:after="0" w:line="200" w:lineRule="exact"/>
              <w:rPr>
                <w:rFonts w:ascii="Times New Roman" w:hAnsi="Times New Roman"/>
                <w:sz w:val="20"/>
                <w:szCs w:val="20"/>
              </w:rPr>
            </w:pPr>
            <w:r w:rsidRPr="003E7C25">
              <w:rPr>
                <w:rFonts w:ascii="Times New Roman" w:hAnsi="Times New Roman"/>
                <w:sz w:val="16"/>
                <w:szCs w:val="16"/>
              </w:rPr>
              <w:t>Non-insurance activities</w:t>
            </w:r>
          </w:p>
        </w:tc>
        <w:tc>
          <w:tcPr>
            <w:tcW w:w="940" w:type="dxa"/>
            <w:tcBorders>
              <w:left w:val="nil"/>
              <w:right w:val="nil"/>
            </w:tcBorders>
            <w:vAlign w:val="center"/>
          </w:tcPr>
          <w:p w14:paraId="65F43F96" w14:textId="0CB9E086"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-0.119 (-1.48)</w:t>
            </w:r>
          </w:p>
        </w:tc>
        <w:tc>
          <w:tcPr>
            <w:tcW w:w="848" w:type="dxa"/>
            <w:tcBorders>
              <w:left w:val="nil"/>
              <w:right w:val="nil"/>
            </w:tcBorders>
            <w:vAlign w:val="center"/>
          </w:tcPr>
          <w:p w14:paraId="0EA6A14B" w14:textId="1FB9BC40"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2.242* (1.82)</w:t>
            </w:r>
          </w:p>
        </w:tc>
        <w:tc>
          <w:tcPr>
            <w:tcW w:w="922" w:type="dxa"/>
            <w:tcBorders>
              <w:left w:val="nil"/>
              <w:right w:val="nil"/>
            </w:tcBorders>
            <w:vAlign w:val="center"/>
          </w:tcPr>
          <w:p w14:paraId="41CF3B16" w14:textId="3468C165"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-0.01</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(-0.44)</w:t>
            </w:r>
          </w:p>
        </w:tc>
        <w:tc>
          <w:tcPr>
            <w:tcW w:w="979" w:type="dxa"/>
            <w:tcBorders>
              <w:left w:val="nil"/>
              <w:right w:val="nil"/>
            </w:tcBorders>
            <w:vAlign w:val="center"/>
          </w:tcPr>
          <w:p w14:paraId="6B0232E4" w14:textId="58902ACA"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-0.036 (-0.32)</w:t>
            </w:r>
          </w:p>
        </w:tc>
        <w:tc>
          <w:tcPr>
            <w:tcW w:w="849" w:type="dxa"/>
            <w:tcBorders>
              <w:left w:val="nil"/>
              <w:right w:val="nil"/>
            </w:tcBorders>
            <w:vAlign w:val="center"/>
          </w:tcPr>
          <w:p w14:paraId="6A0B4A1F" w14:textId="2E006C04"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2.283* (1.92)</w:t>
            </w:r>
          </w:p>
        </w:tc>
        <w:tc>
          <w:tcPr>
            <w:tcW w:w="938" w:type="dxa"/>
            <w:tcBorders>
              <w:left w:val="nil"/>
              <w:right w:val="nil"/>
            </w:tcBorders>
            <w:vAlign w:val="center"/>
          </w:tcPr>
          <w:p w14:paraId="5A6E3577" w14:textId="246E4DE5"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0.014 (0.26)</w:t>
            </w:r>
          </w:p>
        </w:tc>
        <w:tc>
          <w:tcPr>
            <w:tcW w:w="891" w:type="dxa"/>
            <w:tcBorders>
              <w:left w:val="nil"/>
              <w:right w:val="nil"/>
            </w:tcBorders>
            <w:vAlign w:val="center"/>
          </w:tcPr>
          <w:p w14:paraId="6EE2B129" w14:textId="6B18D598"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-0.142 (-0.91)</w:t>
            </w:r>
          </w:p>
        </w:tc>
        <w:tc>
          <w:tcPr>
            <w:tcW w:w="850" w:type="dxa"/>
            <w:tcBorders>
              <w:left w:val="nil"/>
              <w:right w:val="nil"/>
            </w:tcBorders>
            <w:vAlign w:val="center"/>
          </w:tcPr>
          <w:p w14:paraId="4377E2E7" w14:textId="4AF48FA4"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2.277* (1.82)</w:t>
            </w:r>
          </w:p>
        </w:tc>
        <w:tc>
          <w:tcPr>
            <w:tcW w:w="870" w:type="dxa"/>
            <w:tcBorders>
              <w:left w:val="nil"/>
            </w:tcBorders>
            <w:vAlign w:val="center"/>
          </w:tcPr>
          <w:p w14:paraId="1EA54151" w14:textId="053590E5"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-0.022 (-0.5</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r>
      <w:tr w:rsidR="007F1A16" w:rsidRPr="00B86E32" w14:paraId="7099D4A6" w14:textId="77777777" w:rsidTr="00FC7A46">
        <w:tc>
          <w:tcPr>
            <w:tcW w:w="3112" w:type="dxa"/>
            <w:tcBorders>
              <w:right w:val="nil"/>
            </w:tcBorders>
          </w:tcPr>
          <w:p w14:paraId="351A7B0B" w14:textId="4BFF792E" w:rsidR="007F1A16" w:rsidRPr="00C50894" w:rsidRDefault="007F1A16" w:rsidP="007F1A16">
            <w:pPr>
              <w:spacing w:after="0" w:line="200" w:lineRule="exact"/>
              <w:rPr>
                <w:rFonts w:ascii="Times New Roman" w:hAnsi="Times New Roman"/>
                <w:sz w:val="20"/>
                <w:szCs w:val="20"/>
              </w:rPr>
            </w:pPr>
            <w:r w:rsidRPr="003E7C25">
              <w:rPr>
                <w:rFonts w:ascii="Times New Roman" w:hAnsi="Times New Roman"/>
                <w:sz w:val="16"/>
                <w:szCs w:val="16"/>
              </w:rPr>
              <w:t>Other incomes</w:t>
            </w:r>
          </w:p>
        </w:tc>
        <w:tc>
          <w:tcPr>
            <w:tcW w:w="940" w:type="dxa"/>
            <w:tcBorders>
              <w:left w:val="nil"/>
              <w:right w:val="nil"/>
            </w:tcBorders>
            <w:vAlign w:val="center"/>
          </w:tcPr>
          <w:p w14:paraId="4B54A9AF" w14:textId="2BABDBD3"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-2.181 (-1.6)</w:t>
            </w:r>
          </w:p>
        </w:tc>
        <w:tc>
          <w:tcPr>
            <w:tcW w:w="848" w:type="dxa"/>
            <w:tcBorders>
              <w:left w:val="nil"/>
              <w:right w:val="nil"/>
            </w:tcBorders>
            <w:vAlign w:val="center"/>
          </w:tcPr>
          <w:p w14:paraId="7DB1521E" w14:textId="12B7F760"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3.664 (0.74)</w:t>
            </w:r>
          </w:p>
        </w:tc>
        <w:tc>
          <w:tcPr>
            <w:tcW w:w="922" w:type="dxa"/>
            <w:tcBorders>
              <w:left w:val="nil"/>
              <w:right w:val="nil"/>
            </w:tcBorders>
            <w:vAlign w:val="center"/>
          </w:tcPr>
          <w:p w14:paraId="4BE4013F" w14:textId="638B9FF3"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0.807*** (2.95)</w:t>
            </w:r>
          </w:p>
        </w:tc>
        <w:tc>
          <w:tcPr>
            <w:tcW w:w="979" w:type="dxa"/>
            <w:tcBorders>
              <w:left w:val="nil"/>
              <w:right w:val="nil"/>
            </w:tcBorders>
            <w:vAlign w:val="center"/>
          </w:tcPr>
          <w:p w14:paraId="1A82B24E" w14:textId="310D9C8A"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-1.482 (-0.77)</w:t>
            </w:r>
          </w:p>
        </w:tc>
        <w:tc>
          <w:tcPr>
            <w:tcW w:w="849" w:type="dxa"/>
            <w:tcBorders>
              <w:left w:val="nil"/>
              <w:right w:val="nil"/>
            </w:tcBorders>
            <w:vAlign w:val="center"/>
          </w:tcPr>
          <w:p w14:paraId="2E3790EF" w14:textId="75A7DA56"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3.673 (0.8</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938" w:type="dxa"/>
            <w:tcBorders>
              <w:left w:val="nil"/>
              <w:right w:val="nil"/>
            </w:tcBorders>
            <w:vAlign w:val="center"/>
          </w:tcPr>
          <w:p w14:paraId="719BD8F9" w14:textId="76A1A89D"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1.074** (2.69)</w:t>
            </w:r>
          </w:p>
        </w:tc>
        <w:tc>
          <w:tcPr>
            <w:tcW w:w="891" w:type="dxa"/>
            <w:tcBorders>
              <w:left w:val="nil"/>
              <w:right w:val="nil"/>
            </w:tcBorders>
            <w:vAlign w:val="center"/>
          </w:tcPr>
          <w:p w14:paraId="5D6135BB" w14:textId="19223A21"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-0.952 (-0.52)</w:t>
            </w:r>
          </w:p>
        </w:tc>
        <w:tc>
          <w:tcPr>
            <w:tcW w:w="850" w:type="dxa"/>
            <w:tcBorders>
              <w:left w:val="nil"/>
              <w:right w:val="nil"/>
            </w:tcBorders>
            <w:vAlign w:val="center"/>
          </w:tcPr>
          <w:p w14:paraId="2BA24852" w14:textId="1EE7F5A2"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3.987 (0.86)</w:t>
            </w:r>
          </w:p>
        </w:tc>
        <w:tc>
          <w:tcPr>
            <w:tcW w:w="870" w:type="dxa"/>
            <w:tcBorders>
              <w:left w:val="nil"/>
            </w:tcBorders>
            <w:vAlign w:val="center"/>
          </w:tcPr>
          <w:p w14:paraId="75704F29" w14:textId="43DD20A8"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0.861* (1.79)</w:t>
            </w:r>
          </w:p>
        </w:tc>
      </w:tr>
      <w:tr w:rsidR="007F1A16" w:rsidRPr="00B86E32" w14:paraId="49258121" w14:textId="77777777" w:rsidTr="00FC7A46">
        <w:tc>
          <w:tcPr>
            <w:tcW w:w="3112" w:type="dxa"/>
            <w:tcBorders>
              <w:right w:val="nil"/>
            </w:tcBorders>
          </w:tcPr>
          <w:p w14:paraId="05E37792" w14:textId="22D8A5D7" w:rsidR="007F1A16" w:rsidRPr="00C50894" w:rsidRDefault="007F1A16" w:rsidP="007F1A16">
            <w:pPr>
              <w:spacing w:after="0" w:line="200" w:lineRule="exact"/>
              <w:rPr>
                <w:rFonts w:ascii="Times New Roman" w:hAnsi="Times New Roman"/>
                <w:sz w:val="20"/>
                <w:szCs w:val="20"/>
              </w:rPr>
            </w:pPr>
            <w:r>
              <w:rPr>
                <w:rFonts w:ascii="Times New Roman" w:hAnsi="Times New Roman" w:hint="eastAsia"/>
                <w:sz w:val="16"/>
                <w:szCs w:val="16"/>
                <w:lang w:eastAsia="zh-HK"/>
              </w:rPr>
              <w:t>Global activities</w:t>
            </w:r>
          </w:p>
        </w:tc>
        <w:tc>
          <w:tcPr>
            <w:tcW w:w="940" w:type="dxa"/>
            <w:tcBorders>
              <w:left w:val="nil"/>
              <w:right w:val="nil"/>
            </w:tcBorders>
            <w:vAlign w:val="center"/>
          </w:tcPr>
          <w:p w14:paraId="026EE207" w14:textId="23AF7EB5"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0.052 (0.19)</w:t>
            </w:r>
          </w:p>
        </w:tc>
        <w:tc>
          <w:tcPr>
            <w:tcW w:w="848" w:type="dxa"/>
            <w:tcBorders>
              <w:left w:val="nil"/>
              <w:right w:val="nil"/>
            </w:tcBorders>
            <w:vAlign w:val="center"/>
          </w:tcPr>
          <w:p w14:paraId="72E1CCAE" w14:textId="4959D4D4"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0.819 (0.45)</w:t>
            </w:r>
          </w:p>
        </w:tc>
        <w:tc>
          <w:tcPr>
            <w:tcW w:w="922" w:type="dxa"/>
            <w:tcBorders>
              <w:left w:val="nil"/>
              <w:right w:val="nil"/>
            </w:tcBorders>
            <w:vAlign w:val="center"/>
          </w:tcPr>
          <w:p w14:paraId="5B761A82" w14:textId="2CAAEE03"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0.04</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(0.55)</w:t>
            </w:r>
          </w:p>
        </w:tc>
        <w:tc>
          <w:tcPr>
            <w:tcW w:w="979" w:type="dxa"/>
            <w:tcBorders>
              <w:left w:val="nil"/>
              <w:right w:val="nil"/>
            </w:tcBorders>
            <w:vAlign w:val="center"/>
          </w:tcPr>
          <w:p w14:paraId="5CE3E257" w14:textId="647686EE"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0.382 (1.17)</w:t>
            </w:r>
          </w:p>
        </w:tc>
        <w:tc>
          <w:tcPr>
            <w:tcW w:w="849" w:type="dxa"/>
            <w:tcBorders>
              <w:left w:val="nil"/>
              <w:right w:val="nil"/>
            </w:tcBorders>
            <w:vAlign w:val="center"/>
          </w:tcPr>
          <w:p w14:paraId="2D6EF9C6" w14:textId="57049B96"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1.062 (0.58)</w:t>
            </w:r>
          </w:p>
        </w:tc>
        <w:tc>
          <w:tcPr>
            <w:tcW w:w="938" w:type="dxa"/>
            <w:tcBorders>
              <w:left w:val="nil"/>
              <w:right w:val="nil"/>
            </w:tcBorders>
            <w:vAlign w:val="center"/>
          </w:tcPr>
          <w:p w14:paraId="1570F66D" w14:textId="4BA87433"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0.06</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(0.47)</w:t>
            </w:r>
          </w:p>
        </w:tc>
        <w:tc>
          <w:tcPr>
            <w:tcW w:w="891" w:type="dxa"/>
            <w:tcBorders>
              <w:left w:val="nil"/>
              <w:right w:val="nil"/>
            </w:tcBorders>
            <w:vAlign w:val="center"/>
          </w:tcPr>
          <w:p w14:paraId="29AA70BE" w14:textId="55A8C28C"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0.118 (0.38)</w:t>
            </w:r>
          </w:p>
        </w:tc>
        <w:tc>
          <w:tcPr>
            <w:tcW w:w="850" w:type="dxa"/>
            <w:tcBorders>
              <w:left w:val="nil"/>
              <w:right w:val="nil"/>
            </w:tcBorders>
            <w:vAlign w:val="center"/>
          </w:tcPr>
          <w:p w14:paraId="0AB3E4E5" w14:textId="431A9D65"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0.724 (0.41)</w:t>
            </w:r>
          </w:p>
        </w:tc>
        <w:tc>
          <w:tcPr>
            <w:tcW w:w="870" w:type="dxa"/>
            <w:tcBorders>
              <w:left w:val="nil"/>
            </w:tcBorders>
            <w:vAlign w:val="center"/>
          </w:tcPr>
          <w:p w14:paraId="3260DDB0" w14:textId="089BCE1B"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0.024 (0.32)</w:t>
            </w:r>
          </w:p>
        </w:tc>
      </w:tr>
      <w:tr w:rsidR="007F1A16" w:rsidRPr="00B86E32" w14:paraId="13DD664B" w14:textId="77777777" w:rsidTr="00FC7A46">
        <w:tc>
          <w:tcPr>
            <w:tcW w:w="3112" w:type="dxa"/>
            <w:tcBorders>
              <w:right w:val="nil"/>
            </w:tcBorders>
          </w:tcPr>
          <w:p w14:paraId="1075ED1F" w14:textId="6C5EF18F" w:rsidR="007F1A16" w:rsidRPr="00C50894" w:rsidRDefault="007F1A16" w:rsidP="007F1A16">
            <w:pPr>
              <w:spacing w:after="0" w:line="200" w:lineRule="exact"/>
              <w:rPr>
                <w:rFonts w:ascii="Times New Roman" w:hAnsi="Times New Roman"/>
                <w:sz w:val="20"/>
                <w:szCs w:val="20"/>
              </w:rPr>
            </w:pPr>
            <w:r w:rsidRPr="003E7C25">
              <w:rPr>
                <w:rFonts w:ascii="Times New Roman" w:hAnsi="Times New Roman"/>
                <w:sz w:val="16"/>
                <w:szCs w:val="16"/>
                <w:lang w:eastAsia="zh-HK"/>
              </w:rPr>
              <w:t>Liquidity</w:t>
            </w:r>
          </w:p>
        </w:tc>
        <w:tc>
          <w:tcPr>
            <w:tcW w:w="940" w:type="dxa"/>
            <w:tcBorders>
              <w:left w:val="nil"/>
              <w:right w:val="nil"/>
            </w:tcBorders>
            <w:vAlign w:val="center"/>
          </w:tcPr>
          <w:p w14:paraId="171676D6" w14:textId="36E2B28A"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-0.01</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(-0.06)</w:t>
            </w:r>
          </w:p>
        </w:tc>
        <w:tc>
          <w:tcPr>
            <w:tcW w:w="848" w:type="dxa"/>
            <w:tcBorders>
              <w:left w:val="nil"/>
              <w:right w:val="nil"/>
            </w:tcBorders>
            <w:vAlign w:val="center"/>
          </w:tcPr>
          <w:p w14:paraId="53D9A889" w14:textId="2EBFFEC9"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-0.276 (-0.28)</w:t>
            </w:r>
          </w:p>
        </w:tc>
        <w:tc>
          <w:tcPr>
            <w:tcW w:w="922" w:type="dxa"/>
            <w:tcBorders>
              <w:left w:val="nil"/>
              <w:right w:val="nil"/>
            </w:tcBorders>
            <w:vAlign w:val="center"/>
          </w:tcPr>
          <w:p w14:paraId="602383D5" w14:textId="09D56BD6"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0.002 (0.03)</w:t>
            </w:r>
          </w:p>
        </w:tc>
        <w:tc>
          <w:tcPr>
            <w:tcW w:w="979" w:type="dxa"/>
            <w:tcBorders>
              <w:left w:val="nil"/>
              <w:right w:val="nil"/>
            </w:tcBorders>
            <w:vAlign w:val="center"/>
          </w:tcPr>
          <w:p w14:paraId="4D856A14" w14:textId="0C3EFAC9"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-0.132 (-0.56)</w:t>
            </w:r>
          </w:p>
        </w:tc>
        <w:tc>
          <w:tcPr>
            <w:tcW w:w="849" w:type="dxa"/>
            <w:tcBorders>
              <w:left w:val="nil"/>
              <w:right w:val="nil"/>
            </w:tcBorders>
            <w:vAlign w:val="center"/>
          </w:tcPr>
          <w:p w14:paraId="12436A18" w14:textId="4CE6540A"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-0.51</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(-0.47)</w:t>
            </w:r>
          </w:p>
        </w:tc>
        <w:tc>
          <w:tcPr>
            <w:tcW w:w="938" w:type="dxa"/>
            <w:tcBorders>
              <w:left w:val="nil"/>
              <w:right w:val="nil"/>
            </w:tcBorders>
            <w:vAlign w:val="center"/>
          </w:tcPr>
          <w:p w14:paraId="3F49D29E" w14:textId="7E2431E6"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-0.002 (-0.02)</w:t>
            </w:r>
          </w:p>
        </w:tc>
        <w:tc>
          <w:tcPr>
            <w:tcW w:w="891" w:type="dxa"/>
            <w:tcBorders>
              <w:left w:val="nil"/>
              <w:right w:val="nil"/>
            </w:tcBorders>
            <w:vAlign w:val="center"/>
          </w:tcPr>
          <w:p w14:paraId="0E21BE36" w14:textId="15A937EA"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-0.108 (-0.64)</w:t>
            </w:r>
          </w:p>
        </w:tc>
        <w:tc>
          <w:tcPr>
            <w:tcW w:w="850" w:type="dxa"/>
            <w:tcBorders>
              <w:left w:val="nil"/>
              <w:right w:val="nil"/>
            </w:tcBorders>
            <w:vAlign w:val="center"/>
          </w:tcPr>
          <w:p w14:paraId="3F8AC3AE" w14:textId="120D128D"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-0.446 (-0.4</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870" w:type="dxa"/>
            <w:tcBorders>
              <w:left w:val="nil"/>
            </w:tcBorders>
            <w:vAlign w:val="center"/>
          </w:tcPr>
          <w:p w14:paraId="4981CE8A" w14:textId="695EF2C4"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-0.034 (-0.36)</w:t>
            </w:r>
          </w:p>
        </w:tc>
      </w:tr>
      <w:tr w:rsidR="007F1A16" w:rsidRPr="00B86E32" w14:paraId="59E0D529" w14:textId="77777777" w:rsidTr="00FC7A46">
        <w:tc>
          <w:tcPr>
            <w:tcW w:w="3112" w:type="dxa"/>
            <w:tcBorders>
              <w:right w:val="nil"/>
            </w:tcBorders>
          </w:tcPr>
          <w:p w14:paraId="2039969A" w14:textId="1165ED98" w:rsidR="007F1A16" w:rsidRPr="00C50894" w:rsidRDefault="007F1A16" w:rsidP="007F1A16">
            <w:pPr>
              <w:spacing w:after="0" w:line="200" w:lineRule="exact"/>
              <w:rPr>
                <w:rFonts w:ascii="Times New Roman" w:hAnsi="Times New Roman"/>
                <w:sz w:val="20"/>
                <w:szCs w:val="20"/>
              </w:rPr>
            </w:pPr>
            <w:r>
              <w:rPr>
                <w:rFonts w:ascii="Times New Roman" w:eastAsiaTheme="minorEastAsia" w:hAnsi="Times New Roman" w:hint="eastAsia"/>
                <w:sz w:val="16"/>
                <w:szCs w:val="16"/>
                <w:lang w:eastAsia="zh-TW"/>
              </w:rPr>
              <w:t>M</w:t>
            </w:r>
            <w:r>
              <w:rPr>
                <w:rFonts w:ascii="Times New Roman" w:eastAsiaTheme="minorEastAsia" w:hAnsi="Times New Roman"/>
                <w:sz w:val="16"/>
                <w:szCs w:val="16"/>
                <w:lang w:eastAsia="zh-TW"/>
              </w:rPr>
              <w:t>arket-to-book ratio</w:t>
            </w:r>
          </w:p>
        </w:tc>
        <w:tc>
          <w:tcPr>
            <w:tcW w:w="940" w:type="dxa"/>
            <w:tcBorders>
              <w:left w:val="nil"/>
              <w:right w:val="nil"/>
            </w:tcBorders>
            <w:vAlign w:val="center"/>
          </w:tcPr>
          <w:p w14:paraId="5C534EA3" w14:textId="2D93E6EB"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-0.025 (-0.33)</w:t>
            </w:r>
          </w:p>
        </w:tc>
        <w:tc>
          <w:tcPr>
            <w:tcW w:w="848" w:type="dxa"/>
            <w:tcBorders>
              <w:left w:val="nil"/>
              <w:right w:val="nil"/>
            </w:tcBorders>
            <w:vAlign w:val="center"/>
          </w:tcPr>
          <w:p w14:paraId="02FCA201" w14:textId="4BB6BF72"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0.156 (0.75)</w:t>
            </w:r>
          </w:p>
        </w:tc>
        <w:tc>
          <w:tcPr>
            <w:tcW w:w="922" w:type="dxa"/>
            <w:tcBorders>
              <w:left w:val="nil"/>
              <w:right w:val="nil"/>
            </w:tcBorders>
            <w:vAlign w:val="center"/>
          </w:tcPr>
          <w:p w14:paraId="30DFAB39" w14:textId="3BAB5B16"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0.008 (0.44)</w:t>
            </w:r>
          </w:p>
        </w:tc>
        <w:tc>
          <w:tcPr>
            <w:tcW w:w="979" w:type="dxa"/>
            <w:tcBorders>
              <w:left w:val="nil"/>
              <w:right w:val="nil"/>
            </w:tcBorders>
            <w:vAlign w:val="center"/>
          </w:tcPr>
          <w:p w14:paraId="0FB87FA8" w14:textId="76AAB022"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-0.028 (-0.42)</w:t>
            </w:r>
          </w:p>
        </w:tc>
        <w:tc>
          <w:tcPr>
            <w:tcW w:w="849" w:type="dxa"/>
            <w:tcBorders>
              <w:left w:val="nil"/>
              <w:right w:val="nil"/>
            </w:tcBorders>
            <w:vAlign w:val="center"/>
          </w:tcPr>
          <w:p w14:paraId="34060143" w14:textId="19537A54"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0.155 (0.71)</w:t>
            </w:r>
          </w:p>
        </w:tc>
        <w:tc>
          <w:tcPr>
            <w:tcW w:w="938" w:type="dxa"/>
            <w:tcBorders>
              <w:left w:val="nil"/>
              <w:right w:val="nil"/>
            </w:tcBorders>
            <w:vAlign w:val="center"/>
          </w:tcPr>
          <w:p w14:paraId="656B27C7" w14:textId="5975AF1D"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0.031 (1.34)</w:t>
            </w:r>
          </w:p>
        </w:tc>
        <w:tc>
          <w:tcPr>
            <w:tcW w:w="891" w:type="dxa"/>
            <w:tcBorders>
              <w:left w:val="nil"/>
              <w:right w:val="nil"/>
            </w:tcBorders>
            <w:vAlign w:val="center"/>
          </w:tcPr>
          <w:p w14:paraId="5AE1DF39" w14:textId="0B8FE3A5"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-0.141 (-1.66)</w:t>
            </w:r>
          </w:p>
        </w:tc>
        <w:tc>
          <w:tcPr>
            <w:tcW w:w="850" w:type="dxa"/>
            <w:tcBorders>
              <w:left w:val="nil"/>
              <w:right w:val="nil"/>
            </w:tcBorders>
            <w:vAlign w:val="center"/>
          </w:tcPr>
          <w:p w14:paraId="263D770F" w14:textId="510FC643"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0.128 (0.58)</w:t>
            </w:r>
          </w:p>
        </w:tc>
        <w:tc>
          <w:tcPr>
            <w:tcW w:w="870" w:type="dxa"/>
            <w:tcBorders>
              <w:left w:val="nil"/>
            </w:tcBorders>
            <w:vAlign w:val="center"/>
          </w:tcPr>
          <w:p w14:paraId="1F0D3CC3" w14:textId="220DF7C8"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0.025 (1.12)</w:t>
            </w:r>
          </w:p>
        </w:tc>
      </w:tr>
      <w:tr w:rsidR="007F1A16" w:rsidRPr="00B86E32" w14:paraId="37426D03" w14:textId="77777777" w:rsidTr="00FC7A46">
        <w:tc>
          <w:tcPr>
            <w:tcW w:w="3112" w:type="dxa"/>
            <w:tcBorders>
              <w:right w:val="nil"/>
            </w:tcBorders>
          </w:tcPr>
          <w:p w14:paraId="1B7D1B4C" w14:textId="0E589067" w:rsidR="007F1A16" w:rsidRPr="00C50894" w:rsidRDefault="007F1A16" w:rsidP="007F1A16">
            <w:pPr>
              <w:spacing w:after="0" w:line="200" w:lineRule="exact"/>
              <w:rPr>
                <w:rFonts w:ascii="Times New Roman" w:hAnsi="Times New Roman"/>
                <w:sz w:val="20"/>
                <w:szCs w:val="20"/>
              </w:rPr>
            </w:pPr>
            <w:r w:rsidRPr="003E7C25">
              <w:rPr>
                <w:rFonts w:ascii="Times New Roman" w:eastAsiaTheme="minorEastAsia" w:hAnsi="Times New Roman"/>
                <w:sz w:val="16"/>
                <w:szCs w:val="16"/>
                <w:lang w:eastAsia="zh-TW"/>
              </w:rPr>
              <w:t>Life</w:t>
            </w:r>
          </w:p>
        </w:tc>
        <w:tc>
          <w:tcPr>
            <w:tcW w:w="940" w:type="dxa"/>
            <w:tcBorders>
              <w:left w:val="nil"/>
              <w:right w:val="nil"/>
            </w:tcBorders>
            <w:vAlign w:val="center"/>
          </w:tcPr>
          <w:p w14:paraId="298CE56A" w14:textId="2DC8BCCA"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-0.261 (-0.35)</w:t>
            </w:r>
          </w:p>
        </w:tc>
        <w:tc>
          <w:tcPr>
            <w:tcW w:w="848" w:type="dxa"/>
            <w:tcBorders>
              <w:left w:val="nil"/>
              <w:right w:val="nil"/>
            </w:tcBorders>
            <w:vAlign w:val="center"/>
          </w:tcPr>
          <w:p w14:paraId="1D49CCD5" w14:textId="43686AE0"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15.964** (2.38)</w:t>
            </w:r>
          </w:p>
        </w:tc>
        <w:tc>
          <w:tcPr>
            <w:tcW w:w="922" w:type="dxa"/>
            <w:tcBorders>
              <w:left w:val="nil"/>
              <w:right w:val="nil"/>
            </w:tcBorders>
            <w:vAlign w:val="center"/>
          </w:tcPr>
          <w:p w14:paraId="3343B922" w14:textId="1738D5EE"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0.194 (0.98)</w:t>
            </w:r>
          </w:p>
        </w:tc>
        <w:tc>
          <w:tcPr>
            <w:tcW w:w="979" w:type="dxa"/>
            <w:tcBorders>
              <w:left w:val="nil"/>
              <w:right w:val="nil"/>
            </w:tcBorders>
            <w:vAlign w:val="center"/>
          </w:tcPr>
          <w:p w14:paraId="48221834" w14:textId="65D6A790"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0.51</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(0.66)</w:t>
            </w:r>
          </w:p>
        </w:tc>
        <w:tc>
          <w:tcPr>
            <w:tcW w:w="849" w:type="dxa"/>
            <w:tcBorders>
              <w:left w:val="nil"/>
              <w:right w:val="nil"/>
            </w:tcBorders>
            <w:vAlign w:val="center"/>
          </w:tcPr>
          <w:p w14:paraId="5F076E56" w14:textId="18BE79A5"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16.716** (2.5</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938" w:type="dxa"/>
            <w:tcBorders>
              <w:left w:val="nil"/>
              <w:right w:val="nil"/>
            </w:tcBorders>
            <w:vAlign w:val="center"/>
          </w:tcPr>
          <w:p w14:paraId="7AA2E896" w14:textId="77777777" w:rsidR="007F1A16" w:rsidRDefault="007F1A16" w:rsidP="007F1A16">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.000</w:t>
            </w:r>
            <w:r>
              <w:rPr>
                <w:rFonts w:ascii="Times New Roman Uni" w:eastAsia="Times New Roman Uni" w:hAnsi="Times New Roman Uni" w:cs="Times New Roman Uni" w:hint="eastAsia"/>
                <w:color w:val="000000"/>
                <w:sz w:val="16"/>
                <w:szCs w:val="16"/>
              </w:rPr>
              <w:t xml:space="preserve"> </w:t>
            </w:r>
          </w:p>
          <w:p w14:paraId="3B20C537" w14:textId="5A9B0990"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w:t>
            </w:r>
            <w:r>
              <w:rPr>
                <w:rFonts w:ascii="Times New Roman Uni" w:eastAsia="Times New Roman Uni" w:hAnsi="Times New Roman Uni" w:cs="Times New Roman Uni" w:hint="eastAsia"/>
                <w:color w:val="000000"/>
                <w:sz w:val="16"/>
                <w:szCs w:val="16"/>
              </w:rPr>
              <w:t>)</w:t>
            </w:r>
          </w:p>
        </w:tc>
        <w:tc>
          <w:tcPr>
            <w:tcW w:w="891" w:type="dxa"/>
            <w:tcBorders>
              <w:left w:val="nil"/>
              <w:right w:val="nil"/>
            </w:tcBorders>
            <w:vAlign w:val="center"/>
          </w:tcPr>
          <w:p w14:paraId="733A9F00" w14:textId="311A928E"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-0.978 (-1.09)</w:t>
            </w:r>
          </w:p>
        </w:tc>
        <w:tc>
          <w:tcPr>
            <w:tcW w:w="850" w:type="dxa"/>
            <w:tcBorders>
              <w:left w:val="nil"/>
              <w:right w:val="nil"/>
            </w:tcBorders>
            <w:vAlign w:val="center"/>
          </w:tcPr>
          <w:p w14:paraId="2AF2C2E7" w14:textId="5BE14AFC"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15.776** (2.31)</w:t>
            </w:r>
          </w:p>
        </w:tc>
        <w:tc>
          <w:tcPr>
            <w:tcW w:w="870" w:type="dxa"/>
            <w:tcBorders>
              <w:left w:val="nil"/>
            </w:tcBorders>
            <w:vAlign w:val="center"/>
          </w:tcPr>
          <w:p w14:paraId="3E2BF428" w14:textId="2449D694"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0.271 (0.77)</w:t>
            </w:r>
          </w:p>
        </w:tc>
      </w:tr>
      <w:tr w:rsidR="007F1A16" w:rsidRPr="00B86E32" w14:paraId="300E0140" w14:textId="77777777" w:rsidTr="00FC7A46">
        <w:tc>
          <w:tcPr>
            <w:tcW w:w="3112" w:type="dxa"/>
            <w:tcBorders>
              <w:right w:val="nil"/>
            </w:tcBorders>
          </w:tcPr>
          <w:p w14:paraId="47983DD1" w14:textId="76A86B06" w:rsidR="007F1A16" w:rsidRPr="00C50894" w:rsidRDefault="007F1A16" w:rsidP="007F1A16">
            <w:pPr>
              <w:spacing w:after="0" w:line="200" w:lineRule="exact"/>
              <w:rPr>
                <w:rFonts w:ascii="Times New Roman" w:hAnsi="Times New Roman"/>
                <w:sz w:val="20"/>
                <w:szCs w:val="20"/>
              </w:rPr>
            </w:pPr>
            <w:r>
              <w:rPr>
                <w:rFonts w:ascii="Times New Roman" w:hAnsi="Times New Roman" w:hint="eastAsia"/>
                <w:sz w:val="16"/>
                <w:szCs w:val="16"/>
                <w:lang w:eastAsia="zh-HK"/>
              </w:rPr>
              <w:t>Loss ratio</w:t>
            </w:r>
          </w:p>
        </w:tc>
        <w:tc>
          <w:tcPr>
            <w:tcW w:w="940" w:type="dxa"/>
            <w:tcBorders>
              <w:left w:val="nil"/>
              <w:right w:val="nil"/>
            </w:tcBorders>
            <w:vAlign w:val="center"/>
          </w:tcPr>
          <w:p w14:paraId="368865ED" w14:textId="45910B9E"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-0.002*** (-8.14)</w:t>
            </w:r>
          </w:p>
        </w:tc>
        <w:tc>
          <w:tcPr>
            <w:tcW w:w="848" w:type="dxa"/>
            <w:tcBorders>
              <w:left w:val="nil"/>
              <w:right w:val="nil"/>
            </w:tcBorders>
            <w:vAlign w:val="center"/>
          </w:tcPr>
          <w:p w14:paraId="29BAF743" w14:textId="75C1034A"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0.001 (0.87)</w:t>
            </w:r>
          </w:p>
        </w:tc>
        <w:tc>
          <w:tcPr>
            <w:tcW w:w="922" w:type="dxa"/>
            <w:tcBorders>
              <w:left w:val="nil"/>
              <w:right w:val="nil"/>
            </w:tcBorders>
            <w:vAlign w:val="center"/>
          </w:tcPr>
          <w:p w14:paraId="04AC87BB" w14:textId="4AAAD621"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color w:val="000000"/>
                <w:sz w:val="16"/>
                <w:szCs w:val="16"/>
              </w:rPr>
              <w:t>-</w:t>
            </w: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.000</w:t>
            </w:r>
            <w:r>
              <w:rPr>
                <w:rFonts w:ascii="Times New Roman Uni" w:eastAsia="Times New Roman Uni" w:hAnsi="Times New Roman Uni" w:cs="Times New Roman Uni" w:hint="eastAsia"/>
                <w:color w:val="000000"/>
                <w:sz w:val="16"/>
                <w:szCs w:val="16"/>
              </w:rPr>
              <w:t xml:space="preserve"> (-1.42)</w:t>
            </w:r>
          </w:p>
        </w:tc>
        <w:tc>
          <w:tcPr>
            <w:tcW w:w="979" w:type="dxa"/>
            <w:tcBorders>
              <w:left w:val="nil"/>
              <w:right w:val="nil"/>
            </w:tcBorders>
            <w:vAlign w:val="center"/>
          </w:tcPr>
          <w:p w14:paraId="69DFC1DC" w14:textId="5E443827"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-0.002*** (-4.69)</w:t>
            </w:r>
          </w:p>
        </w:tc>
        <w:tc>
          <w:tcPr>
            <w:tcW w:w="849" w:type="dxa"/>
            <w:tcBorders>
              <w:left w:val="nil"/>
              <w:right w:val="nil"/>
            </w:tcBorders>
            <w:vAlign w:val="center"/>
          </w:tcPr>
          <w:p w14:paraId="481D0637" w14:textId="6409B525"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0.001 (1.06)</w:t>
            </w:r>
          </w:p>
        </w:tc>
        <w:tc>
          <w:tcPr>
            <w:tcW w:w="938" w:type="dxa"/>
            <w:tcBorders>
              <w:left w:val="nil"/>
              <w:right w:val="nil"/>
            </w:tcBorders>
            <w:vAlign w:val="center"/>
          </w:tcPr>
          <w:p w14:paraId="1C843809" w14:textId="4AC584FF"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.000</w:t>
            </w:r>
            <w:r>
              <w:rPr>
                <w:rFonts w:ascii="Times New Roman Uni" w:eastAsia="Times New Roman Uni" w:hAnsi="Times New Roman Uni" w:cs="Times New Roman Uni" w:hint="eastAsia"/>
                <w:color w:val="000000"/>
                <w:sz w:val="16"/>
                <w:szCs w:val="16"/>
              </w:rPr>
              <w:t xml:space="preserve"> (0.53)</w:t>
            </w:r>
          </w:p>
        </w:tc>
        <w:tc>
          <w:tcPr>
            <w:tcW w:w="891" w:type="dxa"/>
            <w:tcBorders>
              <w:left w:val="nil"/>
              <w:right w:val="nil"/>
            </w:tcBorders>
            <w:vAlign w:val="center"/>
          </w:tcPr>
          <w:p w14:paraId="176672C2" w14:textId="1D249368"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-0.002*** (-9.86)</w:t>
            </w:r>
          </w:p>
        </w:tc>
        <w:tc>
          <w:tcPr>
            <w:tcW w:w="850" w:type="dxa"/>
            <w:tcBorders>
              <w:left w:val="nil"/>
              <w:right w:val="nil"/>
            </w:tcBorders>
            <w:vAlign w:val="center"/>
          </w:tcPr>
          <w:p w14:paraId="504D4CE0" w14:textId="5717C3B4"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0.001 (0.6</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870" w:type="dxa"/>
            <w:tcBorders>
              <w:left w:val="nil"/>
            </w:tcBorders>
            <w:vAlign w:val="center"/>
          </w:tcPr>
          <w:p w14:paraId="408B0365" w14:textId="5A7BBE73"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.000</w:t>
            </w:r>
            <w:r>
              <w:rPr>
                <w:rFonts w:ascii="Times New Roman Uni" w:eastAsia="Times New Roman Uni" w:hAnsi="Times New Roman Uni" w:cs="Times New Roman Uni" w:hint="eastAsia"/>
                <w:color w:val="000000"/>
                <w:sz w:val="16"/>
                <w:szCs w:val="16"/>
              </w:rPr>
              <w:t xml:space="preserve"> (0.5</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r>
      <w:tr w:rsidR="007F1A16" w:rsidRPr="00B86E32" w14:paraId="0D748C49" w14:textId="77777777" w:rsidTr="00FC7A46">
        <w:tc>
          <w:tcPr>
            <w:tcW w:w="3112" w:type="dxa"/>
            <w:tcBorders>
              <w:right w:val="nil"/>
            </w:tcBorders>
          </w:tcPr>
          <w:p w14:paraId="3F79723A" w14:textId="361EBA72" w:rsidR="007F1A16" w:rsidRPr="00C50894" w:rsidRDefault="007F1A16" w:rsidP="007F1A16">
            <w:pPr>
              <w:spacing w:after="0" w:line="200" w:lineRule="exact"/>
              <w:rPr>
                <w:rFonts w:ascii="Times New Roman" w:hAnsi="Times New Roman"/>
                <w:sz w:val="20"/>
                <w:szCs w:val="20"/>
              </w:rPr>
            </w:pPr>
            <w:r>
              <w:rPr>
                <w:rFonts w:ascii="Times New Roman" w:hAnsi="Times New Roman" w:hint="eastAsia"/>
                <w:sz w:val="16"/>
                <w:szCs w:val="16"/>
                <w:lang w:eastAsia="zh-HK"/>
              </w:rPr>
              <w:t>Investment income</w:t>
            </w:r>
            <w:r>
              <w:rPr>
                <w:rFonts w:ascii="Times New Roman" w:hAnsi="Times New Roman"/>
                <w:sz w:val="16"/>
                <w:szCs w:val="16"/>
                <w:lang w:eastAsia="zh-HK"/>
              </w:rPr>
              <w:t>s</w:t>
            </w:r>
          </w:p>
        </w:tc>
        <w:tc>
          <w:tcPr>
            <w:tcW w:w="940" w:type="dxa"/>
            <w:tcBorders>
              <w:left w:val="nil"/>
              <w:right w:val="nil"/>
            </w:tcBorders>
            <w:vAlign w:val="center"/>
          </w:tcPr>
          <w:p w14:paraId="311FFB81" w14:textId="4CB90015"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6.591*** (2.95)</w:t>
            </w:r>
          </w:p>
        </w:tc>
        <w:tc>
          <w:tcPr>
            <w:tcW w:w="848" w:type="dxa"/>
            <w:tcBorders>
              <w:left w:val="nil"/>
              <w:right w:val="nil"/>
            </w:tcBorders>
            <w:vAlign w:val="center"/>
          </w:tcPr>
          <w:p w14:paraId="330054F0" w14:textId="37A94BFB"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-8.077 (-0.82)</w:t>
            </w:r>
          </w:p>
        </w:tc>
        <w:tc>
          <w:tcPr>
            <w:tcW w:w="922" w:type="dxa"/>
            <w:tcBorders>
              <w:left w:val="nil"/>
              <w:right w:val="nil"/>
            </w:tcBorders>
            <w:vAlign w:val="center"/>
          </w:tcPr>
          <w:p w14:paraId="2EC74332" w14:textId="374563EB"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0.106 (0.1</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979" w:type="dxa"/>
            <w:tcBorders>
              <w:left w:val="nil"/>
              <w:right w:val="nil"/>
            </w:tcBorders>
            <w:vAlign w:val="center"/>
          </w:tcPr>
          <w:p w14:paraId="2D699DFF" w14:textId="1F9949A2"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6.97*** (2.9</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849" w:type="dxa"/>
            <w:tcBorders>
              <w:left w:val="nil"/>
              <w:right w:val="nil"/>
            </w:tcBorders>
            <w:vAlign w:val="center"/>
          </w:tcPr>
          <w:p w14:paraId="47DF0864" w14:textId="6FCA69E2"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-9.019 (-0.93)</w:t>
            </w:r>
          </w:p>
        </w:tc>
        <w:tc>
          <w:tcPr>
            <w:tcW w:w="938" w:type="dxa"/>
            <w:tcBorders>
              <w:left w:val="nil"/>
              <w:right w:val="nil"/>
            </w:tcBorders>
            <w:vAlign w:val="center"/>
          </w:tcPr>
          <w:p w14:paraId="5251CC7A" w14:textId="5C6A050A"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-0.237 (-0.17)</w:t>
            </w:r>
          </w:p>
        </w:tc>
        <w:tc>
          <w:tcPr>
            <w:tcW w:w="891" w:type="dxa"/>
            <w:tcBorders>
              <w:left w:val="nil"/>
              <w:right w:val="nil"/>
            </w:tcBorders>
            <w:vAlign w:val="center"/>
          </w:tcPr>
          <w:p w14:paraId="271E5098" w14:textId="3931E5F7"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5.768** (2.38)</w:t>
            </w:r>
          </w:p>
        </w:tc>
        <w:tc>
          <w:tcPr>
            <w:tcW w:w="850" w:type="dxa"/>
            <w:tcBorders>
              <w:left w:val="nil"/>
              <w:right w:val="nil"/>
            </w:tcBorders>
            <w:vAlign w:val="center"/>
          </w:tcPr>
          <w:p w14:paraId="51069CC0" w14:textId="6F11A300"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-6.968 (-0.72)</w:t>
            </w:r>
          </w:p>
        </w:tc>
        <w:tc>
          <w:tcPr>
            <w:tcW w:w="870" w:type="dxa"/>
            <w:tcBorders>
              <w:left w:val="nil"/>
            </w:tcBorders>
            <w:vAlign w:val="center"/>
          </w:tcPr>
          <w:p w14:paraId="05B8612C" w14:textId="42D3AD86"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-0.31</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(-0.26)</w:t>
            </w:r>
          </w:p>
        </w:tc>
      </w:tr>
      <w:tr w:rsidR="007F1A16" w:rsidRPr="00B86E32" w14:paraId="57C7D556" w14:textId="77777777" w:rsidTr="00FC7A46">
        <w:tc>
          <w:tcPr>
            <w:tcW w:w="3112" w:type="dxa"/>
            <w:tcBorders>
              <w:right w:val="nil"/>
            </w:tcBorders>
          </w:tcPr>
          <w:p w14:paraId="75AAD027" w14:textId="53E3653B" w:rsidR="007F1A16" w:rsidRPr="00C50894" w:rsidRDefault="007F1A16" w:rsidP="007F1A16">
            <w:pPr>
              <w:spacing w:after="0" w:line="200" w:lineRule="exact"/>
              <w:rPr>
                <w:rFonts w:ascii="Times New Roman" w:hAnsi="Times New Roman"/>
                <w:sz w:val="20"/>
                <w:szCs w:val="20"/>
              </w:rPr>
            </w:pPr>
            <w:r>
              <w:rPr>
                <w:rFonts w:ascii="Times New Roman" w:hAnsi="Times New Roman" w:hint="eastAsia"/>
                <w:sz w:val="16"/>
                <w:szCs w:val="16"/>
                <w:lang w:eastAsia="zh-HK"/>
              </w:rPr>
              <w:t>ROA (%)</w:t>
            </w:r>
          </w:p>
        </w:tc>
        <w:tc>
          <w:tcPr>
            <w:tcW w:w="940" w:type="dxa"/>
            <w:tcBorders>
              <w:left w:val="nil"/>
              <w:right w:val="nil"/>
            </w:tcBorders>
            <w:vAlign w:val="center"/>
          </w:tcPr>
          <w:p w14:paraId="35004E5F" w14:textId="214E98AD"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0.015 (0.41)</w:t>
            </w:r>
          </w:p>
        </w:tc>
        <w:tc>
          <w:tcPr>
            <w:tcW w:w="848" w:type="dxa"/>
            <w:tcBorders>
              <w:left w:val="nil"/>
              <w:right w:val="nil"/>
            </w:tcBorders>
            <w:vAlign w:val="center"/>
          </w:tcPr>
          <w:p w14:paraId="67CB630F" w14:textId="1DC28817"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0.056 (0.99)</w:t>
            </w:r>
          </w:p>
        </w:tc>
        <w:tc>
          <w:tcPr>
            <w:tcW w:w="922" w:type="dxa"/>
            <w:tcBorders>
              <w:left w:val="nil"/>
              <w:right w:val="nil"/>
            </w:tcBorders>
            <w:vAlign w:val="center"/>
          </w:tcPr>
          <w:p w14:paraId="00A41A68" w14:textId="11DEB56A"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-0.022** (-2.75)</w:t>
            </w:r>
          </w:p>
        </w:tc>
        <w:tc>
          <w:tcPr>
            <w:tcW w:w="979" w:type="dxa"/>
            <w:tcBorders>
              <w:left w:val="nil"/>
              <w:right w:val="nil"/>
            </w:tcBorders>
            <w:vAlign w:val="center"/>
          </w:tcPr>
          <w:p w14:paraId="3295C719" w14:textId="437D4E28"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-0.036 (-0.86)</w:t>
            </w:r>
          </w:p>
        </w:tc>
        <w:tc>
          <w:tcPr>
            <w:tcW w:w="849" w:type="dxa"/>
            <w:tcBorders>
              <w:left w:val="nil"/>
              <w:right w:val="nil"/>
            </w:tcBorders>
            <w:vAlign w:val="center"/>
          </w:tcPr>
          <w:p w14:paraId="3703D038" w14:textId="79629D16"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0.037 (0.61)</w:t>
            </w:r>
          </w:p>
        </w:tc>
        <w:tc>
          <w:tcPr>
            <w:tcW w:w="938" w:type="dxa"/>
            <w:tcBorders>
              <w:left w:val="nil"/>
              <w:right w:val="nil"/>
            </w:tcBorders>
            <w:vAlign w:val="center"/>
          </w:tcPr>
          <w:p w14:paraId="2857B3EC" w14:textId="2199A8B3"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-0.027** (-2.49)</w:t>
            </w:r>
          </w:p>
        </w:tc>
        <w:tc>
          <w:tcPr>
            <w:tcW w:w="891" w:type="dxa"/>
            <w:tcBorders>
              <w:left w:val="nil"/>
              <w:right w:val="nil"/>
            </w:tcBorders>
            <w:vAlign w:val="center"/>
          </w:tcPr>
          <w:p w14:paraId="479E301D" w14:textId="7A65FE90"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-0.023 (-0.53)</w:t>
            </w:r>
          </w:p>
        </w:tc>
        <w:tc>
          <w:tcPr>
            <w:tcW w:w="850" w:type="dxa"/>
            <w:tcBorders>
              <w:left w:val="nil"/>
              <w:right w:val="nil"/>
            </w:tcBorders>
            <w:vAlign w:val="center"/>
          </w:tcPr>
          <w:p w14:paraId="1AA89809" w14:textId="33CF99B5"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0.033 (0.53)</w:t>
            </w:r>
          </w:p>
        </w:tc>
        <w:tc>
          <w:tcPr>
            <w:tcW w:w="870" w:type="dxa"/>
            <w:tcBorders>
              <w:left w:val="nil"/>
            </w:tcBorders>
            <w:vAlign w:val="center"/>
          </w:tcPr>
          <w:p w14:paraId="50DD6065" w14:textId="5003061E"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-0.028** (-2.16)</w:t>
            </w:r>
          </w:p>
        </w:tc>
      </w:tr>
      <w:tr w:rsidR="007F1A16" w:rsidRPr="00B86E32" w14:paraId="0E8A4ADA" w14:textId="77777777" w:rsidTr="00FC7A46">
        <w:tc>
          <w:tcPr>
            <w:tcW w:w="3112" w:type="dxa"/>
            <w:tcBorders>
              <w:right w:val="nil"/>
            </w:tcBorders>
          </w:tcPr>
          <w:p w14:paraId="17BCB98F" w14:textId="55AF5CA7" w:rsidR="007F1A16" w:rsidRPr="00C50894" w:rsidRDefault="007F1A16" w:rsidP="007F1A16">
            <w:pPr>
              <w:spacing w:after="0" w:line="200" w:lineRule="exact"/>
              <w:rPr>
                <w:rFonts w:ascii="Times New Roman" w:hAnsi="Times New Roman"/>
                <w:sz w:val="20"/>
                <w:szCs w:val="20"/>
              </w:rPr>
            </w:pPr>
            <w:r>
              <w:rPr>
                <w:rFonts w:ascii="Times New Roman" w:hAnsi="Times New Roman" w:hint="eastAsia"/>
                <w:sz w:val="16"/>
                <w:szCs w:val="16"/>
                <w:lang w:eastAsia="zh-HK"/>
              </w:rPr>
              <w:t>Operating expenses</w:t>
            </w:r>
          </w:p>
        </w:tc>
        <w:tc>
          <w:tcPr>
            <w:tcW w:w="940" w:type="dxa"/>
            <w:tcBorders>
              <w:left w:val="nil"/>
              <w:right w:val="nil"/>
            </w:tcBorders>
            <w:vAlign w:val="center"/>
          </w:tcPr>
          <w:p w14:paraId="3E275FB7" w14:textId="48A67BA2"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1.029 (1.54)</w:t>
            </w:r>
          </w:p>
        </w:tc>
        <w:tc>
          <w:tcPr>
            <w:tcW w:w="848" w:type="dxa"/>
            <w:tcBorders>
              <w:left w:val="nil"/>
              <w:right w:val="nil"/>
            </w:tcBorders>
            <w:vAlign w:val="center"/>
          </w:tcPr>
          <w:p w14:paraId="078FD53D" w14:textId="4A762CFF"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-0.036 (-0.02)</w:t>
            </w:r>
          </w:p>
        </w:tc>
        <w:tc>
          <w:tcPr>
            <w:tcW w:w="922" w:type="dxa"/>
            <w:tcBorders>
              <w:left w:val="nil"/>
              <w:right w:val="nil"/>
            </w:tcBorders>
            <w:vAlign w:val="center"/>
          </w:tcPr>
          <w:p w14:paraId="33F42BE6" w14:textId="34436FC9"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-0.28 (-1.43)</w:t>
            </w:r>
          </w:p>
        </w:tc>
        <w:tc>
          <w:tcPr>
            <w:tcW w:w="979" w:type="dxa"/>
            <w:tcBorders>
              <w:left w:val="nil"/>
              <w:right w:val="nil"/>
            </w:tcBorders>
            <w:vAlign w:val="center"/>
          </w:tcPr>
          <w:p w14:paraId="3944ECDF" w14:textId="6D8614FE"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0.403 (0.54)</w:t>
            </w:r>
          </w:p>
        </w:tc>
        <w:tc>
          <w:tcPr>
            <w:tcW w:w="849" w:type="dxa"/>
            <w:tcBorders>
              <w:left w:val="nil"/>
              <w:right w:val="nil"/>
            </w:tcBorders>
            <w:vAlign w:val="center"/>
          </w:tcPr>
          <w:p w14:paraId="24400A72" w14:textId="1A61D3B4"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0.009 (0.01)</w:t>
            </w:r>
          </w:p>
        </w:tc>
        <w:tc>
          <w:tcPr>
            <w:tcW w:w="938" w:type="dxa"/>
            <w:tcBorders>
              <w:left w:val="nil"/>
              <w:right w:val="nil"/>
            </w:tcBorders>
            <w:vAlign w:val="center"/>
          </w:tcPr>
          <w:p w14:paraId="47DD6C50" w14:textId="0276EC3F"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-0.23 (-0.75)</w:t>
            </w:r>
          </w:p>
        </w:tc>
        <w:tc>
          <w:tcPr>
            <w:tcW w:w="891" w:type="dxa"/>
            <w:tcBorders>
              <w:left w:val="nil"/>
              <w:right w:val="nil"/>
            </w:tcBorders>
            <w:vAlign w:val="center"/>
          </w:tcPr>
          <w:p w14:paraId="14911C0C" w14:textId="7CC231EC"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0.16</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(0.21)</w:t>
            </w:r>
          </w:p>
        </w:tc>
        <w:tc>
          <w:tcPr>
            <w:tcW w:w="850" w:type="dxa"/>
            <w:tcBorders>
              <w:left w:val="nil"/>
              <w:right w:val="nil"/>
            </w:tcBorders>
            <w:vAlign w:val="center"/>
          </w:tcPr>
          <w:p w14:paraId="1DEDA9D1" w14:textId="7FEF5642"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-0.204 (-0.13)</w:t>
            </w:r>
          </w:p>
        </w:tc>
        <w:tc>
          <w:tcPr>
            <w:tcW w:w="870" w:type="dxa"/>
            <w:tcBorders>
              <w:left w:val="nil"/>
            </w:tcBorders>
            <w:vAlign w:val="center"/>
          </w:tcPr>
          <w:p w14:paraId="419865E8" w14:textId="731E7AED"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-0.12</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(-0.43)</w:t>
            </w:r>
          </w:p>
        </w:tc>
      </w:tr>
      <w:tr w:rsidR="007F1A16" w:rsidRPr="00B86E32" w14:paraId="6B3D40C7" w14:textId="77777777" w:rsidTr="00FC7A46">
        <w:tc>
          <w:tcPr>
            <w:tcW w:w="3112" w:type="dxa"/>
            <w:tcBorders>
              <w:right w:val="nil"/>
            </w:tcBorders>
          </w:tcPr>
          <w:p w14:paraId="6B0CC6C4" w14:textId="438252CD" w:rsidR="007F1A16" w:rsidRPr="00C50894" w:rsidRDefault="007F1A16" w:rsidP="007F1A16">
            <w:pPr>
              <w:spacing w:after="0" w:line="200" w:lineRule="exact"/>
              <w:rPr>
                <w:rFonts w:ascii="Times New Roman" w:hAnsi="Times New Roman"/>
                <w:sz w:val="20"/>
                <w:szCs w:val="20"/>
              </w:rPr>
            </w:pPr>
            <w:r>
              <w:rPr>
                <w:rFonts w:ascii="Times New Roman" w:eastAsiaTheme="minorEastAsia" w:hAnsi="Times New Roman"/>
                <w:sz w:val="16"/>
                <w:szCs w:val="16"/>
                <w:lang w:eastAsia="zh-HK"/>
              </w:rPr>
              <w:t>GDP growth (%)</w:t>
            </w:r>
          </w:p>
        </w:tc>
        <w:tc>
          <w:tcPr>
            <w:tcW w:w="940" w:type="dxa"/>
            <w:tcBorders>
              <w:left w:val="nil"/>
              <w:right w:val="nil"/>
            </w:tcBorders>
            <w:vAlign w:val="center"/>
          </w:tcPr>
          <w:p w14:paraId="643248C2" w14:textId="35BDEA62"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0.039 (1.15)</w:t>
            </w:r>
          </w:p>
        </w:tc>
        <w:tc>
          <w:tcPr>
            <w:tcW w:w="848" w:type="dxa"/>
            <w:tcBorders>
              <w:left w:val="nil"/>
              <w:right w:val="nil"/>
            </w:tcBorders>
            <w:vAlign w:val="center"/>
          </w:tcPr>
          <w:p w14:paraId="781E288B" w14:textId="1D0256F5"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0.226* (1.86)</w:t>
            </w:r>
          </w:p>
        </w:tc>
        <w:tc>
          <w:tcPr>
            <w:tcW w:w="922" w:type="dxa"/>
            <w:tcBorders>
              <w:left w:val="nil"/>
              <w:right w:val="nil"/>
            </w:tcBorders>
            <w:vAlign w:val="center"/>
          </w:tcPr>
          <w:p w14:paraId="3806562E" w14:textId="7AEFA614"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-0.022* (-1.88)</w:t>
            </w:r>
          </w:p>
        </w:tc>
        <w:tc>
          <w:tcPr>
            <w:tcW w:w="979" w:type="dxa"/>
            <w:tcBorders>
              <w:left w:val="nil"/>
              <w:right w:val="nil"/>
            </w:tcBorders>
            <w:vAlign w:val="center"/>
          </w:tcPr>
          <w:p w14:paraId="6624FBF3" w14:textId="77D0A12B"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-0.033 (-0.67)</w:t>
            </w:r>
          </w:p>
        </w:tc>
        <w:tc>
          <w:tcPr>
            <w:tcW w:w="849" w:type="dxa"/>
            <w:tcBorders>
              <w:left w:val="nil"/>
              <w:right w:val="nil"/>
            </w:tcBorders>
            <w:vAlign w:val="center"/>
          </w:tcPr>
          <w:p w14:paraId="33E27FEE" w14:textId="3C33351A"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0.201 (1.66)</w:t>
            </w:r>
          </w:p>
        </w:tc>
        <w:tc>
          <w:tcPr>
            <w:tcW w:w="938" w:type="dxa"/>
            <w:tcBorders>
              <w:left w:val="nil"/>
              <w:right w:val="nil"/>
            </w:tcBorders>
            <w:vAlign w:val="center"/>
          </w:tcPr>
          <w:p w14:paraId="1352A175" w14:textId="07F445AD"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-0.039** (-2.13)</w:t>
            </w:r>
          </w:p>
        </w:tc>
        <w:tc>
          <w:tcPr>
            <w:tcW w:w="891" w:type="dxa"/>
            <w:tcBorders>
              <w:left w:val="nil"/>
              <w:right w:val="nil"/>
            </w:tcBorders>
            <w:vAlign w:val="center"/>
          </w:tcPr>
          <w:p w14:paraId="6408D0BB" w14:textId="21E67EFC"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-0.068 (-1.11)</w:t>
            </w:r>
          </w:p>
        </w:tc>
        <w:tc>
          <w:tcPr>
            <w:tcW w:w="850" w:type="dxa"/>
            <w:tcBorders>
              <w:left w:val="nil"/>
              <w:right w:val="nil"/>
            </w:tcBorders>
            <w:vAlign w:val="center"/>
          </w:tcPr>
          <w:p w14:paraId="413C7DDC" w14:textId="698BF2D0"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0.22</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(1.77)</w:t>
            </w:r>
          </w:p>
        </w:tc>
        <w:tc>
          <w:tcPr>
            <w:tcW w:w="870" w:type="dxa"/>
            <w:tcBorders>
              <w:left w:val="nil"/>
            </w:tcBorders>
            <w:vAlign w:val="center"/>
          </w:tcPr>
          <w:p w14:paraId="48B5384A" w14:textId="7A635174"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-0.008 (-0.66)</w:t>
            </w:r>
          </w:p>
        </w:tc>
      </w:tr>
      <w:tr w:rsidR="007F1A16" w:rsidRPr="00B86E32" w14:paraId="01DE0111" w14:textId="77777777" w:rsidTr="00FC7A46">
        <w:tc>
          <w:tcPr>
            <w:tcW w:w="3112" w:type="dxa"/>
            <w:tcBorders>
              <w:right w:val="nil"/>
            </w:tcBorders>
          </w:tcPr>
          <w:p w14:paraId="404C9900" w14:textId="79AF5E08" w:rsidR="007F1A16" w:rsidRPr="00C50894" w:rsidRDefault="007F1A16" w:rsidP="007F1A16">
            <w:pPr>
              <w:spacing w:after="0" w:line="200" w:lineRule="exact"/>
              <w:rPr>
                <w:rFonts w:ascii="Times New Roman" w:hAnsi="Times New Roman"/>
                <w:sz w:val="20"/>
                <w:szCs w:val="20"/>
              </w:rPr>
            </w:pPr>
            <w:r>
              <w:rPr>
                <w:rFonts w:ascii="Times New Roman" w:hAnsi="Times New Roman"/>
                <w:sz w:val="16"/>
                <w:szCs w:val="16"/>
                <w:lang w:eastAsia="zh-HK"/>
              </w:rPr>
              <w:t>Inflation (%)</w:t>
            </w:r>
          </w:p>
        </w:tc>
        <w:tc>
          <w:tcPr>
            <w:tcW w:w="940" w:type="dxa"/>
            <w:tcBorders>
              <w:left w:val="nil"/>
              <w:right w:val="nil"/>
            </w:tcBorders>
            <w:vAlign w:val="center"/>
          </w:tcPr>
          <w:p w14:paraId="559672F6" w14:textId="07DA8528" w:rsidR="007F1A16" w:rsidRPr="00BA3B02"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-0.026 (-0.38)</w:t>
            </w:r>
          </w:p>
        </w:tc>
        <w:tc>
          <w:tcPr>
            <w:tcW w:w="848" w:type="dxa"/>
            <w:tcBorders>
              <w:left w:val="nil"/>
              <w:right w:val="nil"/>
            </w:tcBorders>
            <w:vAlign w:val="center"/>
          </w:tcPr>
          <w:p w14:paraId="07C52FAC" w14:textId="7D52FAA5"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-0.143 (-1.12)</w:t>
            </w:r>
          </w:p>
        </w:tc>
        <w:tc>
          <w:tcPr>
            <w:tcW w:w="922" w:type="dxa"/>
            <w:tcBorders>
              <w:left w:val="nil"/>
              <w:right w:val="nil"/>
            </w:tcBorders>
            <w:vAlign w:val="center"/>
          </w:tcPr>
          <w:p w14:paraId="32C286F8" w14:textId="2FE9C130" w:rsidR="007F1A16" w:rsidRPr="003B7945" w:rsidRDefault="007F1A16" w:rsidP="007F1A16">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0.01</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(0.89)</w:t>
            </w:r>
          </w:p>
        </w:tc>
        <w:tc>
          <w:tcPr>
            <w:tcW w:w="979" w:type="dxa"/>
            <w:tcBorders>
              <w:left w:val="nil"/>
              <w:right w:val="nil"/>
            </w:tcBorders>
            <w:vAlign w:val="center"/>
          </w:tcPr>
          <w:p w14:paraId="6BC09562" w14:textId="0B3B1729"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-0.011 (-0.15)</w:t>
            </w:r>
          </w:p>
        </w:tc>
        <w:tc>
          <w:tcPr>
            <w:tcW w:w="849" w:type="dxa"/>
            <w:tcBorders>
              <w:left w:val="nil"/>
              <w:right w:val="nil"/>
            </w:tcBorders>
            <w:vAlign w:val="center"/>
          </w:tcPr>
          <w:p w14:paraId="562FC0C5" w14:textId="0772BE00" w:rsidR="007F1A16" w:rsidRPr="004F13FF"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-0.128 (-0.99)</w:t>
            </w:r>
          </w:p>
        </w:tc>
        <w:tc>
          <w:tcPr>
            <w:tcW w:w="938" w:type="dxa"/>
            <w:tcBorders>
              <w:left w:val="nil"/>
              <w:right w:val="nil"/>
            </w:tcBorders>
            <w:vAlign w:val="center"/>
          </w:tcPr>
          <w:p w14:paraId="01031C43" w14:textId="42B104F0" w:rsidR="007F1A16" w:rsidRPr="00627D7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0.022 (1.35)</w:t>
            </w:r>
          </w:p>
        </w:tc>
        <w:tc>
          <w:tcPr>
            <w:tcW w:w="891" w:type="dxa"/>
            <w:tcBorders>
              <w:left w:val="nil"/>
              <w:right w:val="nil"/>
            </w:tcBorders>
            <w:vAlign w:val="center"/>
          </w:tcPr>
          <w:p w14:paraId="6F5FEFE2" w14:textId="4819BDAD" w:rsidR="007F1A16" w:rsidRPr="0053731D"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-0.043 (-0.58)</w:t>
            </w:r>
          </w:p>
        </w:tc>
        <w:tc>
          <w:tcPr>
            <w:tcW w:w="850" w:type="dxa"/>
            <w:tcBorders>
              <w:left w:val="nil"/>
              <w:right w:val="nil"/>
            </w:tcBorders>
            <w:vAlign w:val="center"/>
          </w:tcPr>
          <w:p w14:paraId="4E829E1F" w14:textId="33CAB20F"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-0.135 (-1.13)</w:t>
            </w:r>
          </w:p>
        </w:tc>
        <w:tc>
          <w:tcPr>
            <w:tcW w:w="870" w:type="dxa"/>
            <w:tcBorders>
              <w:left w:val="nil"/>
            </w:tcBorders>
            <w:vAlign w:val="center"/>
          </w:tcPr>
          <w:p w14:paraId="03F8FBBC" w14:textId="522F435E" w:rsidR="007F1A16" w:rsidRPr="00B118E9" w:rsidRDefault="007F1A16" w:rsidP="007F1A16">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0.024 (1.21)</w:t>
            </w:r>
          </w:p>
        </w:tc>
      </w:tr>
      <w:tr w:rsidR="00B118E9" w:rsidRPr="00B86E32" w14:paraId="60250DC6" w14:textId="77777777" w:rsidTr="006211F5">
        <w:tc>
          <w:tcPr>
            <w:tcW w:w="3112" w:type="dxa"/>
            <w:tcBorders>
              <w:right w:val="nil"/>
            </w:tcBorders>
          </w:tcPr>
          <w:p w14:paraId="587FCEC7" w14:textId="57B757C2" w:rsidR="00B50C1B" w:rsidRPr="00C50894" w:rsidRDefault="00B50C1B" w:rsidP="00B50C1B">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Firm fixed effects</w:t>
            </w:r>
          </w:p>
        </w:tc>
        <w:tc>
          <w:tcPr>
            <w:tcW w:w="940" w:type="dxa"/>
            <w:tcBorders>
              <w:left w:val="nil"/>
              <w:right w:val="nil"/>
            </w:tcBorders>
          </w:tcPr>
          <w:p w14:paraId="7A40D594" w14:textId="3455185A" w:rsidR="00B50C1B" w:rsidRPr="00C50894"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848" w:type="dxa"/>
            <w:tcBorders>
              <w:left w:val="nil"/>
              <w:right w:val="nil"/>
            </w:tcBorders>
          </w:tcPr>
          <w:p w14:paraId="6966F175" w14:textId="100C2BCE" w:rsidR="00B50C1B" w:rsidRPr="00C50894"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922" w:type="dxa"/>
            <w:tcBorders>
              <w:left w:val="nil"/>
              <w:right w:val="nil"/>
            </w:tcBorders>
          </w:tcPr>
          <w:p w14:paraId="43687BCF" w14:textId="5B109950" w:rsidR="00B50C1B" w:rsidRPr="00C50894"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979" w:type="dxa"/>
            <w:tcBorders>
              <w:left w:val="nil"/>
              <w:right w:val="nil"/>
            </w:tcBorders>
          </w:tcPr>
          <w:p w14:paraId="592FDC85" w14:textId="5ED48D9E" w:rsidR="00B50C1B" w:rsidRPr="00B86E32"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849" w:type="dxa"/>
            <w:tcBorders>
              <w:left w:val="nil"/>
              <w:right w:val="nil"/>
            </w:tcBorders>
          </w:tcPr>
          <w:p w14:paraId="58068206" w14:textId="6C83624B" w:rsidR="00B50C1B" w:rsidRPr="00B86E32"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938" w:type="dxa"/>
            <w:tcBorders>
              <w:left w:val="nil"/>
              <w:right w:val="nil"/>
            </w:tcBorders>
          </w:tcPr>
          <w:p w14:paraId="64688F0E" w14:textId="7A67784B" w:rsidR="00B50C1B" w:rsidRPr="00B86E32"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891" w:type="dxa"/>
            <w:tcBorders>
              <w:left w:val="nil"/>
              <w:right w:val="nil"/>
            </w:tcBorders>
          </w:tcPr>
          <w:p w14:paraId="604C85BC" w14:textId="28292991" w:rsidR="00B50C1B" w:rsidRPr="00B86E32"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850" w:type="dxa"/>
            <w:tcBorders>
              <w:left w:val="nil"/>
              <w:right w:val="nil"/>
            </w:tcBorders>
          </w:tcPr>
          <w:p w14:paraId="65E062D9" w14:textId="735AFA10" w:rsidR="00B50C1B" w:rsidRPr="00B86E32"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870" w:type="dxa"/>
            <w:tcBorders>
              <w:left w:val="nil"/>
            </w:tcBorders>
          </w:tcPr>
          <w:p w14:paraId="7F46F4AA" w14:textId="7EF779AA" w:rsidR="00B50C1B" w:rsidRPr="00B86E32"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r>
      <w:tr w:rsidR="00B118E9" w:rsidRPr="004134CC" w14:paraId="44D32D9D" w14:textId="77777777" w:rsidTr="006211F5">
        <w:tc>
          <w:tcPr>
            <w:tcW w:w="3112" w:type="dxa"/>
            <w:tcBorders>
              <w:right w:val="nil"/>
            </w:tcBorders>
          </w:tcPr>
          <w:p w14:paraId="23D5E7FA" w14:textId="115F26F5" w:rsidR="00B50C1B" w:rsidRPr="00C50894" w:rsidRDefault="00127850" w:rsidP="00B50C1B">
            <w:pPr>
              <w:spacing w:after="0" w:line="200" w:lineRule="exact"/>
              <w:rPr>
                <w:rFonts w:ascii="Times New Roman" w:hAnsi="Times New Roman"/>
                <w:sz w:val="16"/>
                <w:szCs w:val="16"/>
                <w:lang w:eastAsia="zh-HK"/>
              </w:rPr>
            </w:pPr>
            <w:r>
              <w:rPr>
                <w:rFonts w:ascii="Times New Roman" w:hAnsi="Times New Roman"/>
                <w:sz w:val="16"/>
                <w:szCs w:val="16"/>
                <w:lang w:eastAsia="zh-HK"/>
              </w:rPr>
              <w:t>Time</w:t>
            </w:r>
            <w:r w:rsidR="00B50C1B" w:rsidRPr="00716971">
              <w:rPr>
                <w:rFonts w:ascii="Times New Roman" w:hAnsi="Times New Roman"/>
                <w:sz w:val="16"/>
                <w:szCs w:val="16"/>
                <w:lang w:eastAsia="zh-HK"/>
              </w:rPr>
              <w:t xml:space="preserve"> fixed effects</w:t>
            </w:r>
          </w:p>
        </w:tc>
        <w:tc>
          <w:tcPr>
            <w:tcW w:w="940" w:type="dxa"/>
            <w:tcBorders>
              <w:left w:val="nil"/>
              <w:right w:val="nil"/>
            </w:tcBorders>
          </w:tcPr>
          <w:p w14:paraId="60313178" w14:textId="47C7C5D9" w:rsidR="00B50C1B" w:rsidRPr="00C50894"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848" w:type="dxa"/>
            <w:tcBorders>
              <w:left w:val="nil"/>
              <w:right w:val="nil"/>
            </w:tcBorders>
          </w:tcPr>
          <w:p w14:paraId="5A43A5A7" w14:textId="1CB4926D" w:rsidR="00B50C1B" w:rsidRPr="00C50894"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922" w:type="dxa"/>
            <w:tcBorders>
              <w:left w:val="nil"/>
              <w:right w:val="nil"/>
            </w:tcBorders>
          </w:tcPr>
          <w:p w14:paraId="7036E86F" w14:textId="0CE4B859" w:rsidR="00B50C1B" w:rsidRPr="00C50894"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979" w:type="dxa"/>
            <w:tcBorders>
              <w:left w:val="nil"/>
              <w:right w:val="nil"/>
            </w:tcBorders>
          </w:tcPr>
          <w:p w14:paraId="057FD254" w14:textId="7B54884E" w:rsidR="00B50C1B" w:rsidRPr="004B283F"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849" w:type="dxa"/>
            <w:tcBorders>
              <w:left w:val="nil"/>
              <w:right w:val="nil"/>
            </w:tcBorders>
          </w:tcPr>
          <w:p w14:paraId="13B4987D" w14:textId="5ACFDBDE" w:rsidR="00B50C1B" w:rsidRPr="00916356"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938" w:type="dxa"/>
            <w:tcBorders>
              <w:left w:val="nil"/>
              <w:right w:val="nil"/>
            </w:tcBorders>
          </w:tcPr>
          <w:p w14:paraId="124AC130" w14:textId="128A71A2" w:rsidR="00B50C1B" w:rsidRPr="00B86E32"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891" w:type="dxa"/>
            <w:tcBorders>
              <w:left w:val="nil"/>
              <w:right w:val="nil"/>
            </w:tcBorders>
          </w:tcPr>
          <w:p w14:paraId="58E216BE" w14:textId="1875AEB3" w:rsidR="00B50C1B" w:rsidRPr="004134CC"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850" w:type="dxa"/>
            <w:tcBorders>
              <w:left w:val="nil"/>
              <w:right w:val="nil"/>
            </w:tcBorders>
          </w:tcPr>
          <w:p w14:paraId="748F5BB9" w14:textId="7AE6AD57" w:rsidR="00B50C1B" w:rsidRPr="004134CC"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870" w:type="dxa"/>
            <w:tcBorders>
              <w:left w:val="nil"/>
            </w:tcBorders>
          </w:tcPr>
          <w:p w14:paraId="3ABECD35" w14:textId="5BB8CE9C" w:rsidR="00B50C1B" w:rsidRPr="004134CC" w:rsidRDefault="00B50C1B" w:rsidP="00B50C1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r>
      <w:tr w:rsidR="00B118E9" w:rsidRPr="00B86E32" w14:paraId="13E8E50D" w14:textId="77777777" w:rsidTr="006211F5">
        <w:tc>
          <w:tcPr>
            <w:tcW w:w="3112" w:type="dxa"/>
            <w:tcBorders>
              <w:right w:val="nil"/>
            </w:tcBorders>
          </w:tcPr>
          <w:p w14:paraId="409B86F2" w14:textId="3F5C9F63" w:rsidR="00EC2391" w:rsidRPr="00C50894" w:rsidRDefault="00EC2391" w:rsidP="00EC2391">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Observations</w:t>
            </w:r>
          </w:p>
        </w:tc>
        <w:tc>
          <w:tcPr>
            <w:tcW w:w="940" w:type="dxa"/>
            <w:tcBorders>
              <w:left w:val="nil"/>
              <w:right w:val="nil"/>
            </w:tcBorders>
          </w:tcPr>
          <w:p w14:paraId="5AA8B263" w14:textId="350CD97E" w:rsidR="00EC2391" w:rsidRPr="00C50894" w:rsidRDefault="00EC2391" w:rsidP="00AF08D5">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w:t>
            </w:r>
            <w:r>
              <w:rPr>
                <w:rFonts w:ascii="Times New Roman" w:hAnsi="Times New Roman"/>
                <w:sz w:val="16"/>
                <w:szCs w:val="16"/>
                <w:lang w:eastAsia="zh-HK"/>
              </w:rPr>
              <w:t>43</w:t>
            </w:r>
            <w:r w:rsidR="00AF08D5">
              <w:rPr>
                <w:rFonts w:ascii="Times New Roman" w:hAnsi="Times New Roman"/>
                <w:sz w:val="16"/>
                <w:szCs w:val="16"/>
                <w:lang w:eastAsia="zh-HK"/>
              </w:rPr>
              <w:t>9</w:t>
            </w:r>
          </w:p>
        </w:tc>
        <w:tc>
          <w:tcPr>
            <w:tcW w:w="848" w:type="dxa"/>
            <w:tcBorders>
              <w:left w:val="nil"/>
              <w:right w:val="nil"/>
            </w:tcBorders>
          </w:tcPr>
          <w:p w14:paraId="6BE3586E" w14:textId="6F15E4A5" w:rsidR="00EC2391" w:rsidRPr="00C50894" w:rsidRDefault="00EC2391" w:rsidP="00971F3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34</w:t>
            </w:r>
            <w:r>
              <w:rPr>
                <w:rFonts w:ascii="Times New Roman" w:hAnsi="Times New Roman"/>
                <w:sz w:val="16"/>
                <w:szCs w:val="16"/>
                <w:lang w:eastAsia="zh-HK"/>
              </w:rPr>
              <w:t>3</w:t>
            </w:r>
            <w:r w:rsidR="00971F3D">
              <w:rPr>
                <w:rFonts w:ascii="Times New Roman" w:hAnsi="Times New Roman"/>
                <w:sz w:val="16"/>
                <w:szCs w:val="16"/>
                <w:lang w:eastAsia="zh-HK"/>
              </w:rPr>
              <w:t>9</w:t>
            </w:r>
          </w:p>
        </w:tc>
        <w:tc>
          <w:tcPr>
            <w:tcW w:w="922" w:type="dxa"/>
            <w:tcBorders>
              <w:left w:val="nil"/>
              <w:right w:val="nil"/>
            </w:tcBorders>
          </w:tcPr>
          <w:p w14:paraId="02639C23" w14:textId="6538D198" w:rsidR="00EC2391" w:rsidRPr="00C50894" w:rsidRDefault="00EC2391" w:rsidP="005E2E10">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w:t>
            </w:r>
            <w:r>
              <w:rPr>
                <w:rFonts w:ascii="Times New Roman" w:hAnsi="Times New Roman"/>
                <w:sz w:val="16"/>
                <w:szCs w:val="16"/>
                <w:lang w:eastAsia="zh-HK"/>
              </w:rPr>
              <w:t>43</w:t>
            </w:r>
            <w:r w:rsidR="005E2E10">
              <w:rPr>
                <w:rFonts w:ascii="Times New Roman" w:hAnsi="Times New Roman"/>
                <w:sz w:val="16"/>
                <w:szCs w:val="16"/>
                <w:lang w:eastAsia="zh-HK"/>
              </w:rPr>
              <w:t>9</w:t>
            </w:r>
          </w:p>
        </w:tc>
        <w:tc>
          <w:tcPr>
            <w:tcW w:w="979" w:type="dxa"/>
            <w:tcBorders>
              <w:left w:val="nil"/>
              <w:right w:val="nil"/>
            </w:tcBorders>
          </w:tcPr>
          <w:p w14:paraId="2994CA55" w14:textId="46676600" w:rsidR="00EC2391" w:rsidRPr="00B86E32" w:rsidRDefault="00EC2391" w:rsidP="00CE24A6">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34</w:t>
            </w:r>
            <w:r>
              <w:rPr>
                <w:rFonts w:ascii="Times New Roman" w:hAnsi="Times New Roman"/>
                <w:sz w:val="16"/>
                <w:szCs w:val="16"/>
                <w:lang w:eastAsia="zh-HK"/>
              </w:rPr>
              <w:t>3</w:t>
            </w:r>
            <w:r w:rsidR="00CE24A6">
              <w:rPr>
                <w:rFonts w:ascii="Times New Roman" w:hAnsi="Times New Roman"/>
                <w:sz w:val="16"/>
                <w:szCs w:val="16"/>
                <w:lang w:eastAsia="zh-HK"/>
              </w:rPr>
              <w:t>9</w:t>
            </w:r>
          </w:p>
        </w:tc>
        <w:tc>
          <w:tcPr>
            <w:tcW w:w="849" w:type="dxa"/>
            <w:tcBorders>
              <w:left w:val="nil"/>
              <w:right w:val="nil"/>
            </w:tcBorders>
          </w:tcPr>
          <w:p w14:paraId="4C22DF3E" w14:textId="17046FAC" w:rsidR="00EC2391" w:rsidRPr="00B86E32" w:rsidRDefault="00EC2391" w:rsidP="002C6F1C">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w:t>
            </w:r>
            <w:r>
              <w:rPr>
                <w:rFonts w:ascii="Times New Roman" w:hAnsi="Times New Roman"/>
                <w:sz w:val="16"/>
                <w:szCs w:val="16"/>
                <w:lang w:eastAsia="zh-HK"/>
              </w:rPr>
              <w:t>43</w:t>
            </w:r>
            <w:r w:rsidR="002C6F1C">
              <w:rPr>
                <w:rFonts w:ascii="Times New Roman" w:hAnsi="Times New Roman"/>
                <w:sz w:val="16"/>
                <w:szCs w:val="16"/>
                <w:lang w:eastAsia="zh-HK"/>
              </w:rPr>
              <w:t>9</w:t>
            </w:r>
          </w:p>
        </w:tc>
        <w:tc>
          <w:tcPr>
            <w:tcW w:w="938" w:type="dxa"/>
            <w:tcBorders>
              <w:left w:val="nil"/>
              <w:right w:val="nil"/>
            </w:tcBorders>
          </w:tcPr>
          <w:p w14:paraId="70DB287C" w14:textId="4DE1D5C0" w:rsidR="00EC2391" w:rsidRPr="00B86E32" w:rsidRDefault="00EC2391" w:rsidP="00B5482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34</w:t>
            </w:r>
            <w:r>
              <w:rPr>
                <w:rFonts w:ascii="Times New Roman" w:hAnsi="Times New Roman"/>
                <w:sz w:val="16"/>
                <w:szCs w:val="16"/>
                <w:lang w:eastAsia="zh-HK"/>
              </w:rPr>
              <w:t>3</w:t>
            </w:r>
            <w:r w:rsidR="00B5482B">
              <w:rPr>
                <w:rFonts w:ascii="Times New Roman" w:hAnsi="Times New Roman"/>
                <w:sz w:val="16"/>
                <w:szCs w:val="16"/>
                <w:lang w:eastAsia="zh-HK"/>
              </w:rPr>
              <w:t>9</w:t>
            </w:r>
          </w:p>
        </w:tc>
        <w:tc>
          <w:tcPr>
            <w:tcW w:w="891" w:type="dxa"/>
            <w:tcBorders>
              <w:left w:val="nil"/>
              <w:right w:val="nil"/>
            </w:tcBorders>
          </w:tcPr>
          <w:p w14:paraId="22AD0A85" w14:textId="73FBFA38" w:rsidR="00EC2391" w:rsidRPr="00B86E32" w:rsidRDefault="00EC2391" w:rsidP="00B42CBC">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w:t>
            </w:r>
            <w:r>
              <w:rPr>
                <w:rFonts w:ascii="Times New Roman" w:hAnsi="Times New Roman"/>
                <w:sz w:val="16"/>
                <w:szCs w:val="16"/>
                <w:lang w:eastAsia="zh-HK"/>
              </w:rPr>
              <w:t>43</w:t>
            </w:r>
            <w:r w:rsidR="00B42CBC">
              <w:rPr>
                <w:rFonts w:ascii="Times New Roman" w:hAnsi="Times New Roman"/>
                <w:sz w:val="16"/>
                <w:szCs w:val="16"/>
                <w:lang w:eastAsia="zh-HK"/>
              </w:rPr>
              <w:t>9</w:t>
            </w:r>
          </w:p>
        </w:tc>
        <w:tc>
          <w:tcPr>
            <w:tcW w:w="850" w:type="dxa"/>
            <w:tcBorders>
              <w:left w:val="nil"/>
              <w:right w:val="nil"/>
            </w:tcBorders>
          </w:tcPr>
          <w:p w14:paraId="63795254" w14:textId="201AD95A" w:rsidR="00EC2391" w:rsidRPr="00B86E32" w:rsidRDefault="00EC2391" w:rsidP="008B7792">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w:t>
            </w:r>
            <w:r>
              <w:rPr>
                <w:rFonts w:ascii="Times New Roman" w:hAnsi="Times New Roman"/>
                <w:sz w:val="16"/>
                <w:szCs w:val="16"/>
                <w:lang w:eastAsia="zh-HK"/>
              </w:rPr>
              <w:t>43</w:t>
            </w:r>
            <w:r w:rsidR="008B7792">
              <w:rPr>
                <w:rFonts w:ascii="Times New Roman" w:hAnsi="Times New Roman"/>
                <w:sz w:val="16"/>
                <w:szCs w:val="16"/>
                <w:lang w:eastAsia="zh-HK"/>
              </w:rPr>
              <w:t>9</w:t>
            </w:r>
          </w:p>
        </w:tc>
        <w:tc>
          <w:tcPr>
            <w:tcW w:w="870" w:type="dxa"/>
            <w:tcBorders>
              <w:left w:val="nil"/>
            </w:tcBorders>
          </w:tcPr>
          <w:p w14:paraId="40583B54" w14:textId="058C311F" w:rsidR="00EC2391" w:rsidRPr="00B86E32" w:rsidRDefault="00EC2391" w:rsidP="0001633C">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34</w:t>
            </w:r>
            <w:r>
              <w:rPr>
                <w:rFonts w:ascii="Times New Roman" w:hAnsi="Times New Roman"/>
                <w:sz w:val="16"/>
                <w:szCs w:val="16"/>
                <w:lang w:eastAsia="zh-HK"/>
              </w:rPr>
              <w:t>3</w:t>
            </w:r>
            <w:r w:rsidR="0001633C">
              <w:rPr>
                <w:rFonts w:ascii="Times New Roman" w:hAnsi="Times New Roman"/>
                <w:sz w:val="16"/>
                <w:szCs w:val="16"/>
                <w:lang w:eastAsia="zh-HK"/>
              </w:rPr>
              <w:t>9</w:t>
            </w:r>
          </w:p>
        </w:tc>
      </w:tr>
      <w:tr w:rsidR="00B118E9" w:rsidRPr="00F510DD" w14:paraId="5A778D91" w14:textId="77777777" w:rsidTr="006211F5">
        <w:tc>
          <w:tcPr>
            <w:tcW w:w="3112" w:type="dxa"/>
            <w:tcBorders>
              <w:bottom w:val="single" w:sz="4" w:space="0" w:color="auto"/>
              <w:right w:val="nil"/>
            </w:tcBorders>
          </w:tcPr>
          <w:p w14:paraId="68A7EDE6" w14:textId="5F5B7E1E" w:rsidR="00EC2391" w:rsidRPr="00C50894" w:rsidRDefault="00EC2391" w:rsidP="00EC2391">
            <w:pPr>
              <w:spacing w:after="0" w:line="200" w:lineRule="exact"/>
              <w:rPr>
                <w:rFonts w:ascii="Times New Roman" w:hAnsi="Times New Roman"/>
                <w:sz w:val="16"/>
                <w:szCs w:val="16"/>
                <w:lang w:eastAsia="zh-HK"/>
              </w:rPr>
            </w:pPr>
            <w:r>
              <w:rPr>
                <w:rFonts w:ascii="Times New Roman" w:hAnsi="Times New Roman"/>
                <w:sz w:val="16"/>
                <w:szCs w:val="16"/>
                <w:lang w:eastAsia="zh-HK"/>
              </w:rPr>
              <w:t>R</w:t>
            </w:r>
            <w:r w:rsidRPr="003E7C25">
              <w:rPr>
                <w:rFonts w:ascii="Times New Roman" w:hAnsi="Times New Roman"/>
                <w:sz w:val="16"/>
                <w:szCs w:val="16"/>
                <w:vertAlign w:val="superscript"/>
                <w:lang w:eastAsia="zh-HK"/>
              </w:rPr>
              <w:t>2</w:t>
            </w:r>
          </w:p>
        </w:tc>
        <w:tc>
          <w:tcPr>
            <w:tcW w:w="940" w:type="dxa"/>
            <w:tcBorders>
              <w:left w:val="nil"/>
              <w:bottom w:val="single" w:sz="4" w:space="0" w:color="auto"/>
              <w:right w:val="nil"/>
            </w:tcBorders>
          </w:tcPr>
          <w:p w14:paraId="5DC87FD7" w14:textId="0913D184" w:rsidR="00EC2391" w:rsidRPr="00C50894" w:rsidRDefault="00EC2391" w:rsidP="00AF08D5">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AF08D5">
              <w:rPr>
                <w:rFonts w:ascii="Times New Roman" w:hAnsi="Times New Roman"/>
                <w:sz w:val="16"/>
                <w:szCs w:val="16"/>
                <w:lang w:eastAsia="zh-HK"/>
              </w:rPr>
              <w:t>569</w:t>
            </w:r>
          </w:p>
        </w:tc>
        <w:tc>
          <w:tcPr>
            <w:tcW w:w="848" w:type="dxa"/>
            <w:tcBorders>
              <w:left w:val="nil"/>
              <w:bottom w:val="single" w:sz="4" w:space="0" w:color="auto"/>
              <w:right w:val="nil"/>
            </w:tcBorders>
          </w:tcPr>
          <w:p w14:paraId="07C6C005" w14:textId="692A0189" w:rsidR="00EC2391" w:rsidRPr="00C50894" w:rsidRDefault="00EC2391" w:rsidP="00971F3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0.8</w:t>
            </w:r>
            <w:r w:rsidR="00971F3D">
              <w:rPr>
                <w:rFonts w:ascii="Times New Roman" w:hAnsi="Times New Roman"/>
                <w:sz w:val="16"/>
                <w:szCs w:val="16"/>
                <w:lang w:eastAsia="zh-HK"/>
              </w:rPr>
              <w:t>82</w:t>
            </w:r>
          </w:p>
        </w:tc>
        <w:tc>
          <w:tcPr>
            <w:tcW w:w="922" w:type="dxa"/>
            <w:tcBorders>
              <w:left w:val="nil"/>
              <w:bottom w:val="single" w:sz="4" w:space="0" w:color="auto"/>
              <w:right w:val="nil"/>
            </w:tcBorders>
          </w:tcPr>
          <w:p w14:paraId="346E0FA0" w14:textId="70CF6B53" w:rsidR="00EC2391" w:rsidRPr="00C50894" w:rsidRDefault="00EC2391" w:rsidP="005E2E10">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5E2E10">
              <w:rPr>
                <w:rFonts w:ascii="Times New Roman" w:hAnsi="Times New Roman"/>
                <w:sz w:val="16"/>
                <w:szCs w:val="16"/>
                <w:lang w:eastAsia="zh-HK"/>
              </w:rPr>
              <w:t>690</w:t>
            </w:r>
          </w:p>
        </w:tc>
        <w:tc>
          <w:tcPr>
            <w:tcW w:w="979" w:type="dxa"/>
            <w:tcBorders>
              <w:left w:val="nil"/>
              <w:bottom w:val="single" w:sz="4" w:space="0" w:color="auto"/>
              <w:right w:val="nil"/>
            </w:tcBorders>
          </w:tcPr>
          <w:p w14:paraId="0D5E8A04" w14:textId="3BFCFD8A" w:rsidR="00EC2391" w:rsidRPr="004B283F" w:rsidRDefault="004F13FF" w:rsidP="00CE24A6">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w:t>
            </w:r>
            <w:r w:rsidR="00CE24A6">
              <w:rPr>
                <w:rFonts w:ascii="Times New Roman" w:hAnsi="Times New Roman"/>
                <w:sz w:val="16"/>
                <w:szCs w:val="16"/>
                <w:lang w:eastAsia="zh-HK"/>
              </w:rPr>
              <w:t>552</w:t>
            </w:r>
          </w:p>
        </w:tc>
        <w:tc>
          <w:tcPr>
            <w:tcW w:w="849" w:type="dxa"/>
            <w:tcBorders>
              <w:left w:val="nil"/>
              <w:bottom w:val="single" w:sz="4" w:space="0" w:color="auto"/>
              <w:right w:val="nil"/>
            </w:tcBorders>
          </w:tcPr>
          <w:p w14:paraId="7EE17FC9" w14:textId="760F7053" w:rsidR="00EC2391" w:rsidRPr="00916356" w:rsidRDefault="006C0B09" w:rsidP="00FA6D0E">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.8</w:t>
            </w:r>
            <w:r w:rsidR="00FA6D0E">
              <w:rPr>
                <w:rFonts w:ascii="Times New Roman" w:hAnsi="Times New Roman"/>
                <w:sz w:val="16"/>
                <w:szCs w:val="16"/>
                <w:lang w:eastAsia="zh-HK"/>
              </w:rPr>
              <w:t>85</w:t>
            </w:r>
          </w:p>
        </w:tc>
        <w:tc>
          <w:tcPr>
            <w:tcW w:w="938" w:type="dxa"/>
            <w:tcBorders>
              <w:left w:val="nil"/>
              <w:bottom w:val="single" w:sz="4" w:space="0" w:color="auto"/>
              <w:right w:val="nil"/>
            </w:tcBorders>
          </w:tcPr>
          <w:p w14:paraId="2BF03509" w14:textId="6A29B178" w:rsidR="00EC2391" w:rsidRPr="00F510DD" w:rsidRDefault="00627D7D" w:rsidP="00B5482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w:t>
            </w:r>
            <w:r w:rsidR="00B5482B">
              <w:rPr>
                <w:rFonts w:ascii="Times New Roman" w:hAnsi="Times New Roman"/>
                <w:sz w:val="16"/>
                <w:szCs w:val="16"/>
                <w:lang w:eastAsia="zh-HK"/>
              </w:rPr>
              <w:t>679</w:t>
            </w:r>
          </w:p>
        </w:tc>
        <w:tc>
          <w:tcPr>
            <w:tcW w:w="891" w:type="dxa"/>
            <w:tcBorders>
              <w:left w:val="nil"/>
              <w:bottom w:val="single" w:sz="4" w:space="0" w:color="auto"/>
              <w:right w:val="nil"/>
            </w:tcBorders>
          </w:tcPr>
          <w:p w14:paraId="392F6D37" w14:textId="7FBF7BDF" w:rsidR="00EC2391" w:rsidRPr="00F510DD" w:rsidRDefault="0053731D" w:rsidP="00B42CBC">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w:t>
            </w:r>
            <w:r w:rsidR="00B42CBC">
              <w:rPr>
                <w:rFonts w:ascii="Times New Roman" w:hAnsi="Times New Roman"/>
                <w:sz w:val="16"/>
                <w:szCs w:val="16"/>
                <w:lang w:eastAsia="zh-HK"/>
              </w:rPr>
              <w:t>627</w:t>
            </w:r>
          </w:p>
        </w:tc>
        <w:tc>
          <w:tcPr>
            <w:tcW w:w="850" w:type="dxa"/>
            <w:tcBorders>
              <w:left w:val="nil"/>
              <w:bottom w:val="single" w:sz="4" w:space="0" w:color="auto"/>
              <w:right w:val="nil"/>
            </w:tcBorders>
          </w:tcPr>
          <w:p w14:paraId="6B7DB3BD" w14:textId="0FC51A46" w:rsidR="00EC2391" w:rsidRPr="00F510DD" w:rsidRDefault="00B118E9" w:rsidP="008B7792">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0.8</w:t>
            </w:r>
            <w:r w:rsidR="008B7792">
              <w:rPr>
                <w:rFonts w:ascii="Times New Roman" w:hAnsi="Times New Roman"/>
                <w:sz w:val="16"/>
                <w:szCs w:val="16"/>
                <w:lang w:eastAsia="zh-HK"/>
              </w:rPr>
              <w:t>90</w:t>
            </w:r>
          </w:p>
        </w:tc>
        <w:tc>
          <w:tcPr>
            <w:tcW w:w="870" w:type="dxa"/>
            <w:tcBorders>
              <w:left w:val="nil"/>
              <w:bottom w:val="single" w:sz="4" w:space="0" w:color="auto"/>
            </w:tcBorders>
          </w:tcPr>
          <w:p w14:paraId="506554EB" w14:textId="5182CD88" w:rsidR="00EC2391" w:rsidRPr="00F510DD" w:rsidRDefault="00B118E9" w:rsidP="0001633C">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w:t>
            </w:r>
            <w:r w:rsidR="0001633C">
              <w:rPr>
                <w:rFonts w:ascii="Times New Roman" w:hAnsi="Times New Roman"/>
                <w:sz w:val="16"/>
                <w:szCs w:val="16"/>
                <w:lang w:eastAsia="zh-HK"/>
              </w:rPr>
              <w:t>701</w:t>
            </w:r>
          </w:p>
        </w:tc>
      </w:tr>
      <w:tr w:rsidR="00EC2391" w:rsidRPr="00C50894" w14:paraId="181D616D" w14:textId="77777777" w:rsidTr="00BA3B02">
        <w:tc>
          <w:tcPr>
            <w:tcW w:w="11199" w:type="dxa"/>
            <w:gridSpan w:val="10"/>
            <w:tcBorders>
              <w:top w:val="single" w:sz="4" w:space="0" w:color="auto"/>
              <w:bottom w:val="single" w:sz="4" w:space="0" w:color="auto"/>
            </w:tcBorders>
          </w:tcPr>
          <w:p w14:paraId="377ED77B" w14:textId="3E64BE27" w:rsidR="00EC2391" w:rsidRPr="00C50894" w:rsidRDefault="00EC2391" w:rsidP="000A5D47">
            <w:pPr>
              <w:spacing w:after="0" w:line="200" w:lineRule="exact"/>
              <w:jc w:val="both"/>
              <w:rPr>
                <w:rFonts w:ascii="Times New Roman" w:hAnsi="Times New Roman"/>
                <w:sz w:val="16"/>
                <w:szCs w:val="16"/>
              </w:rPr>
            </w:pPr>
            <w:r>
              <w:rPr>
                <w:rFonts w:ascii="Times New Roman" w:hAnsi="Times New Roman"/>
                <w:sz w:val="16"/>
                <w:szCs w:val="16"/>
                <w:lang w:eastAsia="zh-HK"/>
              </w:rPr>
              <w:t>The table above reports the result of running the baseline regression on the whole sample, with</w:t>
            </w:r>
            <w:r w:rsidRPr="00716971">
              <w:rPr>
                <w:rFonts w:ascii="Times New Roman" w:hAnsi="Times New Roman"/>
                <w:sz w:val="16"/>
                <w:szCs w:val="16"/>
                <w:lang w:eastAsia="zh-HK"/>
              </w:rPr>
              <w:t xml:space="preserve"> </w:t>
            </w:r>
            <w:r>
              <w:rPr>
                <w:rFonts w:ascii="Times New Roman" w:hAnsi="Times New Roman"/>
                <w:sz w:val="16"/>
                <w:szCs w:val="16"/>
                <w:lang w:eastAsia="zh-HK"/>
              </w:rPr>
              <w:t xml:space="preserve">MES, SRISK and </w:t>
            </w: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computed</w:t>
            </w:r>
            <w:r w:rsidR="00AF08D5">
              <w:rPr>
                <w:rFonts w:ascii="Times New Roman" w:hAnsi="Times New Roman"/>
                <w:sz w:val="16"/>
                <w:szCs w:val="16"/>
                <w:lang w:eastAsia="zh-HK"/>
              </w:rPr>
              <w:t xml:space="preserve"> by using the World </w:t>
            </w:r>
            <w:proofErr w:type="spellStart"/>
            <w:r w:rsidR="00AF08D5">
              <w:rPr>
                <w:rFonts w:ascii="Times New Roman" w:hAnsi="Times New Roman"/>
                <w:sz w:val="16"/>
                <w:szCs w:val="16"/>
                <w:lang w:eastAsia="zh-HK"/>
              </w:rPr>
              <w:t>Datastream</w:t>
            </w:r>
            <w:proofErr w:type="spellEnd"/>
            <w:r w:rsidR="00AF08D5">
              <w:rPr>
                <w:rFonts w:ascii="Times New Roman" w:hAnsi="Times New Roman"/>
                <w:sz w:val="16"/>
                <w:szCs w:val="16"/>
                <w:lang w:eastAsia="zh-HK"/>
              </w:rPr>
              <w:t xml:space="preserve"> M</w:t>
            </w:r>
            <w:r>
              <w:rPr>
                <w:rFonts w:ascii="Times New Roman" w:hAnsi="Times New Roman"/>
                <w:sz w:val="16"/>
                <w:szCs w:val="16"/>
                <w:lang w:eastAsia="zh-HK"/>
              </w:rPr>
              <w:t xml:space="preserve">arket Index, the World </w:t>
            </w:r>
            <w:proofErr w:type="spellStart"/>
            <w:r>
              <w:rPr>
                <w:rFonts w:ascii="Times New Roman" w:hAnsi="Times New Roman"/>
                <w:sz w:val="16"/>
                <w:szCs w:val="16"/>
                <w:lang w:eastAsia="zh-HK"/>
              </w:rPr>
              <w:t>Datastream</w:t>
            </w:r>
            <w:proofErr w:type="spellEnd"/>
            <w:r>
              <w:rPr>
                <w:rFonts w:ascii="Times New Roman" w:hAnsi="Times New Roman"/>
                <w:sz w:val="16"/>
                <w:szCs w:val="16"/>
                <w:lang w:eastAsia="zh-HK"/>
              </w:rPr>
              <w:t xml:space="preserve"> Bank Index, and the World </w:t>
            </w:r>
            <w:proofErr w:type="spellStart"/>
            <w:r>
              <w:rPr>
                <w:rFonts w:ascii="Times New Roman" w:hAnsi="Times New Roman"/>
                <w:sz w:val="16"/>
                <w:szCs w:val="16"/>
                <w:lang w:eastAsia="zh-HK"/>
              </w:rPr>
              <w:t>Datastream</w:t>
            </w:r>
            <w:proofErr w:type="spellEnd"/>
            <w:r>
              <w:rPr>
                <w:rFonts w:ascii="Times New Roman" w:hAnsi="Times New Roman"/>
                <w:sz w:val="16"/>
                <w:szCs w:val="16"/>
                <w:lang w:eastAsia="zh-HK"/>
              </w:rPr>
              <w:t xml:space="preserve"> Insurance Index as proxies for market index. Firm fixed effects and time</w:t>
            </w:r>
            <w:r w:rsidRPr="00716971">
              <w:rPr>
                <w:rFonts w:ascii="Times New Roman" w:hAnsi="Times New Roman"/>
                <w:sz w:val="16"/>
                <w:szCs w:val="16"/>
                <w:lang w:eastAsia="zh-HK"/>
              </w:rPr>
              <w:t xml:space="preserve"> fixed effects are included</w:t>
            </w:r>
            <w:r>
              <w:rPr>
                <w:rFonts w:ascii="Times New Roman" w:hAnsi="Times New Roman"/>
                <w:sz w:val="16"/>
                <w:szCs w:val="16"/>
                <w:lang w:eastAsia="zh-HK"/>
              </w:rPr>
              <w:t>. Standard errors are clustered at the country level</w:t>
            </w:r>
            <w:r w:rsidRPr="00716971">
              <w:rPr>
                <w:rFonts w:ascii="Times New Roman" w:hAnsi="Times New Roman"/>
                <w:sz w:val="16"/>
                <w:szCs w:val="16"/>
                <w:lang w:eastAsia="zh-HK"/>
              </w:rPr>
              <w:t xml:space="preserve"> and t-statistics are reported in parentheses; *, **, and *** indicate significance at the 10%, 5% and 1% levels respectively.</w:t>
            </w:r>
            <w:r>
              <w:rPr>
                <w:rFonts w:ascii="Times New Roman" w:hAnsi="Times New Roman"/>
                <w:sz w:val="16"/>
                <w:szCs w:val="16"/>
                <w:lang w:eastAsia="zh-HK"/>
              </w:rPr>
              <w:t xml:space="preserve"> </w:t>
            </w:r>
            <w:r w:rsidRPr="00B86E32">
              <w:rPr>
                <w:rFonts w:ascii="Times New Roman" w:hAnsi="Times New Roman"/>
                <w:sz w:val="16"/>
                <w:szCs w:val="16"/>
                <w:lang w:eastAsia="zh-HK"/>
              </w:rPr>
              <w:t>The</w:t>
            </w:r>
            <w:r>
              <w:rPr>
                <w:rFonts w:ascii="Times New Roman" w:hAnsi="Times New Roman"/>
                <w:sz w:val="16"/>
                <w:szCs w:val="16"/>
                <w:lang w:eastAsia="zh-HK"/>
              </w:rPr>
              <w:t xml:space="preserve"> </w:t>
            </w:r>
            <w:r w:rsidRPr="00B86E32">
              <w:rPr>
                <w:rFonts w:ascii="Times New Roman" w:hAnsi="Times New Roman"/>
                <w:sz w:val="16"/>
                <w:szCs w:val="16"/>
                <w:lang w:eastAsia="zh-HK"/>
              </w:rPr>
              <w:t xml:space="preserve">variables are </w:t>
            </w:r>
            <w:r>
              <w:rPr>
                <w:rFonts w:ascii="Times New Roman" w:hAnsi="Times New Roman"/>
                <w:sz w:val="16"/>
                <w:szCs w:val="16"/>
                <w:lang w:eastAsia="zh-HK"/>
              </w:rPr>
              <w:t>defined</w:t>
            </w:r>
            <w:r w:rsidRPr="00B86E32">
              <w:rPr>
                <w:rFonts w:ascii="Times New Roman" w:hAnsi="Times New Roman"/>
                <w:sz w:val="16"/>
                <w:szCs w:val="16"/>
                <w:lang w:eastAsia="zh-HK"/>
              </w:rPr>
              <w:t xml:space="preserve"> in Table </w:t>
            </w:r>
            <w:r>
              <w:rPr>
                <w:rFonts w:ascii="Times New Roman" w:eastAsiaTheme="minorEastAsia" w:hAnsi="Times New Roman" w:hint="eastAsia"/>
                <w:sz w:val="16"/>
                <w:szCs w:val="16"/>
                <w:lang w:eastAsia="zh-HK"/>
              </w:rPr>
              <w:t>II</w:t>
            </w:r>
            <w:r w:rsidRPr="00B86E32">
              <w:rPr>
                <w:rFonts w:ascii="Times New Roman" w:hAnsi="Times New Roman"/>
                <w:sz w:val="16"/>
                <w:szCs w:val="16"/>
                <w:lang w:eastAsia="zh-HK"/>
              </w:rPr>
              <w:t>.</w:t>
            </w:r>
          </w:p>
        </w:tc>
      </w:tr>
    </w:tbl>
    <w:p w14:paraId="01BC108F" w14:textId="4363D301" w:rsidR="00523984" w:rsidRDefault="00523984" w:rsidP="00116C69">
      <w:pPr>
        <w:spacing w:after="0" w:line="200" w:lineRule="exact"/>
        <w:jc w:val="center"/>
        <w:rPr>
          <w:rFonts w:ascii="Times New Roman" w:eastAsiaTheme="minorEastAsia" w:hAnsi="Times New Roman"/>
          <w:b/>
          <w:sz w:val="16"/>
          <w:szCs w:val="16"/>
          <w:lang w:eastAsia="zh-HK"/>
        </w:rPr>
      </w:pPr>
    </w:p>
    <w:p w14:paraId="67A29F55" w14:textId="50E5FB26" w:rsidR="002A2C99" w:rsidRDefault="002A2C99" w:rsidP="00116C69">
      <w:pPr>
        <w:spacing w:after="0" w:line="200" w:lineRule="exact"/>
        <w:jc w:val="center"/>
        <w:rPr>
          <w:rFonts w:ascii="Times New Roman" w:eastAsiaTheme="minorEastAsia" w:hAnsi="Times New Roman"/>
          <w:b/>
          <w:sz w:val="16"/>
          <w:szCs w:val="16"/>
          <w:lang w:eastAsia="zh-HK"/>
        </w:rPr>
      </w:pPr>
    </w:p>
    <w:p w14:paraId="21E0B986" w14:textId="0B31CCFE" w:rsidR="002A2C99" w:rsidRDefault="002A2C99" w:rsidP="00116C69">
      <w:pPr>
        <w:spacing w:after="0" w:line="200" w:lineRule="exact"/>
        <w:jc w:val="center"/>
        <w:rPr>
          <w:rFonts w:ascii="Times New Roman" w:eastAsiaTheme="minorEastAsia" w:hAnsi="Times New Roman"/>
          <w:b/>
          <w:sz w:val="16"/>
          <w:szCs w:val="16"/>
          <w:lang w:eastAsia="zh-HK"/>
        </w:rPr>
      </w:pPr>
    </w:p>
    <w:p w14:paraId="1091D9C2" w14:textId="4F46DDA4" w:rsidR="002A2C99" w:rsidRDefault="002A2C99" w:rsidP="00116C69">
      <w:pPr>
        <w:spacing w:after="0" w:line="200" w:lineRule="exact"/>
        <w:jc w:val="center"/>
        <w:rPr>
          <w:rFonts w:ascii="Times New Roman" w:eastAsiaTheme="minorEastAsia" w:hAnsi="Times New Roman"/>
          <w:b/>
          <w:sz w:val="16"/>
          <w:szCs w:val="16"/>
          <w:lang w:eastAsia="zh-HK"/>
        </w:rPr>
      </w:pPr>
    </w:p>
    <w:p w14:paraId="2E5739CD" w14:textId="77777777" w:rsidR="000A5D47" w:rsidRDefault="000A5D47" w:rsidP="00116C69">
      <w:pPr>
        <w:spacing w:after="0" w:line="200" w:lineRule="exact"/>
        <w:jc w:val="center"/>
        <w:rPr>
          <w:rFonts w:ascii="Times New Roman" w:eastAsiaTheme="minorEastAsia" w:hAnsi="Times New Roman"/>
          <w:b/>
          <w:sz w:val="16"/>
          <w:szCs w:val="16"/>
          <w:lang w:eastAsia="zh-HK"/>
        </w:rPr>
      </w:pPr>
    </w:p>
    <w:p w14:paraId="6CB1C660" w14:textId="297621A1" w:rsidR="002A2C99" w:rsidRDefault="002A2C99" w:rsidP="00116C69">
      <w:pPr>
        <w:spacing w:after="0" w:line="200" w:lineRule="exact"/>
        <w:jc w:val="center"/>
        <w:rPr>
          <w:rFonts w:ascii="Times New Roman" w:eastAsiaTheme="minorEastAsia" w:hAnsi="Times New Roman"/>
          <w:b/>
          <w:sz w:val="16"/>
          <w:szCs w:val="16"/>
          <w:lang w:eastAsia="zh-HK"/>
        </w:rPr>
      </w:pPr>
    </w:p>
    <w:p w14:paraId="33F4E80B" w14:textId="400A07B6" w:rsidR="002A2C99" w:rsidRDefault="002A2C99" w:rsidP="00116C69">
      <w:pPr>
        <w:spacing w:after="0" w:line="200" w:lineRule="exact"/>
        <w:jc w:val="center"/>
        <w:rPr>
          <w:rFonts w:ascii="Times New Roman" w:eastAsiaTheme="minorEastAsia" w:hAnsi="Times New Roman"/>
          <w:b/>
          <w:sz w:val="16"/>
          <w:szCs w:val="16"/>
          <w:lang w:eastAsia="zh-HK"/>
        </w:rPr>
      </w:pPr>
    </w:p>
    <w:p w14:paraId="5BD6A207" w14:textId="7A87F23A" w:rsidR="002A2C99" w:rsidRDefault="002A2C99" w:rsidP="00116C69">
      <w:pPr>
        <w:spacing w:after="0" w:line="200" w:lineRule="exact"/>
        <w:jc w:val="center"/>
        <w:rPr>
          <w:rFonts w:ascii="Times New Roman" w:eastAsiaTheme="minorEastAsia" w:hAnsi="Times New Roman"/>
          <w:b/>
          <w:sz w:val="16"/>
          <w:szCs w:val="16"/>
          <w:lang w:eastAsia="zh-HK"/>
        </w:rPr>
      </w:pPr>
    </w:p>
    <w:p w14:paraId="4C649BF2" w14:textId="30ABE623" w:rsidR="002A2C99" w:rsidRDefault="002A2C99" w:rsidP="00116C69">
      <w:pPr>
        <w:spacing w:after="0" w:line="200" w:lineRule="exact"/>
        <w:jc w:val="center"/>
        <w:rPr>
          <w:rFonts w:ascii="Times New Roman" w:eastAsiaTheme="minorEastAsia" w:hAnsi="Times New Roman"/>
          <w:b/>
          <w:sz w:val="16"/>
          <w:szCs w:val="16"/>
          <w:lang w:eastAsia="zh-HK"/>
        </w:rPr>
      </w:pPr>
    </w:p>
    <w:p w14:paraId="4DA88D9A" w14:textId="572B0F3D" w:rsidR="002A2C99" w:rsidRDefault="002A2C99" w:rsidP="00116C69">
      <w:pPr>
        <w:spacing w:after="0" w:line="200" w:lineRule="exact"/>
        <w:jc w:val="center"/>
        <w:rPr>
          <w:rFonts w:ascii="Times New Roman" w:eastAsiaTheme="minorEastAsia" w:hAnsi="Times New Roman"/>
          <w:b/>
          <w:sz w:val="16"/>
          <w:szCs w:val="16"/>
          <w:lang w:eastAsia="zh-HK"/>
        </w:rPr>
      </w:pPr>
    </w:p>
    <w:p w14:paraId="29F48588" w14:textId="4D44D43C" w:rsidR="002A2C99" w:rsidRDefault="002A2C99" w:rsidP="00116C69">
      <w:pPr>
        <w:spacing w:after="0" w:line="200" w:lineRule="exact"/>
        <w:jc w:val="center"/>
        <w:rPr>
          <w:rFonts w:ascii="Times New Roman" w:eastAsiaTheme="minorEastAsia" w:hAnsi="Times New Roman"/>
          <w:b/>
          <w:sz w:val="16"/>
          <w:szCs w:val="16"/>
          <w:lang w:eastAsia="zh-HK"/>
        </w:rPr>
      </w:pPr>
    </w:p>
    <w:p w14:paraId="648EE407" w14:textId="7054298E" w:rsidR="002A2C99" w:rsidRDefault="002A2C99" w:rsidP="00116C69">
      <w:pPr>
        <w:spacing w:after="0" w:line="200" w:lineRule="exact"/>
        <w:jc w:val="center"/>
        <w:rPr>
          <w:rFonts w:ascii="Times New Roman" w:eastAsiaTheme="minorEastAsia" w:hAnsi="Times New Roman"/>
          <w:b/>
          <w:sz w:val="16"/>
          <w:szCs w:val="16"/>
          <w:lang w:eastAsia="zh-HK"/>
        </w:rPr>
      </w:pPr>
    </w:p>
    <w:p w14:paraId="4B79ADC7" w14:textId="37768F8A" w:rsidR="00B23B5E" w:rsidRDefault="00B23B5E" w:rsidP="00B23B5E">
      <w:pPr>
        <w:spacing w:after="0" w:line="200" w:lineRule="exact"/>
        <w:jc w:val="center"/>
        <w:rPr>
          <w:rFonts w:ascii="Times New Roman" w:hAnsi="Times New Roman"/>
          <w:b/>
          <w:sz w:val="16"/>
          <w:szCs w:val="16"/>
          <w:lang w:eastAsia="zh-HK"/>
        </w:rPr>
      </w:pPr>
      <w:r w:rsidRPr="00716971">
        <w:rPr>
          <w:rFonts w:ascii="Times New Roman" w:hAnsi="Times New Roman"/>
          <w:b/>
          <w:sz w:val="16"/>
          <w:szCs w:val="16"/>
          <w:lang w:eastAsia="zh-HK"/>
        </w:rPr>
        <w:lastRenderedPageBreak/>
        <w:t xml:space="preserve">Table </w:t>
      </w:r>
      <w:r>
        <w:rPr>
          <w:rFonts w:ascii="Times New Roman" w:hAnsi="Times New Roman"/>
          <w:b/>
          <w:sz w:val="16"/>
          <w:szCs w:val="16"/>
          <w:lang w:eastAsia="zh-HK"/>
        </w:rPr>
        <w:t>VII</w:t>
      </w:r>
      <w:r>
        <w:rPr>
          <w:rFonts w:ascii="Times New Roman" w:eastAsiaTheme="minorEastAsia" w:hAnsi="Times New Roman" w:hint="eastAsia"/>
          <w:b/>
          <w:sz w:val="16"/>
          <w:szCs w:val="16"/>
          <w:lang w:eastAsia="zh-HK"/>
        </w:rPr>
        <w:t xml:space="preserve">. </w:t>
      </w:r>
      <w:r w:rsidR="003F01E7">
        <w:rPr>
          <w:rFonts w:ascii="Times New Roman" w:hAnsi="Times New Roman"/>
          <w:b/>
          <w:sz w:val="16"/>
          <w:szCs w:val="16"/>
          <w:lang w:eastAsia="zh-HK"/>
        </w:rPr>
        <w:t>R</w:t>
      </w:r>
      <w:r>
        <w:rPr>
          <w:rFonts w:ascii="Times New Roman" w:hAnsi="Times New Roman"/>
          <w:b/>
          <w:sz w:val="16"/>
          <w:szCs w:val="16"/>
          <w:lang w:eastAsia="zh-HK"/>
        </w:rPr>
        <w:t>egression of systemic risks</w:t>
      </w:r>
      <w:r w:rsidR="00991A68">
        <w:rPr>
          <w:rFonts w:ascii="Times New Roman" w:hAnsi="Times New Roman"/>
          <w:b/>
          <w:sz w:val="16"/>
          <w:szCs w:val="16"/>
          <w:lang w:eastAsia="zh-HK"/>
        </w:rPr>
        <w:t xml:space="preserve"> excluding data from</w:t>
      </w:r>
      <w:r w:rsidR="003A3679">
        <w:rPr>
          <w:rFonts w:ascii="Times New Roman" w:hAnsi="Times New Roman"/>
          <w:b/>
          <w:sz w:val="16"/>
          <w:szCs w:val="16"/>
          <w:lang w:eastAsia="zh-HK"/>
        </w:rPr>
        <w:t xml:space="preserve"> the</w:t>
      </w:r>
      <w:r w:rsidR="003F01E7">
        <w:rPr>
          <w:rFonts w:ascii="Times New Roman" w:hAnsi="Times New Roman"/>
          <w:b/>
          <w:sz w:val="16"/>
          <w:szCs w:val="16"/>
          <w:lang w:eastAsia="zh-HK"/>
        </w:rPr>
        <w:t xml:space="preserve"> financial crisis</w:t>
      </w:r>
    </w:p>
    <w:p w14:paraId="160C849C" w14:textId="77777777" w:rsidR="00B23B5E" w:rsidRPr="00A32F46" w:rsidRDefault="00B23B5E" w:rsidP="00B23B5E">
      <w:pPr>
        <w:spacing w:after="0" w:line="200" w:lineRule="exact"/>
        <w:jc w:val="center"/>
        <w:rPr>
          <w:rFonts w:ascii="Times New Roman" w:eastAsiaTheme="minorEastAsia" w:hAnsi="Times New Roman"/>
          <w:b/>
          <w:sz w:val="16"/>
          <w:szCs w:val="16"/>
          <w:lang w:eastAsia="zh-HK"/>
        </w:rPr>
      </w:pPr>
    </w:p>
    <w:tbl>
      <w:tblPr>
        <w:tblStyle w:val="TableGrid"/>
        <w:tblW w:w="720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710"/>
        <w:gridCol w:w="1620"/>
        <w:gridCol w:w="1530"/>
      </w:tblGrid>
      <w:tr w:rsidR="00B23B5E" w:rsidRPr="00716971" w14:paraId="485E33FF" w14:textId="77777777" w:rsidTr="00494AD4">
        <w:tc>
          <w:tcPr>
            <w:tcW w:w="2340" w:type="dxa"/>
          </w:tcPr>
          <w:p w14:paraId="79481BED" w14:textId="77777777" w:rsidR="00B23B5E" w:rsidRPr="00716971" w:rsidRDefault="00B23B5E" w:rsidP="00E908D3">
            <w:pPr>
              <w:spacing w:after="0" w:line="200" w:lineRule="exact"/>
              <w:jc w:val="center"/>
              <w:rPr>
                <w:rFonts w:ascii="Times New Roman" w:hAnsi="Times New Roman"/>
                <w:sz w:val="16"/>
                <w:szCs w:val="16"/>
              </w:rPr>
            </w:pPr>
          </w:p>
        </w:tc>
        <w:tc>
          <w:tcPr>
            <w:tcW w:w="4860" w:type="dxa"/>
            <w:gridSpan w:val="3"/>
            <w:tcBorders>
              <w:top w:val="single" w:sz="4" w:space="0" w:color="auto"/>
              <w:bottom w:val="single" w:sz="4" w:space="0" w:color="auto"/>
            </w:tcBorders>
          </w:tcPr>
          <w:p w14:paraId="5E644955" w14:textId="77777777" w:rsidR="00B23B5E" w:rsidRPr="00716971" w:rsidRDefault="00B23B5E" w:rsidP="00E908D3">
            <w:pPr>
              <w:spacing w:after="0" w:line="200" w:lineRule="exact"/>
              <w:jc w:val="center"/>
              <w:rPr>
                <w:rFonts w:ascii="Times New Roman" w:hAnsi="Times New Roman"/>
                <w:sz w:val="16"/>
                <w:szCs w:val="16"/>
              </w:rPr>
            </w:pPr>
            <w:r w:rsidRPr="00716971">
              <w:rPr>
                <w:rFonts w:ascii="Times New Roman" w:hAnsi="Times New Roman"/>
                <w:sz w:val="16"/>
                <w:szCs w:val="16"/>
              </w:rPr>
              <w:t>Dependent variable</w:t>
            </w:r>
          </w:p>
        </w:tc>
      </w:tr>
      <w:tr w:rsidR="00B23B5E" w:rsidRPr="00716971" w14:paraId="29536C1D" w14:textId="77777777" w:rsidTr="00494AD4">
        <w:tc>
          <w:tcPr>
            <w:tcW w:w="2340" w:type="dxa"/>
            <w:tcBorders>
              <w:bottom w:val="nil"/>
            </w:tcBorders>
          </w:tcPr>
          <w:p w14:paraId="60FD899D" w14:textId="77777777" w:rsidR="00B23B5E" w:rsidRPr="00716971" w:rsidRDefault="00B23B5E" w:rsidP="00E908D3">
            <w:pPr>
              <w:spacing w:after="0" w:line="200" w:lineRule="exact"/>
              <w:jc w:val="center"/>
              <w:rPr>
                <w:rFonts w:ascii="Times New Roman" w:hAnsi="Times New Roman"/>
                <w:sz w:val="16"/>
                <w:szCs w:val="16"/>
              </w:rPr>
            </w:pPr>
          </w:p>
        </w:tc>
        <w:tc>
          <w:tcPr>
            <w:tcW w:w="1710" w:type="dxa"/>
            <w:tcBorders>
              <w:top w:val="single" w:sz="4" w:space="0" w:color="auto"/>
              <w:bottom w:val="nil"/>
              <w:right w:val="nil"/>
            </w:tcBorders>
          </w:tcPr>
          <w:p w14:paraId="79952CEA" w14:textId="77777777" w:rsidR="00B23B5E" w:rsidRPr="00716971" w:rsidRDefault="00B23B5E" w:rsidP="00E908D3">
            <w:pPr>
              <w:spacing w:after="0" w:line="200" w:lineRule="exact"/>
              <w:jc w:val="center"/>
              <w:rPr>
                <w:rFonts w:ascii="Times New Roman" w:hAnsi="Times New Roman"/>
                <w:sz w:val="16"/>
                <w:szCs w:val="16"/>
              </w:rPr>
            </w:pPr>
            <w:r>
              <w:rPr>
                <w:rFonts w:ascii="Times New Roman" w:hAnsi="Times New Roman"/>
                <w:sz w:val="16"/>
                <w:szCs w:val="16"/>
              </w:rPr>
              <w:t>MES (%)</w:t>
            </w:r>
          </w:p>
        </w:tc>
        <w:tc>
          <w:tcPr>
            <w:tcW w:w="1620" w:type="dxa"/>
            <w:tcBorders>
              <w:top w:val="single" w:sz="4" w:space="0" w:color="auto"/>
              <w:left w:val="nil"/>
              <w:bottom w:val="nil"/>
              <w:right w:val="nil"/>
            </w:tcBorders>
          </w:tcPr>
          <w:p w14:paraId="6AE907E3" w14:textId="77777777" w:rsidR="00B23B5E" w:rsidRPr="002A5AD2" w:rsidRDefault="00B23B5E" w:rsidP="00E908D3">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SRISK</w:t>
            </w:r>
            <w:r>
              <w:rPr>
                <w:rFonts w:ascii="Times New Roman" w:eastAsiaTheme="minorEastAsia" w:hAnsi="Times New Roman"/>
                <w:sz w:val="16"/>
                <w:szCs w:val="16"/>
                <w:lang w:eastAsia="zh-TW"/>
              </w:rPr>
              <w:t xml:space="preserve"> (in billions)</w:t>
            </w:r>
          </w:p>
        </w:tc>
        <w:tc>
          <w:tcPr>
            <w:tcW w:w="1530" w:type="dxa"/>
            <w:tcBorders>
              <w:top w:val="single" w:sz="4" w:space="0" w:color="auto"/>
              <w:left w:val="nil"/>
              <w:bottom w:val="nil"/>
            </w:tcBorders>
          </w:tcPr>
          <w:p w14:paraId="08E08B7A" w14:textId="77777777" w:rsidR="00B23B5E" w:rsidRPr="00716971" w:rsidRDefault="00B23B5E" w:rsidP="00E908D3">
            <w:pPr>
              <w:spacing w:after="0" w:line="200" w:lineRule="exact"/>
              <w:jc w:val="center"/>
              <w:rPr>
                <w:rFonts w:ascii="Times New Roman" w:hAnsi="Times New Roman"/>
                <w:sz w:val="16"/>
                <w:szCs w:val="16"/>
              </w:rPr>
            </w:pP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w:t>
            </w:r>
          </w:p>
        </w:tc>
      </w:tr>
      <w:tr w:rsidR="00B23B5E" w:rsidRPr="00716971" w14:paraId="4456696C" w14:textId="77777777" w:rsidTr="00494AD4">
        <w:tc>
          <w:tcPr>
            <w:tcW w:w="2340" w:type="dxa"/>
            <w:tcBorders>
              <w:top w:val="nil"/>
              <w:bottom w:val="single" w:sz="4" w:space="0" w:color="auto"/>
            </w:tcBorders>
          </w:tcPr>
          <w:p w14:paraId="00674F22" w14:textId="77777777" w:rsidR="00B23B5E" w:rsidRPr="00716971" w:rsidRDefault="00B23B5E" w:rsidP="00E908D3">
            <w:pPr>
              <w:spacing w:after="0" w:line="200" w:lineRule="exact"/>
              <w:jc w:val="center"/>
              <w:rPr>
                <w:rFonts w:ascii="Times New Roman" w:hAnsi="Times New Roman"/>
                <w:sz w:val="16"/>
                <w:szCs w:val="16"/>
              </w:rPr>
            </w:pPr>
          </w:p>
        </w:tc>
        <w:tc>
          <w:tcPr>
            <w:tcW w:w="1710" w:type="dxa"/>
            <w:tcBorders>
              <w:top w:val="nil"/>
              <w:bottom w:val="single" w:sz="4" w:space="0" w:color="auto"/>
              <w:right w:val="nil"/>
            </w:tcBorders>
          </w:tcPr>
          <w:p w14:paraId="1653807B" w14:textId="77777777" w:rsidR="00B23B5E" w:rsidRPr="00716971" w:rsidRDefault="00B23B5E" w:rsidP="00E908D3">
            <w:pPr>
              <w:spacing w:after="0" w:line="200" w:lineRule="exact"/>
              <w:jc w:val="center"/>
              <w:rPr>
                <w:rFonts w:ascii="Times New Roman" w:hAnsi="Times New Roman"/>
                <w:sz w:val="16"/>
                <w:szCs w:val="16"/>
              </w:rPr>
            </w:pPr>
            <w:r w:rsidRPr="00716971">
              <w:rPr>
                <w:rFonts w:ascii="Times New Roman" w:hAnsi="Times New Roman"/>
                <w:sz w:val="16"/>
                <w:szCs w:val="16"/>
              </w:rPr>
              <w:t>(1)</w:t>
            </w:r>
          </w:p>
        </w:tc>
        <w:tc>
          <w:tcPr>
            <w:tcW w:w="1620" w:type="dxa"/>
            <w:tcBorders>
              <w:top w:val="nil"/>
              <w:left w:val="nil"/>
              <w:bottom w:val="single" w:sz="4" w:space="0" w:color="auto"/>
              <w:right w:val="nil"/>
            </w:tcBorders>
          </w:tcPr>
          <w:p w14:paraId="1C7499D9" w14:textId="77777777" w:rsidR="00B23B5E" w:rsidRPr="00716971" w:rsidRDefault="00B23B5E" w:rsidP="00E908D3">
            <w:pPr>
              <w:spacing w:after="0" w:line="200" w:lineRule="exact"/>
              <w:jc w:val="center"/>
              <w:rPr>
                <w:rFonts w:ascii="Times New Roman" w:hAnsi="Times New Roman"/>
                <w:sz w:val="16"/>
                <w:szCs w:val="16"/>
              </w:rPr>
            </w:pPr>
            <w:r w:rsidRPr="00716971">
              <w:rPr>
                <w:rFonts w:ascii="Times New Roman" w:hAnsi="Times New Roman"/>
                <w:sz w:val="16"/>
                <w:szCs w:val="16"/>
              </w:rPr>
              <w:t>(</w:t>
            </w:r>
            <w:r>
              <w:rPr>
                <w:rFonts w:ascii="Times New Roman" w:hAnsi="Times New Roman"/>
                <w:sz w:val="16"/>
                <w:szCs w:val="16"/>
              </w:rPr>
              <w:t>2</w:t>
            </w:r>
            <w:r w:rsidRPr="00716971">
              <w:rPr>
                <w:rFonts w:ascii="Times New Roman" w:hAnsi="Times New Roman"/>
                <w:sz w:val="16"/>
                <w:szCs w:val="16"/>
              </w:rPr>
              <w:t>)</w:t>
            </w:r>
          </w:p>
        </w:tc>
        <w:tc>
          <w:tcPr>
            <w:tcW w:w="1530" w:type="dxa"/>
            <w:tcBorders>
              <w:top w:val="nil"/>
              <w:left w:val="nil"/>
              <w:bottom w:val="single" w:sz="4" w:space="0" w:color="auto"/>
            </w:tcBorders>
          </w:tcPr>
          <w:p w14:paraId="403ECD4A" w14:textId="77777777" w:rsidR="00B23B5E" w:rsidRPr="00716971" w:rsidRDefault="00B23B5E" w:rsidP="00E908D3">
            <w:pPr>
              <w:spacing w:after="0" w:line="200" w:lineRule="exact"/>
              <w:jc w:val="center"/>
              <w:rPr>
                <w:rFonts w:ascii="Times New Roman" w:hAnsi="Times New Roman"/>
                <w:sz w:val="16"/>
                <w:szCs w:val="16"/>
              </w:rPr>
            </w:pPr>
            <w:r w:rsidRPr="00716971">
              <w:rPr>
                <w:rFonts w:ascii="Times New Roman" w:hAnsi="Times New Roman"/>
                <w:sz w:val="16"/>
                <w:szCs w:val="16"/>
              </w:rPr>
              <w:t>(3)</w:t>
            </w:r>
          </w:p>
        </w:tc>
      </w:tr>
      <w:tr w:rsidR="00BB5EB8" w:rsidRPr="00716971" w14:paraId="1D78DF26" w14:textId="77777777" w:rsidTr="00D44830">
        <w:tc>
          <w:tcPr>
            <w:tcW w:w="2340" w:type="dxa"/>
            <w:tcBorders>
              <w:top w:val="single" w:sz="4" w:space="0" w:color="auto"/>
            </w:tcBorders>
          </w:tcPr>
          <w:p w14:paraId="42173065" w14:textId="77777777" w:rsidR="00BB5EB8" w:rsidRPr="002A5AD2" w:rsidRDefault="00BB5EB8" w:rsidP="00BB5EB8">
            <w:pPr>
              <w:spacing w:after="0" w:line="200" w:lineRule="exact"/>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 xml:space="preserve">Policy </w:t>
            </w:r>
            <w:r>
              <w:rPr>
                <w:rFonts w:ascii="Times New Roman" w:eastAsiaTheme="minorEastAsia" w:hAnsi="Times New Roman"/>
                <w:sz w:val="16"/>
                <w:szCs w:val="16"/>
                <w:lang w:eastAsia="zh-TW"/>
              </w:rPr>
              <w:t>x GSII</w:t>
            </w:r>
          </w:p>
        </w:tc>
        <w:tc>
          <w:tcPr>
            <w:tcW w:w="1710" w:type="dxa"/>
            <w:tcBorders>
              <w:top w:val="single" w:sz="4" w:space="0" w:color="auto"/>
              <w:right w:val="nil"/>
            </w:tcBorders>
            <w:vAlign w:val="center"/>
          </w:tcPr>
          <w:p w14:paraId="0E84DDA3"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-0.448*** </w:t>
            </w:r>
          </w:p>
          <w:p w14:paraId="70BF9366" w14:textId="1ED939A3"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(-3.61)</w:t>
            </w:r>
          </w:p>
        </w:tc>
        <w:tc>
          <w:tcPr>
            <w:tcW w:w="1620" w:type="dxa"/>
            <w:tcBorders>
              <w:top w:val="single" w:sz="4" w:space="0" w:color="auto"/>
              <w:left w:val="nil"/>
              <w:right w:val="nil"/>
            </w:tcBorders>
            <w:vAlign w:val="center"/>
          </w:tcPr>
          <w:p w14:paraId="350B2B6B"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-6.325* </w:t>
            </w:r>
          </w:p>
          <w:p w14:paraId="4A24A5B9" w14:textId="151DD899"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(-1.78)</w:t>
            </w:r>
          </w:p>
        </w:tc>
        <w:tc>
          <w:tcPr>
            <w:tcW w:w="1530" w:type="dxa"/>
            <w:tcBorders>
              <w:top w:val="single" w:sz="4" w:space="0" w:color="auto"/>
              <w:left w:val="nil"/>
            </w:tcBorders>
            <w:vAlign w:val="center"/>
          </w:tcPr>
          <w:p w14:paraId="0F91576C"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0.186*** </w:t>
            </w:r>
          </w:p>
          <w:p w14:paraId="5F2EB23E" w14:textId="332ECE10"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(5.1</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r>
      <w:tr w:rsidR="00BB5EB8" w:rsidRPr="00716971" w14:paraId="37C117A1" w14:textId="77777777" w:rsidTr="00D44830">
        <w:tc>
          <w:tcPr>
            <w:tcW w:w="2340" w:type="dxa"/>
          </w:tcPr>
          <w:p w14:paraId="41157A7D" w14:textId="77777777" w:rsidR="00BB5EB8" w:rsidRPr="00716971" w:rsidRDefault="00BB5EB8" w:rsidP="00BB5EB8">
            <w:pPr>
              <w:spacing w:after="0" w:line="200" w:lineRule="exact"/>
              <w:rPr>
                <w:rFonts w:ascii="Times New Roman" w:hAnsi="Times New Roman"/>
                <w:sz w:val="16"/>
                <w:szCs w:val="16"/>
                <w:lang w:eastAsia="zh-HK"/>
              </w:rPr>
            </w:pPr>
            <w:r w:rsidRPr="003E7C25">
              <w:rPr>
                <w:rFonts w:ascii="Times New Roman" w:hAnsi="Times New Roman"/>
                <w:sz w:val="16"/>
                <w:szCs w:val="16"/>
                <w:lang w:eastAsia="zh-HK"/>
              </w:rPr>
              <w:t>Log (Assets in billions)</w:t>
            </w:r>
          </w:p>
        </w:tc>
        <w:tc>
          <w:tcPr>
            <w:tcW w:w="1710" w:type="dxa"/>
            <w:tcBorders>
              <w:right w:val="nil"/>
            </w:tcBorders>
            <w:vAlign w:val="center"/>
          </w:tcPr>
          <w:p w14:paraId="2BD4CDF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0.336*** </w:t>
            </w:r>
          </w:p>
          <w:p w14:paraId="202F18D7" w14:textId="1B6C7BC4"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(2.99)</w:t>
            </w:r>
          </w:p>
        </w:tc>
        <w:tc>
          <w:tcPr>
            <w:tcW w:w="1620" w:type="dxa"/>
            <w:tcBorders>
              <w:left w:val="nil"/>
              <w:right w:val="nil"/>
            </w:tcBorders>
            <w:vAlign w:val="center"/>
          </w:tcPr>
          <w:p w14:paraId="0AF314EB"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2.516** </w:t>
            </w:r>
          </w:p>
          <w:p w14:paraId="176FD826" w14:textId="142C84E6"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(2.61)</w:t>
            </w:r>
          </w:p>
        </w:tc>
        <w:tc>
          <w:tcPr>
            <w:tcW w:w="1530" w:type="dxa"/>
            <w:tcBorders>
              <w:left w:val="nil"/>
            </w:tcBorders>
            <w:vAlign w:val="center"/>
          </w:tcPr>
          <w:p w14:paraId="6DD5A642"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-0.102* </w:t>
            </w:r>
          </w:p>
          <w:p w14:paraId="4DBF1CCF" w14:textId="3EC38517"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(-2.01)</w:t>
            </w:r>
          </w:p>
        </w:tc>
      </w:tr>
      <w:tr w:rsidR="00BB5EB8" w:rsidRPr="00716971" w14:paraId="6EA82B31" w14:textId="77777777" w:rsidTr="00D44830">
        <w:tc>
          <w:tcPr>
            <w:tcW w:w="2340" w:type="dxa"/>
          </w:tcPr>
          <w:p w14:paraId="05B43A95" w14:textId="77777777" w:rsidR="00BB5EB8" w:rsidRPr="00716971" w:rsidRDefault="00BB5EB8" w:rsidP="00BB5EB8">
            <w:pPr>
              <w:spacing w:after="0" w:line="200" w:lineRule="exact"/>
              <w:rPr>
                <w:rFonts w:ascii="Times New Roman" w:hAnsi="Times New Roman"/>
                <w:sz w:val="16"/>
                <w:szCs w:val="16"/>
              </w:rPr>
            </w:pPr>
            <w:r w:rsidRPr="003E7C25">
              <w:rPr>
                <w:rFonts w:ascii="Times New Roman" w:hAnsi="Times New Roman"/>
                <w:sz w:val="16"/>
                <w:szCs w:val="16"/>
              </w:rPr>
              <w:t>Leverage</w:t>
            </w:r>
          </w:p>
        </w:tc>
        <w:tc>
          <w:tcPr>
            <w:tcW w:w="1710" w:type="dxa"/>
            <w:tcBorders>
              <w:right w:val="nil"/>
            </w:tcBorders>
            <w:vAlign w:val="center"/>
          </w:tcPr>
          <w:p w14:paraId="2B0164D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 </w:t>
            </w:r>
          </w:p>
          <w:p w14:paraId="78E4E4DB" w14:textId="002F2093"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(3.07)</w:t>
            </w:r>
          </w:p>
        </w:tc>
        <w:tc>
          <w:tcPr>
            <w:tcW w:w="1620" w:type="dxa"/>
            <w:tcBorders>
              <w:left w:val="nil"/>
              <w:right w:val="nil"/>
            </w:tcBorders>
            <w:vAlign w:val="center"/>
          </w:tcPr>
          <w:p w14:paraId="5E807862"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0.174*** </w:t>
            </w:r>
          </w:p>
          <w:p w14:paraId="4D166D9E" w14:textId="023075C2"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(2.9</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530" w:type="dxa"/>
            <w:tcBorders>
              <w:left w:val="nil"/>
            </w:tcBorders>
            <w:vAlign w:val="center"/>
          </w:tcPr>
          <w:p w14:paraId="247C662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0.004*** </w:t>
            </w:r>
          </w:p>
          <w:p w14:paraId="4EBE1E95" w14:textId="295B0931"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(6.97)</w:t>
            </w:r>
          </w:p>
        </w:tc>
      </w:tr>
      <w:tr w:rsidR="00BB5EB8" w:rsidRPr="00716971" w14:paraId="5051B897" w14:textId="77777777" w:rsidTr="00D44830">
        <w:tc>
          <w:tcPr>
            <w:tcW w:w="2340" w:type="dxa"/>
          </w:tcPr>
          <w:p w14:paraId="448DFAAD" w14:textId="77777777" w:rsidR="00BB5EB8" w:rsidRPr="00716971" w:rsidRDefault="00BB5EB8" w:rsidP="00BB5EB8">
            <w:pPr>
              <w:spacing w:after="0" w:line="200" w:lineRule="exact"/>
              <w:rPr>
                <w:rFonts w:ascii="Times New Roman" w:hAnsi="Times New Roman"/>
                <w:sz w:val="16"/>
                <w:szCs w:val="16"/>
              </w:rPr>
            </w:pPr>
            <w:r w:rsidRPr="003E7C25">
              <w:rPr>
                <w:rFonts w:ascii="Times New Roman" w:hAnsi="Times New Roman"/>
                <w:sz w:val="16"/>
                <w:szCs w:val="16"/>
              </w:rPr>
              <w:t>Non-insurance activities</w:t>
            </w:r>
          </w:p>
        </w:tc>
        <w:tc>
          <w:tcPr>
            <w:tcW w:w="1710" w:type="dxa"/>
            <w:tcBorders>
              <w:right w:val="nil"/>
            </w:tcBorders>
            <w:vAlign w:val="center"/>
          </w:tcPr>
          <w:p w14:paraId="507F2A92"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0.031 </w:t>
            </w:r>
          </w:p>
          <w:p w14:paraId="62E07E4D" w14:textId="6B1645C3"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(0.27)</w:t>
            </w:r>
          </w:p>
        </w:tc>
        <w:tc>
          <w:tcPr>
            <w:tcW w:w="1620" w:type="dxa"/>
            <w:tcBorders>
              <w:left w:val="nil"/>
              <w:right w:val="nil"/>
            </w:tcBorders>
            <w:vAlign w:val="center"/>
          </w:tcPr>
          <w:p w14:paraId="661A1391"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1.794* </w:t>
            </w:r>
          </w:p>
          <w:p w14:paraId="74059698" w14:textId="118B055E"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w:t>
            </w:r>
            <w:r>
              <w:rPr>
                <w:rFonts w:ascii="Times New Roman Uni" w:eastAsia="Times New Roman Uni" w:hAnsi="Times New Roman Uni" w:cs="Times New Roman Uni"/>
                <w:color w:val="000000"/>
                <w:sz w:val="16"/>
                <w:szCs w:val="16"/>
              </w:rPr>
              <w:t>.00</w:t>
            </w:r>
            <w:r>
              <w:rPr>
                <w:rFonts w:ascii="Times New Roman Uni" w:eastAsia="Times New Roman Uni" w:hAnsi="Times New Roman Uni" w:cs="Times New Roman Uni" w:hint="eastAsia"/>
                <w:color w:val="000000"/>
                <w:sz w:val="16"/>
                <w:szCs w:val="16"/>
              </w:rPr>
              <w:t>)</w:t>
            </w:r>
          </w:p>
        </w:tc>
        <w:tc>
          <w:tcPr>
            <w:tcW w:w="1530" w:type="dxa"/>
            <w:tcBorders>
              <w:left w:val="nil"/>
            </w:tcBorders>
            <w:vAlign w:val="center"/>
          </w:tcPr>
          <w:p w14:paraId="3DF365A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0.025 </w:t>
            </w:r>
          </w:p>
          <w:p w14:paraId="64DEBEFC" w14:textId="331EC189"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(0.47)</w:t>
            </w:r>
          </w:p>
        </w:tc>
      </w:tr>
      <w:tr w:rsidR="00BB5EB8" w:rsidRPr="00716971" w14:paraId="0C5B167A" w14:textId="77777777" w:rsidTr="00D44830">
        <w:tc>
          <w:tcPr>
            <w:tcW w:w="2340" w:type="dxa"/>
          </w:tcPr>
          <w:p w14:paraId="6A235A09" w14:textId="77777777" w:rsidR="00BB5EB8" w:rsidRPr="00716971" w:rsidRDefault="00BB5EB8" w:rsidP="00BB5EB8">
            <w:pPr>
              <w:spacing w:after="0" w:line="200" w:lineRule="exact"/>
              <w:rPr>
                <w:rFonts w:ascii="Times New Roman" w:hAnsi="Times New Roman"/>
                <w:sz w:val="16"/>
                <w:szCs w:val="16"/>
              </w:rPr>
            </w:pPr>
            <w:r w:rsidRPr="003E7C25">
              <w:rPr>
                <w:rFonts w:ascii="Times New Roman" w:hAnsi="Times New Roman"/>
                <w:sz w:val="16"/>
                <w:szCs w:val="16"/>
              </w:rPr>
              <w:t>Other incomes</w:t>
            </w:r>
          </w:p>
        </w:tc>
        <w:tc>
          <w:tcPr>
            <w:tcW w:w="1710" w:type="dxa"/>
            <w:tcBorders>
              <w:right w:val="nil"/>
            </w:tcBorders>
            <w:vAlign w:val="center"/>
          </w:tcPr>
          <w:p w14:paraId="53E2CF44"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-1.844 </w:t>
            </w:r>
          </w:p>
          <w:p w14:paraId="23606DEB" w14:textId="65CBBB71"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(-1.61)</w:t>
            </w:r>
          </w:p>
        </w:tc>
        <w:tc>
          <w:tcPr>
            <w:tcW w:w="1620" w:type="dxa"/>
            <w:tcBorders>
              <w:left w:val="nil"/>
              <w:right w:val="nil"/>
            </w:tcBorders>
            <w:vAlign w:val="center"/>
          </w:tcPr>
          <w:p w14:paraId="0DC4223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9.736 </w:t>
            </w:r>
          </w:p>
          <w:p w14:paraId="6642E22D" w14:textId="18EE6C79"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(1.37)</w:t>
            </w:r>
          </w:p>
        </w:tc>
        <w:tc>
          <w:tcPr>
            <w:tcW w:w="1530" w:type="dxa"/>
            <w:tcBorders>
              <w:left w:val="nil"/>
            </w:tcBorders>
            <w:vAlign w:val="center"/>
          </w:tcPr>
          <w:p w14:paraId="24DE87E6"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0.718* </w:t>
            </w:r>
          </w:p>
          <w:p w14:paraId="28E24AC4" w14:textId="0D2378D0"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(1.95)</w:t>
            </w:r>
          </w:p>
        </w:tc>
      </w:tr>
      <w:tr w:rsidR="00BB5EB8" w:rsidRPr="00716971" w14:paraId="7FD84CAC" w14:textId="77777777" w:rsidTr="00D44830">
        <w:tc>
          <w:tcPr>
            <w:tcW w:w="2340" w:type="dxa"/>
          </w:tcPr>
          <w:p w14:paraId="1D79EE8F" w14:textId="77777777" w:rsidR="00BB5EB8" w:rsidRPr="00716971" w:rsidRDefault="00BB5EB8" w:rsidP="00BB5EB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Global activities</w:t>
            </w:r>
          </w:p>
        </w:tc>
        <w:tc>
          <w:tcPr>
            <w:tcW w:w="1710" w:type="dxa"/>
            <w:tcBorders>
              <w:right w:val="nil"/>
            </w:tcBorders>
            <w:vAlign w:val="center"/>
          </w:tcPr>
          <w:p w14:paraId="36EFA6F7"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0.113 </w:t>
            </w:r>
          </w:p>
          <w:p w14:paraId="45F73E72" w14:textId="5F32B251"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(0.43)</w:t>
            </w:r>
          </w:p>
        </w:tc>
        <w:tc>
          <w:tcPr>
            <w:tcW w:w="1620" w:type="dxa"/>
            <w:tcBorders>
              <w:left w:val="nil"/>
              <w:right w:val="nil"/>
            </w:tcBorders>
            <w:vAlign w:val="center"/>
          </w:tcPr>
          <w:p w14:paraId="5A86A5F9"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0.966 </w:t>
            </w:r>
          </w:p>
          <w:p w14:paraId="21AC20E6" w14:textId="3DE37830"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(0.52)</w:t>
            </w:r>
          </w:p>
        </w:tc>
        <w:tc>
          <w:tcPr>
            <w:tcW w:w="1530" w:type="dxa"/>
            <w:tcBorders>
              <w:left w:val="nil"/>
            </w:tcBorders>
            <w:vAlign w:val="center"/>
          </w:tcPr>
          <w:p w14:paraId="555059C1"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0.029 </w:t>
            </w:r>
          </w:p>
          <w:p w14:paraId="608595FF" w14:textId="37911E9E"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(0.27)</w:t>
            </w:r>
          </w:p>
        </w:tc>
      </w:tr>
      <w:tr w:rsidR="00BB5EB8" w:rsidRPr="00716971" w14:paraId="3EF96AEB" w14:textId="77777777" w:rsidTr="00D44830">
        <w:tc>
          <w:tcPr>
            <w:tcW w:w="2340" w:type="dxa"/>
          </w:tcPr>
          <w:p w14:paraId="2802580C" w14:textId="77777777" w:rsidR="00BB5EB8" w:rsidRPr="00716971" w:rsidRDefault="00BB5EB8" w:rsidP="00BB5EB8">
            <w:pPr>
              <w:spacing w:after="0" w:line="200" w:lineRule="exact"/>
              <w:rPr>
                <w:rFonts w:ascii="Times New Roman" w:hAnsi="Times New Roman"/>
                <w:sz w:val="16"/>
                <w:szCs w:val="16"/>
                <w:lang w:eastAsia="zh-HK"/>
              </w:rPr>
            </w:pPr>
            <w:r w:rsidRPr="003E7C25">
              <w:rPr>
                <w:rFonts w:ascii="Times New Roman" w:hAnsi="Times New Roman"/>
                <w:sz w:val="16"/>
                <w:szCs w:val="16"/>
                <w:lang w:eastAsia="zh-HK"/>
              </w:rPr>
              <w:t>Liquidity</w:t>
            </w:r>
          </w:p>
        </w:tc>
        <w:tc>
          <w:tcPr>
            <w:tcW w:w="1710" w:type="dxa"/>
            <w:tcBorders>
              <w:right w:val="nil"/>
            </w:tcBorders>
            <w:vAlign w:val="center"/>
          </w:tcPr>
          <w:p w14:paraId="3644DBBD"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-0.07 </w:t>
            </w:r>
          </w:p>
          <w:p w14:paraId="68D41C75" w14:textId="23635F1F"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(-0.41)</w:t>
            </w:r>
          </w:p>
        </w:tc>
        <w:tc>
          <w:tcPr>
            <w:tcW w:w="1620" w:type="dxa"/>
            <w:tcBorders>
              <w:left w:val="nil"/>
              <w:right w:val="nil"/>
            </w:tcBorders>
            <w:vAlign w:val="center"/>
          </w:tcPr>
          <w:p w14:paraId="56F255D1"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0.381 </w:t>
            </w:r>
          </w:p>
          <w:p w14:paraId="44108A31" w14:textId="289E2B5D"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(0.48)</w:t>
            </w:r>
          </w:p>
        </w:tc>
        <w:tc>
          <w:tcPr>
            <w:tcW w:w="1530" w:type="dxa"/>
            <w:tcBorders>
              <w:left w:val="nil"/>
            </w:tcBorders>
            <w:vAlign w:val="center"/>
          </w:tcPr>
          <w:p w14:paraId="5F7C83FD"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-0.032</w:t>
            </w:r>
          </w:p>
          <w:p w14:paraId="0C915869" w14:textId="0B01CF5B" w:rsidR="00BB5EB8" w:rsidRP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(-0.58)</w:t>
            </w:r>
          </w:p>
        </w:tc>
      </w:tr>
      <w:tr w:rsidR="00BB5EB8" w:rsidRPr="00716971" w14:paraId="65B24DFB" w14:textId="77777777" w:rsidTr="00D44830">
        <w:tc>
          <w:tcPr>
            <w:tcW w:w="2340" w:type="dxa"/>
          </w:tcPr>
          <w:p w14:paraId="01878ABF" w14:textId="77777777" w:rsidR="00BB5EB8" w:rsidRPr="003E7C25" w:rsidRDefault="00BB5EB8" w:rsidP="00BB5EB8">
            <w:pPr>
              <w:spacing w:after="0" w:line="200" w:lineRule="exact"/>
              <w:rPr>
                <w:rFonts w:ascii="Times New Roman" w:hAnsi="Times New Roman"/>
                <w:sz w:val="16"/>
                <w:szCs w:val="16"/>
                <w:lang w:eastAsia="zh-HK"/>
              </w:rPr>
            </w:pPr>
            <w:r>
              <w:rPr>
                <w:rFonts w:ascii="Times New Roman" w:eastAsiaTheme="minorEastAsia" w:hAnsi="Times New Roman" w:hint="eastAsia"/>
                <w:sz w:val="16"/>
                <w:szCs w:val="16"/>
                <w:lang w:eastAsia="zh-TW"/>
              </w:rPr>
              <w:t>M</w:t>
            </w:r>
            <w:r>
              <w:rPr>
                <w:rFonts w:ascii="Times New Roman" w:eastAsiaTheme="minorEastAsia" w:hAnsi="Times New Roman"/>
                <w:sz w:val="16"/>
                <w:szCs w:val="16"/>
                <w:lang w:eastAsia="zh-TW"/>
              </w:rPr>
              <w:t>arket-to-book ratio</w:t>
            </w:r>
          </w:p>
        </w:tc>
        <w:tc>
          <w:tcPr>
            <w:tcW w:w="1710" w:type="dxa"/>
            <w:tcBorders>
              <w:right w:val="nil"/>
            </w:tcBorders>
            <w:vAlign w:val="center"/>
          </w:tcPr>
          <w:p w14:paraId="0EADD282"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-0.096* </w:t>
            </w:r>
          </w:p>
          <w:p w14:paraId="572B42A1" w14:textId="6414D7F6"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(-1.86)</w:t>
            </w:r>
          </w:p>
        </w:tc>
        <w:tc>
          <w:tcPr>
            <w:tcW w:w="1620" w:type="dxa"/>
            <w:tcBorders>
              <w:left w:val="nil"/>
              <w:right w:val="nil"/>
            </w:tcBorders>
            <w:vAlign w:val="center"/>
          </w:tcPr>
          <w:p w14:paraId="08A0EFB5"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-0.064 </w:t>
            </w:r>
          </w:p>
          <w:p w14:paraId="12B6F34E" w14:textId="4B6F0F42"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530" w:type="dxa"/>
            <w:tcBorders>
              <w:left w:val="nil"/>
            </w:tcBorders>
            <w:vAlign w:val="center"/>
          </w:tcPr>
          <w:p w14:paraId="55FEA22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0.042** </w:t>
            </w:r>
          </w:p>
          <w:p w14:paraId="212D6617" w14:textId="1B1D8186"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(2.22)</w:t>
            </w:r>
          </w:p>
        </w:tc>
      </w:tr>
      <w:tr w:rsidR="00BB5EB8" w:rsidRPr="00716971" w14:paraId="458B5CD3" w14:textId="77777777" w:rsidTr="00D44830">
        <w:tc>
          <w:tcPr>
            <w:tcW w:w="2340" w:type="dxa"/>
          </w:tcPr>
          <w:p w14:paraId="046676EC" w14:textId="77777777" w:rsidR="00BB5EB8" w:rsidRPr="003E7C25" w:rsidRDefault="00BB5EB8" w:rsidP="00BB5EB8">
            <w:pPr>
              <w:spacing w:after="0" w:line="200" w:lineRule="exact"/>
              <w:rPr>
                <w:rFonts w:ascii="Times New Roman" w:eastAsiaTheme="minorEastAsia" w:hAnsi="Times New Roman"/>
                <w:sz w:val="16"/>
                <w:szCs w:val="16"/>
                <w:lang w:eastAsia="zh-HK"/>
              </w:rPr>
            </w:pPr>
            <w:r w:rsidRPr="003E7C25">
              <w:rPr>
                <w:rFonts w:ascii="Times New Roman" w:eastAsiaTheme="minorEastAsia" w:hAnsi="Times New Roman"/>
                <w:sz w:val="16"/>
                <w:szCs w:val="16"/>
                <w:lang w:eastAsia="zh-TW"/>
              </w:rPr>
              <w:t>Life</w:t>
            </w:r>
          </w:p>
        </w:tc>
        <w:tc>
          <w:tcPr>
            <w:tcW w:w="1710" w:type="dxa"/>
            <w:tcBorders>
              <w:right w:val="nil"/>
            </w:tcBorders>
            <w:vAlign w:val="center"/>
          </w:tcPr>
          <w:p w14:paraId="3D00C435"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0.572 </w:t>
            </w:r>
          </w:p>
          <w:p w14:paraId="3EBEFD87" w14:textId="20DC42F0"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(1.01)</w:t>
            </w:r>
          </w:p>
        </w:tc>
        <w:tc>
          <w:tcPr>
            <w:tcW w:w="1620" w:type="dxa"/>
            <w:tcBorders>
              <w:left w:val="nil"/>
              <w:right w:val="nil"/>
            </w:tcBorders>
            <w:vAlign w:val="center"/>
          </w:tcPr>
          <w:p w14:paraId="50FF5CA0"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9.742** </w:t>
            </w:r>
          </w:p>
          <w:p w14:paraId="6495938B" w14:textId="235362BB"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(2.29)</w:t>
            </w:r>
          </w:p>
        </w:tc>
        <w:tc>
          <w:tcPr>
            <w:tcW w:w="1530" w:type="dxa"/>
            <w:tcBorders>
              <w:left w:val="nil"/>
            </w:tcBorders>
            <w:vAlign w:val="center"/>
          </w:tcPr>
          <w:p w14:paraId="62F21D34"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0.218 </w:t>
            </w:r>
          </w:p>
          <w:p w14:paraId="0B6BE70C" w14:textId="70B17568"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(0.97)</w:t>
            </w:r>
          </w:p>
        </w:tc>
      </w:tr>
      <w:tr w:rsidR="00BB5EB8" w:rsidRPr="00716971" w14:paraId="7DAE12B4" w14:textId="77777777" w:rsidTr="00D44830">
        <w:tc>
          <w:tcPr>
            <w:tcW w:w="2340" w:type="dxa"/>
          </w:tcPr>
          <w:p w14:paraId="0E74DD9A" w14:textId="77777777" w:rsidR="00BB5EB8" w:rsidRPr="003E7C25" w:rsidRDefault="00BB5EB8" w:rsidP="00BB5EB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Loss ratio</w:t>
            </w:r>
          </w:p>
        </w:tc>
        <w:tc>
          <w:tcPr>
            <w:tcW w:w="1710" w:type="dxa"/>
            <w:tcBorders>
              <w:right w:val="nil"/>
            </w:tcBorders>
            <w:vAlign w:val="center"/>
          </w:tcPr>
          <w:p w14:paraId="70DD51D5"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-0.001*** </w:t>
            </w:r>
          </w:p>
          <w:p w14:paraId="4B00EBDD" w14:textId="2473284A"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(-2.88)</w:t>
            </w:r>
          </w:p>
        </w:tc>
        <w:tc>
          <w:tcPr>
            <w:tcW w:w="1620" w:type="dxa"/>
            <w:tcBorders>
              <w:left w:val="nil"/>
              <w:right w:val="nil"/>
            </w:tcBorders>
            <w:vAlign w:val="center"/>
          </w:tcPr>
          <w:p w14:paraId="2826CB21"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0.001 </w:t>
            </w:r>
          </w:p>
          <w:p w14:paraId="32A4259E" w14:textId="3A31EB90"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(0.52)</w:t>
            </w:r>
          </w:p>
        </w:tc>
        <w:tc>
          <w:tcPr>
            <w:tcW w:w="1530" w:type="dxa"/>
            <w:tcBorders>
              <w:left w:val="nil"/>
            </w:tcBorders>
            <w:vAlign w:val="center"/>
          </w:tcPr>
          <w:p w14:paraId="05184F69"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color w:val="000000"/>
                <w:sz w:val="16"/>
                <w:szCs w:val="16"/>
              </w:rPr>
              <w:t>-</w:t>
            </w: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.000</w:t>
            </w:r>
            <w:r>
              <w:rPr>
                <w:rFonts w:ascii="Times New Roman Uni" w:eastAsia="Times New Roman Uni" w:hAnsi="Times New Roman Uni" w:cs="Times New Roman Uni" w:hint="eastAsia"/>
                <w:color w:val="000000"/>
                <w:sz w:val="16"/>
                <w:szCs w:val="16"/>
              </w:rPr>
              <w:t xml:space="preserve"> </w:t>
            </w:r>
          </w:p>
          <w:p w14:paraId="70E78A35" w14:textId="1F511827"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(-0.93)</w:t>
            </w:r>
          </w:p>
        </w:tc>
      </w:tr>
      <w:tr w:rsidR="00BB5EB8" w:rsidRPr="00716971" w14:paraId="1A202C1C" w14:textId="77777777" w:rsidTr="00D44830">
        <w:tc>
          <w:tcPr>
            <w:tcW w:w="2340" w:type="dxa"/>
          </w:tcPr>
          <w:p w14:paraId="1A10828C" w14:textId="77777777" w:rsidR="00BB5EB8" w:rsidRPr="003E7C25" w:rsidRDefault="00BB5EB8" w:rsidP="00BB5EB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Investment income</w:t>
            </w:r>
            <w:r>
              <w:rPr>
                <w:rFonts w:ascii="Times New Roman" w:hAnsi="Times New Roman"/>
                <w:sz w:val="16"/>
                <w:szCs w:val="16"/>
                <w:lang w:eastAsia="zh-HK"/>
              </w:rPr>
              <w:t>s</w:t>
            </w:r>
          </w:p>
        </w:tc>
        <w:tc>
          <w:tcPr>
            <w:tcW w:w="1710" w:type="dxa"/>
            <w:tcBorders>
              <w:right w:val="nil"/>
            </w:tcBorders>
            <w:vAlign w:val="center"/>
          </w:tcPr>
          <w:p w14:paraId="6328B700"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3.207 </w:t>
            </w:r>
          </w:p>
          <w:p w14:paraId="1C842C9F" w14:textId="5CFD6B88"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(1.5</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620" w:type="dxa"/>
            <w:tcBorders>
              <w:left w:val="nil"/>
              <w:right w:val="nil"/>
            </w:tcBorders>
            <w:vAlign w:val="center"/>
          </w:tcPr>
          <w:p w14:paraId="31FB8551"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-9.328 </w:t>
            </w:r>
          </w:p>
          <w:p w14:paraId="32426ED4" w14:textId="014E400B"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(-0.74)</w:t>
            </w:r>
          </w:p>
        </w:tc>
        <w:tc>
          <w:tcPr>
            <w:tcW w:w="1530" w:type="dxa"/>
            <w:tcBorders>
              <w:left w:val="nil"/>
            </w:tcBorders>
            <w:vAlign w:val="center"/>
          </w:tcPr>
          <w:p w14:paraId="6690A253"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0.238 </w:t>
            </w:r>
          </w:p>
          <w:p w14:paraId="2D9722D6" w14:textId="0F5A5173"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r>
      <w:tr w:rsidR="00BB5EB8" w:rsidRPr="00716971" w14:paraId="77780BDE" w14:textId="77777777" w:rsidTr="00D44830">
        <w:tc>
          <w:tcPr>
            <w:tcW w:w="2340" w:type="dxa"/>
          </w:tcPr>
          <w:p w14:paraId="5F48E2C5" w14:textId="77777777" w:rsidR="00BB5EB8" w:rsidRDefault="00BB5EB8" w:rsidP="00BB5EB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ROA (%)</w:t>
            </w:r>
          </w:p>
        </w:tc>
        <w:tc>
          <w:tcPr>
            <w:tcW w:w="1710" w:type="dxa"/>
            <w:tcBorders>
              <w:right w:val="nil"/>
            </w:tcBorders>
            <w:vAlign w:val="center"/>
          </w:tcPr>
          <w:p w14:paraId="3AE67BD0"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0.053** </w:t>
            </w:r>
          </w:p>
          <w:p w14:paraId="039F7A93" w14:textId="245062AE"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(2.33)</w:t>
            </w:r>
          </w:p>
        </w:tc>
        <w:tc>
          <w:tcPr>
            <w:tcW w:w="1620" w:type="dxa"/>
            <w:tcBorders>
              <w:left w:val="nil"/>
              <w:right w:val="nil"/>
            </w:tcBorders>
            <w:vAlign w:val="center"/>
          </w:tcPr>
          <w:p w14:paraId="1552797B"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 </w:t>
            </w:r>
          </w:p>
          <w:p w14:paraId="38CAEFC2" w14:textId="1541B892"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(0.53)</w:t>
            </w:r>
          </w:p>
        </w:tc>
        <w:tc>
          <w:tcPr>
            <w:tcW w:w="1530" w:type="dxa"/>
            <w:tcBorders>
              <w:left w:val="nil"/>
            </w:tcBorders>
            <w:vAlign w:val="center"/>
          </w:tcPr>
          <w:p w14:paraId="0D11EEB5"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-0.018* </w:t>
            </w:r>
          </w:p>
          <w:p w14:paraId="6ABD33C5" w14:textId="6176290E"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(-2.02)</w:t>
            </w:r>
          </w:p>
        </w:tc>
      </w:tr>
      <w:tr w:rsidR="00BB5EB8" w:rsidRPr="00716971" w14:paraId="626E2171" w14:textId="77777777" w:rsidTr="00D44830">
        <w:tc>
          <w:tcPr>
            <w:tcW w:w="2340" w:type="dxa"/>
          </w:tcPr>
          <w:p w14:paraId="536C34CA" w14:textId="77777777" w:rsidR="00BB5EB8" w:rsidRDefault="00BB5EB8" w:rsidP="00BB5EB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Operating expenses</w:t>
            </w:r>
          </w:p>
        </w:tc>
        <w:tc>
          <w:tcPr>
            <w:tcW w:w="1710" w:type="dxa"/>
            <w:tcBorders>
              <w:right w:val="nil"/>
            </w:tcBorders>
            <w:vAlign w:val="center"/>
          </w:tcPr>
          <w:p w14:paraId="48E07F17"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0.795 </w:t>
            </w:r>
          </w:p>
          <w:p w14:paraId="105060C2" w14:textId="01CDA285"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(1.63)</w:t>
            </w:r>
          </w:p>
        </w:tc>
        <w:tc>
          <w:tcPr>
            <w:tcW w:w="1620" w:type="dxa"/>
            <w:tcBorders>
              <w:left w:val="nil"/>
              <w:right w:val="nil"/>
            </w:tcBorders>
            <w:vAlign w:val="center"/>
          </w:tcPr>
          <w:p w14:paraId="5F798D5F"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-3.587 </w:t>
            </w:r>
          </w:p>
          <w:p w14:paraId="7599B0A6" w14:textId="29A07ACF"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530" w:type="dxa"/>
            <w:tcBorders>
              <w:left w:val="nil"/>
            </w:tcBorders>
            <w:vAlign w:val="center"/>
          </w:tcPr>
          <w:p w14:paraId="0D289182"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0.017 </w:t>
            </w:r>
          </w:p>
          <w:p w14:paraId="34E8CF86" w14:textId="758868C7"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(0.07)</w:t>
            </w:r>
          </w:p>
        </w:tc>
      </w:tr>
      <w:tr w:rsidR="00BB5EB8" w:rsidRPr="00716971" w14:paraId="6B762B45" w14:textId="77777777" w:rsidTr="00D44830">
        <w:tc>
          <w:tcPr>
            <w:tcW w:w="2340" w:type="dxa"/>
          </w:tcPr>
          <w:p w14:paraId="3605DD1E" w14:textId="77777777" w:rsidR="00BB5EB8" w:rsidRDefault="00BB5EB8" w:rsidP="00BB5EB8">
            <w:pPr>
              <w:spacing w:after="0" w:line="200" w:lineRule="exact"/>
              <w:rPr>
                <w:rFonts w:ascii="Times New Roman" w:hAnsi="Times New Roman"/>
                <w:sz w:val="16"/>
                <w:szCs w:val="16"/>
                <w:lang w:eastAsia="zh-HK"/>
              </w:rPr>
            </w:pPr>
            <w:r>
              <w:rPr>
                <w:rFonts w:ascii="Times New Roman" w:eastAsiaTheme="minorEastAsia" w:hAnsi="Times New Roman"/>
                <w:sz w:val="16"/>
                <w:szCs w:val="16"/>
                <w:lang w:eastAsia="zh-HK"/>
              </w:rPr>
              <w:t>GDP growth (%)</w:t>
            </w:r>
          </w:p>
        </w:tc>
        <w:tc>
          <w:tcPr>
            <w:tcW w:w="1710" w:type="dxa"/>
            <w:tcBorders>
              <w:right w:val="nil"/>
            </w:tcBorders>
            <w:vAlign w:val="center"/>
          </w:tcPr>
          <w:p w14:paraId="0CFFC419"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-0.003 </w:t>
            </w:r>
          </w:p>
          <w:p w14:paraId="25D67AFF" w14:textId="0EF94CB0"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(-0.08)</w:t>
            </w:r>
          </w:p>
        </w:tc>
        <w:tc>
          <w:tcPr>
            <w:tcW w:w="1620" w:type="dxa"/>
            <w:tcBorders>
              <w:left w:val="nil"/>
              <w:right w:val="nil"/>
            </w:tcBorders>
            <w:vAlign w:val="center"/>
          </w:tcPr>
          <w:p w14:paraId="561E0CC1"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0.213* </w:t>
            </w:r>
          </w:p>
          <w:p w14:paraId="22EE663B" w14:textId="0BB91317"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(1.82)</w:t>
            </w:r>
          </w:p>
        </w:tc>
        <w:tc>
          <w:tcPr>
            <w:tcW w:w="1530" w:type="dxa"/>
            <w:tcBorders>
              <w:left w:val="nil"/>
            </w:tcBorders>
            <w:vAlign w:val="center"/>
          </w:tcPr>
          <w:p w14:paraId="012CB495"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 </w:t>
            </w:r>
          </w:p>
          <w:p w14:paraId="2DC14B65" w14:textId="09D9BCCD"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(-1.33)</w:t>
            </w:r>
          </w:p>
        </w:tc>
      </w:tr>
      <w:tr w:rsidR="00BB5EB8" w:rsidRPr="00716971" w14:paraId="478B3B2F" w14:textId="77777777" w:rsidTr="00D44830">
        <w:tc>
          <w:tcPr>
            <w:tcW w:w="2340" w:type="dxa"/>
          </w:tcPr>
          <w:p w14:paraId="2F66DE25" w14:textId="77777777" w:rsidR="00BB5EB8" w:rsidRDefault="00BB5EB8" w:rsidP="00BB5EB8">
            <w:pPr>
              <w:spacing w:after="0" w:line="200" w:lineRule="exact"/>
              <w:rPr>
                <w:rFonts w:ascii="Times New Roman" w:hAnsi="Times New Roman"/>
                <w:sz w:val="16"/>
                <w:szCs w:val="16"/>
                <w:lang w:eastAsia="zh-HK"/>
              </w:rPr>
            </w:pPr>
            <w:r>
              <w:rPr>
                <w:rFonts w:ascii="Times New Roman" w:hAnsi="Times New Roman"/>
                <w:sz w:val="16"/>
                <w:szCs w:val="16"/>
                <w:lang w:eastAsia="zh-HK"/>
              </w:rPr>
              <w:t>Inflation (%)</w:t>
            </w:r>
          </w:p>
        </w:tc>
        <w:tc>
          <w:tcPr>
            <w:tcW w:w="1710" w:type="dxa"/>
            <w:tcBorders>
              <w:right w:val="nil"/>
            </w:tcBorders>
            <w:vAlign w:val="center"/>
          </w:tcPr>
          <w:p w14:paraId="4BFC7DCE"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0.008 </w:t>
            </w:r>
          </w:p>
          <w:p w14:paraId="73698920" w14:textId="39C815E3" w:rsidR="00BB5EB8" w:rsidRPr="00326014"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(0.16)</w:t>
            </w:r>
          </w:p>
        </w:tc>
        <w:tc>
          <w:tcPr>
            <w:tcW w:w="1620" w:type="dxa"/>
            <w:tcBorders>
              <w:left w:val="nil"/>
              <w:right w:val="nil"/>
            </w:tcBorders>
            <w:vAlign w:val="center"/>
          </w:tcPr>
          <w:p w14:paraId="5A93CB68"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-0.023 </w:t>
            </w:r>
          </w:p>
          <w:p w14:paraId="50968B7E" w14:textId="24A149AA"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(-0.23)</w:t>
            </w:r>
          </w:p>
        </w:tc>
        <w:tc>
          <w:tcPr>
            <w:tcW w:w="1530" w:type="dxa"/>
            <w:tcBorders>
              <w:left w:val="nil"/>
            </w:tcBorders>
            <w:vAlign w:val="center"/>
          </w:tcPr>
          <w:p w14:paraId="209430CF" w14:textId="77777777" w:rsidR="00BB5EB8" w:rsidRDefault="00BB5EB8" w:rsidP="00BB5EB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0.016 </w:t>
            </w:r>
          </w:p>
          <w:p w14:paraId="4965200C" w14:textId="57382945" w:rsidR="00BB5EB8" w:rsidRPr="005B7A31" w:rsidRDefault="00BB5EB8" w:rsidP="00BB5EB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(1.14)</w:t>
            </w:r>
          </w:p>
        </w:tc>
      </w:tr>
      <w:tr w:rsidR="00B23B5E" w:rsidRPr="00716971" w14:paraId="77CAFAF8" w14:textId="77777777" w:rsidTr="00494AD4">
        <w:tc>
          <w:tcPr>
            <w:tcW w:w="2340" w:type="dxa"/>
          </w:tcPr>
          <w:p w14:paraId="436A5736" w14:textId="77777777" w:rsidR="00B23B5E" w:rsidRDefault="00B23B5E" w:rsidP="00E908D3">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Firm fixed effects</w:t>
            </w:r>
          </w:p>
        </w:tc>
        <w:tc>
          <w:tcPr>
            <w:tcW w:w="1710" w:type="dxa"/>
            <w:tcBorders>
              <w:right w:val="nil"/>
            </w:tcBorders>
          </w:tcPr>
          <w:p w14:paraId="61A083FD" w14:textId="77777777" w:rsidR="00B23B5E" w:rsidRPr="00716971" w:rsidRDefault="00B23B5E" w:rsidP="00E908D3">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620" w:type="dxa"/>
            <w:tcBorders>
              <w:left w:val="nil"/>
              <w:right w:val="nil"/>
            </w:tcBorders>
          </w:tcPr>
          <w:p w14:paraId="65F464CA" w14:textId="77777777" w:rsidR="00B23B5E" w:rsidRPr="00716971" w:rsidRDefault="00B23B5E" w:rsidP="00E908D3">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530" w:type="dxa"/>
            <w:tcBorders>
              <w:left w:val="nil"/>
            </w:tcBorders>
          </w:tcPr>
          <w:p w14:paraId="6BCB7817" w14:textId="77777777" w:rsidR="00B23B5E" w:rsidRPr="00716971" w:rsidRDefault="00B23B5E" w:rsidP="00E908D3">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r>
      <w:tr w:rsidR="00B23B5E" w:rsidRPr="00716971" w14:paraId="62BF0064" w14:textId="77777777" w:rsidTr="00494AD4">
        <w:tc>
          <w:tcPr>
            <w:tcW w:w="2340" w:type="dxa"/>
          </w:tcPr>
          <w:p w14:paraId="15B41A3B" w14:textId="1D3884FE" w:rsidR="00B23B5E" w:rsidRPr="00716971" w:rsidRDefault="00DE27E1" w:rsidP="00E908D3">
            <w:pPr>
              <w:spacing w:after="0" w:line="200" w:lineRule="exact"/>
              <w:rPr>
                <w:rFonts w:ascii="Times New Roman" w:hAnsi="Times New Roman"/>
                <w:sz w:val="16"/>
                <w:szCs w:val="16"/>
                <w:lang w:eastAsia="zh-HK"/>
              </w:rPr>
            </w:pPr>
            <w:r>
              <w:rPr>
                <w:rFonts w:ascii="Times New Roman" w:hAnsi="Times New Roman"/>
                <w:sz w:val="16"/>
                <w:szCs w:val="16"/>
                <w:lang w:eastAsia="zh-HK"/>
              </w:rPr>
              <w:t>Time</w:t>
            </w:r>
            <w:r w:rsidR="00B23B5E" w:rsidRPr="00716971">
              <w:rPr>
                <w:rFonts w:ascii="Times New Roman" w:hAnsi="Times New Roman"/>
                <w:sz w:val="16"/>
                <w:szCs w:val="16"/>
                <w:lang w:eastAsia="zh-HK"/>
              </w:rPr>
              <w:t xml:space="preserve"> fixed effects</w:t>
            </w:r>
          </w:p>
        </w:tc>
        <w:tc>
          <w:tcPr>
            <w:tcW w:w="1710" w:type="dxa"/>
            <w:tcBorders>
              <w:right w:val="nil"/>
            </w:tcBorders>
          </w:tcPr>
          <w:p w14:paraId="395F1915" w14:textId="77777777" w:rsidR="00B23B5E" w:rsidRPr="00716971" w:rsidRDefault="00B23B5E" w:rsidP="00E908D3">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620" w:type="dxa"/>
            <w:tcBorders>
              <w:left w:val="nil"/>
              <w:right w:val="nil"/>
            </w:tcBorders>
          </w:tcPr>
          <w:p w14:paraId="105217B1" w14:textId="77777777" w:rsidR="00B23B5E" w:rsidRPr="00716971" w:rsidRDefault="00B23B5E" w:rsidP="00E908D3">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530" w:type="dxa"/>
            <w:tcBorders>
              <w:left w:val="nil"/>
            </w:tcBorders>
          </w:tcPr>
          <w:p w14:paraId="3863ABB5" w14:textId="77777777" w:rsidR="00B23B5E" w:rsidRPr="00716971" w:rsidRDefault="00B23B5E" w:rsidP="00E908D3">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r>
      <w:tr w:rsidR="00B23B5E" w:rsidRPr="00716971" w14:paraId="149EEEF2" w14:textId="77777777" w:rsidTr="00494AD4">
        <w:tc>
          <w:tcPr>
            <w:tcW w:w="2340" w:type="dxa"/>
          </w:tcPr>
          <w:p w14:paraId="547EDAA9" w14:textId="77777777" w:rsidR="00B23B5E" w:rsidRPr="00716971" w:rsidRDefault="00B23B5E" w:rsidP="00E908D3">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Observations</w:t>
            </w:r>
          </w:p>
        </w:tc>
        <w:tc>
          <w:tcPr>
            <w:tcW w:w="1710" w:type="dxa"/>
            <w:tcBorders>
              <w:right w:val="nil"/>
            </w:tcBorders>
          </w:tcPr>
          <w:p w14:paraId="21977989" w14:textId="16025079" w:rsidR="00B23B5E" w:rsidRPr="00716971" w:rsidRDefault="00B66C4C" w:rsidP="00BB5EB8">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w:t>
            </w:r>
            <w:r>
              <w:rPr>
                <w:rFonts w:ascii="Times New Roman" w:hAnsi="Times New Roman"/>
                <w:sz w:val="16"/>
                <w:szCs w:val="16"/>
                <w:lang w:eastAsia="zh-HK"/>
              </w:rPr>
              <w:t>92</w:t>
            </w:r>
            <w:r w:rsidR="00BB5EB8">
              <w:rPr>
                <w:rFonts w:ascii="Times New Roman" w:hAnsi="Times New Roman"/>
                <w:sz w:val="16"/>
                <w:szCs w:val="16"/>
                <w:lang w:eastAsia="zh-HK"/>
              </w:rPr>
              <w:t>4</w:t>
            </w:r>
          </w:p>
        </w:tc>
        <w:tc>
          <w:tcPr>
            <w:tcW w:w="1620" w:type="dxa"/>
            <w:tcBorders>
              <w:left w:val="nil"/>
              <w:right w:val="nil"/>
            </w:tcBorders>
          </w:tcPr>
          <w:p w14:paraId="4B1E4513" w14:textId="34DAF731" w:rsidR="00B23B5E" w:rsidRPr="00716971" w:rsidRDefault="005B7A31" w:rsidP="00BB5EB8">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w:t>
            </w:r>
            <w:r>
              <w:rPr>
                <w:rFonts w:ascii="Times New Roman" w:hAnsi="Times New Roman"/>
                <w:sz w:val="16"/>
                <w:szCs w:val="16"/>
                <w:lang w:eastAsia="zh-HK"/>
              </w:rPr>
              <w:t>92</w:t>
            </w:r>
            <w:r w:rsidR="00BB5EB8">
              <w:rPr>
                <w:rFonts w:ascii="Times New Roman" w:hAnsi="Times New Roman"/>
                <w:sz w:val="16"/>
                <w:szCs w:val="16"/>
                <w:lang w:eastAsia="zh-HK"/>
              </w:rPr>
              <w:t>4</w:t>
            </w:r>
          </w:p>
        </w:tc>
        <w:tc>
          <w:tcPr>
            <w:tcW w:w="1530" w:type="dxa"/>
            <w:tcBorders>
              <w:left w:val="nil"/>
            </w:tcBorders>
          </w:tcPr>
          <w:p w14:paraId="634CCE9B" w14:textId="3E5E6698" w:rsidR="00B23B5E" w:rsidRPr="00716971" w:rsidRDefault="005B7A31" w:rsidP="00BB5EB8">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w:t>
            </w:r>
            <w:r>
              <w:rPr>
                <w:rFonts w:ascii="Times New Roman" w:hAnsi="Times New Roman"/>
                <w:sz w:val="16"/>
                <w:szCs w:val="16"/>
                <w:lang w:eastAsia="zh-HK"/>
              </w:rPr>
              <w:t>92</w:t>
            </w:r>
            <w:r w:rsidR="00BB5EB8">
              <w:rPr>
                <w:rFonts w:ascii="Times New Roman" w:hAnsi="Times New Roman"/>
                <w:sz w:val="16"/>
                <w:szCs w:val="16"/>
                <w:lang w:eastAsia="zh-HK"/>
              </w:rPr>
              <w:t>4</w:t>
            </w:r>
          </w:p>
        </w:tc>
      </w:tr>
      <w:tr w:rsidR="00B23B5E" w:rsidRPr="00716971" w14:paraId="0DD35C46" w14:textId="77777777" w:rsidTr="00494AD4">
        <w:tc>
          <w:tcPr>
            <w:tcW w:w="2340" w:type="dxa"/>
            <w:tcBorders>
              <w:bottom w:val="single" w:sz="4" w:space="0" w:color="auto"/>
            </w:tcBorders>
          </w:tcPr>
          <w:p w14:paraId="30417D33" w14:textId="77777777" w:rsidR="00B23B5E" w:rsidRPr="00716971" w:rsidRDefault="00B23B5E" w:rsidP="00E908D3">
            <w:pPr>
              <w:spacing w:after="0" w:line="200" w:lineRule="exact"/>
              <w:rPr>
                <w:rFonts w:ascii="Times New Roman" w:hAnsi="Times New Roman"/>
                <w:sz w:val="16"/>
                <w:szCs w:val="16"/>
                <w:lang w:eastAsia="zh-HK"/>
              </w:rPr>
            </w:pPr>
            <w:r>
              <w:rPr>
                <w:rFonts w:ascii="Times New Roman" w:hAnsi="Times New Roman"/>
                <w:sz w:val="16"/>
                <w:szCs w:val="16"/>
                <w:lang w:eastAsia="zh-HK"/>
              </w:rPr>
              <w:t>R</w:t>
            </w:r>
            <w:r w:rsidRPr="003E7C25">
              <w:rPr>
                <w:rFonts w:ascii="Times New Roman" w:hAnsi="Times New Roman"/>
                <w:sz w:val="16"/>
                <w:szCs w:val="16"/>
                <w:vertAlign w:val="superscript"/>
                <w:lang w:eastAsia="zh-HK"/>
              </w:rPr>
              <w:t>2</w:t>
            </w:r>
          </w:p>
        </w:tc>
        <w:tc>
          <w:tcPr>
            <w:tcW w:w="1710" w:type="dxa"/>
            <w:tcBorders>
              <w:bottom w:val="single" w:sz="4" w:space="0" w:color="auto"/>
              <w:right w:val="nil"/>
            </w:tcBorders>
          </w:tcPr>
          <w:p w14:paraId="5B6CEBB6" w14:textId="73DC5924" w:rsidR="00B23B5E" w:rsidRPr="00716971" w:rsidRDefault="00B66C4C" w:rsidP="0050616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50616D">
              <w:rPr>
                <w:rFonts w:ascii="Times New Roman" w:hAnsi="Times New Roman"/>
                <w:sz w:val="16"/>
                <w:szCs w:val="16"/>
                <w:lang w:eastAsia="zh-HK"/>
              </w:rPr>
              <w:t>556</w:t>
            </w:r>
          </w:p>
        </w:tc>
        <w:tc>
          <w:tcPr>
            <w:tcW w:w="1620" w:type="dxa"/>
            <w:tcBorders>
              <w:left w:val="nil"/>
              <w:bottom w:val="single" w:sz="4" w:space="0" w:color="auto"/>
              <w:right w:val="nil"/>
            </w:tcBorders>
          </w:tcPr>
          <w:p w14:paraId="7C9B8B51" w14:textId="50D4AE6D" w:rsidR="00B23B5E" w:rsidRPr="00716971" w:rsidRDefault="005B7A31" w:rsidP="0050616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50616D">
              <w:rPr>
                <w:rFonts w:ascii="Times New Roman" w:hAnsi="Times New Roman"/>
                <w:sz w:val="16"/>
                <w:szCs w:val="16"/>
                <w:lang w:eastAsia="zh-HK"/>
              </w:rPr>
              <w:t>900</w:t>
            </w:r>
          </w:p>
        </w:tc>
        <w:tc>
          <w:tcPr>
            <w:tcW w:w="1530" w:type="dxa"/>
            <w:tcBorders>
              <w:left w:val="nil"/>
              <w:bottom w:val="single" w:sz="4" w:space="0" w:color="auto"/>
            </w:tcBorders>
          </w:tcPr>
          <w:p w14:paraId="763C9956" w14:textId="312BC8FC" w:rsidR="00B23B5E" w:rsidRPr="00716971" w:rsidRDefault="005B7A31" w:rsidP="00816E38">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816E38">
              <w:rPr>
                <w:rFonts w:ascii="Times New Roman" w:hAnsi="Times New Roman"/>
                <w:sz w:val="16"/>
                <w:szCs w:val="16"/>
                <w:lang w:eastAsia="zh-HK"/>
              </w:rPr>
              <w:t>673</w:t>
            </w:r>
          </w:p>
        </w:tc>
      </w:tr>
      <w:tr w:rsidR="00B23B5E" w:rsidRPr="00716971" w14:paraId="706FA15C" w14:textId="77777777" w:rsidTr="00E908D3">
        <w:tc>
          <w:tcPr>
            <w:tcW w:w="7200" w:type="dxa"/>
            <w:gridSpan w:val="4"/>
            <w:tcBorders>
              <w:top w:val="single" w:sz="4" w:space="0" w:color="auto"/>
              <w:bottom w:val="single" w:sz="4" w:space="0" w:color="auto"/>
            </w:tcBorders>
          </w:tcPr>
          <w:p w14:paraId="0087AFCB" w14:textId="6395BEC6" w:rsidR="00B23B5E" w:rsidRPr="00A32F46" w:rsidRDefault="00B23B5E" w:rsidP="002C0781">
            <w:pPr>
              <w:spacing w:after="0" w:line="200" w:lineRule="exact"/>
              <w:jc w:val="both"/>
              <w:rPr>
                <w:rFonts w:ascii="Times New Roman" w:eastAsiaTheme="minorEastAsia" w:hAnsi="Times New Roman"/>
                <w:sz w:val="16"/>
                <w:szCs w:val="16"/>
                <w:lang w:eastAsia="zh-HK"/>
              </w:rPr>
            </w:pPr>
            <w:r>
              <w:rPr>
                <w:rFonts w:ascii="Times New Roman" w:hAnsi="Times New Roman"/>
                <w:sz w:val="16"/>
                <w:szCs w:val="16"/>
                <w:lang w:eastAsia="zh-HK"/>
              </w:rPr>
              <w:t xml:space="preserve">The table above reports the result of </w:t>
            </w:r>
            <w:r w:rsidR="00D7670F">
              <w:rPr>
                <w:rFonts w:ascii="Times New Roman" w:hAnsi="Times New Roman"/>
                <w:sz w:val="16"/>
                <w:szCs w:val="16"/>
                <w:lang w:eastAsia="zh-HK"/>
              </w:rPr>
              <w:t xml:space="preserve">running the regression on </w:t>
            </w:r>
            <w:r>
              <w:rPr>
                <w:rFonts w:ascii="Times New Roman" w:hAnsi="Times New Roman"/>
                <w:sz w:val="16"/>
                <w:szCs w:val="16"/>
                <w:lang w:eastAsia="zh-HK"/>
              </w:rPr>
              <w:t>sample</w:t>
            </w:r>
            <w:r w:rsidR="00D7670F">
              <w:rPr>
                <w:rFonts w:ascii="Times New Roman" w:hAnsi="Times New Roman"/>
                <w:sz w:val="16"/>
                <w:szCs w:val="16"/>
                <w:lang w:eastAsia="zh-HK"/>
              </w:rPr>
              <w:t xml:space="preserve"> without data </w:t>
            </w:r>
            <w:r w:rsidR="00991A68">
              <w:rPr>
                <w:rFonts w:ascii="Times New Roman" w:hAnsi="Times New Roman"/>
                <w:sz w:val="16"/>
                <w:szCs w:val="16"/>
                <w:lang w:eastAsia="zh-HK"/>
              </w:rPr>
              <w:t>from</w:t>
            </w:r>
            <w:r w:rsidR="00D7670F">
              <w:rPr>
                <w:rFonts w:ascii="Times New Roman" w:hAnsi="Times New Roman"/>
                <w:sz w:val="16"/>
                <w:szCs w:val="16"/>
                <w:lang w:eastAsia="zh-HK"/>
              </w:rPr>
              <w:t xml:space="preserve"> the financial crisis</w:t>
            </w:r>
            <w:r w:rsidRPr="00716971">
              <w:rPr>
                <w:rFonts w:ascii="Times New Roman" w:hAnsi="Times New Roman"/>
                <w:sz w:val="16"/>
                <w:szCs w:val="16"/>
                <w:lang w:eastAsia="zh-HK"/>
              </w:rPr>
              <w:t xml:space="preserve">. </w:t>
            </w:r>
            <w:r>
              <w:rPr>
                <w:rFonts w:ascii="Times New Roman" w:hAnsi="Times New Roman"/>
                <w:sz w:val="16"/>
                <w:szCs w:val="16"/>
                <w:lang w:eastAsia="zh-HK"/>
              </w:rPr>
              <w:t xml:space="preserve">MES, SRISK and </w:t>
            </w: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are computed with the World </w:t>
            </w:r>
            <w:proofErr w:type="spellStart"/>
            <w:r>
              <w:rPr>
                <w:rFonts w:ascii="Times New Roman" w:hAnsi="Times New Roman"/>
                <w:sz w:val="16"/>
                <w:szCs w:val="16"/>
                <w:lang w:eastAsia="zh-HK"/>
              </w:rPr>
              <w:t>Datastream</w:t>
            </w:r>
            <w:proofErr w:type="spellEnd"/>
            <w:r>
              <w:rPr>
                <w:rFonts w:ascii="Times New Roman" w:hAnsi="Times New Roman"/>
                <w:sz w:val="16"/>
                <w:szCs w:val="16"/>
                <w:lang w:eastAsia="zh-HK"/>
              </w:rPr>
              <w:t xml:space="preserve"> Financial Index as proxy for market index. Firm fixed effects and time</w:t>
            </w:r>
            <w:r w:rsidRPr="00716971">
              <w:rPr>
                <w:rFonts w:ascii="Times New Roman" w:hAnsi="Times New Roman"/>
                <w:sz w:val="16"/>
                <w:szCs w:val="16"/>
                <w:lang w:eastAsia="zh-HK"/>
              </w:rPr>
              <w:t xml:space="preserve"> fixed effects are included</w:t>
            </w:r>
            <w:r>
              <w:rPr>
                <w:rFonts w:ascii="Times New Roman" w:hAnsi="Times New Roman"/>
                <w:sz w:val="16"/>
                <w:szCs w:val="16"/>
                <w:lang w:eastAsia="zh-HK"/>
              </w:rPr>
              <w:t>. Standard errors are clustered at the country level</w:t>
            </w:r>
            <w:r w:rsidRPr="00716971">
              <w:rPr>
                <w:rFonts w:ascii="Times New Roman" w:hAnsi="Times New Roman"/>
                <w:sz w:val="16"/>
                <w:szCs w:val="16"/>
                <w:lang w:eastAsia="zh-HK"/>
              </w:rPr>
              <w:t xml:space="preserve"> and t-statistics are reported in parentheses; *, **, and *** indicate significance at the 10%, 5% and 1% levels respectively.</w:t>
            </w:r>
            <w:r>
              <w:rPr>
                <w:rFonts w:ascii="Times New Roman" w:hAnsi="Times New Roman"/>
                <w:sz w:val="16"/>
                <w:szCs w:val="16"/>
                <w:lang w:eastAsia="zh-HK"/>
              </w:rPr>
              <w:t xml:space="preserve"> </w:t>
            </w:r>
            <w:r w:rsidRPr="00B86E32">
              <w:rPr>
                <w:rFonts w:ascii="Times New Roman" w:hAnsi="Times New Roman"/>
                <w:sz w:val="16"/>
                <w:szCs w:val="16"/>
                <w:lang w:eastAsia="zh-HK"/>
              </w:rPr>
              <w:t>The</w:t>
            </w:r>
            <w:r>
              <w:rPr>
                <w:rFonts w:ascii="Times New Roman" w:hAnsi="Times New Roman"/>
                <w:sz w:val="16"/>
                <w:szCs w:val="16"/>
                <w:lang w:eastAsia="zh-HK"/>
              </w:rPr>
              <w:t xml:space="preserve"> </w:t>
            </w:r>
            <w:r w:rsidRPr="00B86E32">
              <w:rPr>
                <w:rFonts w:ascii="Times New Roman" w:hAnsi="Times New Roman"/>
                <w:sz w:val="16"/>
                <w:szCs w:val="16"/>
                <w:lang w:eastAsia="zh-HK"/>
              </w:rPr>
              <w:t xml:space="preserve">variables are </w:t>
            </w:r>
            <w:r>
              <w:rPr>
                <w:rFonts w:ascii="Times New Roman" w:hAnsi="Times New Roman"/>
                <w:sz w:val="16"/>
                <w:szCs w:val="16"/>
                <w:lang w:eastAsia="zh-HK"/>
              </w:rPr>
              <w:t>defined</w:t>
            </w:r>
            <w:r w:rsidRPr="00B86E32">
              <w:rPr>
                <w:rFonts w:ascii="Times New Roman" w:hAnsi="Times New Roman"/>
                <w:sz w:val="16"/>
                <w:szCs w:val="16"/>
                <w:lang w:eastAsia="zh-HK"/>
              </w:rPr>
              <w:t xml:space="preserve"> in Table </w:t>
            </w:r>
            <w:r>
              <w:rPr>
                <w:rFonts w:ascii="Times New Roman" w:eastAsiaTheme="minorEastAsia" w:hAnsi="Times New Roman" w:hint="eastAsia"/>
                <w:sz w:val="16"/>
                <w:szCs w:val="16"/>
                <w:lang w:eastAsia="zh-HK"/>
              </w:rPr>
              <w:t>II</w:t>
            </w:r>
            <w:r w:rsidRPr="00B86E32">
              <w:rPr>
                <w:rFonts w:ascii="Times New Roman" w:hAnsi="Times New Roman"/>
                <w:sz w:val="16"/>
                <w:szCs w:val="16"/>
                <w:lang w:eastAsia="zh-HK"/>
              </w:rPr>
              <w:t>.</w:t>
            </w:r>
          </w:p>
        </w:tc>
      </w:tr>
    </w:tbl>
    <w:p w14:paraId="058E437B" w14:textId="77777777" w:rsidR="00B23B5E" w:rsidRDefault="00B23B5E" w:rsidP="00B23B5E">
      <w:pPr>
        <w:spacing w:after="0" w:line="200" w:lineRule="exact"/>
        <w:jc w:val="center"/>
        <w:rPr>
          <w:rFonts w:ascii="Times New Roman" w:eastAsiaTheme="minorEastAsia" w:hAnsi="Times New Roman"/>
          <w:b/>
          <w:sz w:val="16"/>
          <w:szCs w:val="16"/>
          <w:lang w:eastAsia="zh-HK"/>
        </w:rPr>
      </w:pPr>
    </w:p>
    <w:p w14:paraId="16237947" w14:textId="41288432" w:rsidR="003E6282" w:rsidRDefault="003E6282" w:rsidP="008E2B5A">
      <w:pPr>
        <w:spacing w:after="0" w:line="200" w:lineRule="exact"/>
        <w:rPr>
          <w:rFonts w:ascii="Times New Roman" w:eastAsiaTheme="minorEastAsia" w:hAnsi="Times New Roman"/>
          <w:sz w:val="16"/>
          <w:szCs w:val="16"/>
          <w:lang w:eastAsia="zh-HK"/>
        </w:rPr>
      </w:pPr>
    </w:p>
    <w:p w14:paraId="4A644C4D" w14:textId="09B8A4F6" w:rsidR="00BB00D0" w:rsidRDefault="00BB00D0" w:rsidP="008E2B5A">
      <w:pPr>
        <w:spacing w:after="0" w:line="200" w:lineRule="exact"/>
        <w:rPr>
          <w:rFonts w:ascii="Times New Roman" w:eastAsiaTheme="minorEastAsia" w:hAnsi="Times New Roman"/>
          <w:sz w:val="16"/>
          <w:szCs w:val="16"/>
          <w:lang w:eastAsia="zh-HK"/>
        </w:rPr>
      </w:pPr>
    </w:p>
    <w:p w14:paraId="0B9D1E7A" w14:textId="0F06ADBD" w:rsidR="00BB00D0" w:rsidRDefault="00BB00D0" w:rsidP="008E2B5A">
      <w:pPr>
        <w:spacing w:after="0" w:line="200" w:lineRule="exact"/>
        <w:rPr>
          <w:rFonts w:ascii="Times New Roman" w:eastAsiaTheme="minorEastAsia" w:hAnsi="Times New Roman"/>
          <w:sz w:val="16"/>
          <w:szCs w:val="16"/>
          <w:lang w:eastAsia="zh-HK"/>
        </w:rPr>
      </w:pPr>
    </w:p>
    <w:p w14:paraId="0E43E1E9" w14:textId="38D1724A" w:rsidR="00BB00D0" w:rsidRDefault="00BB00D0" w:rsidP="008E2B5A">
      <w:pPr>
        <w:spacing w:after="0" w:line="200" w:lineRule="exact"/>
        <w:rPr>
          <w:rFonts w:ascii="Times New Roman" w:eastAsiaTheme="minorEastAsia" w:hAnsi="Times New Roman"/>
          <w:sz w:val="16"/>
          <w:szCs w:val="16"/>
          <w:lang w:eastAsia="zh-HK"/>
        </w:rPr>
      </w:pPr>
    </w:p>
    <w:p w14:paraId="561A4691" w14:textId="454D7F36" w:rsidR="00BB00D0" w:rsidRDefault="00BB00D0" w:rsidP="008E2B5A">
      <w:pPr>
        <w:spacing w:after="0" w:line="200" w:lineRule="exact"/>
        <w:rPr>
          <w:rFonts w:ascii="Times New Roman" w:eastAsiaTheme="minorEastAsia" w:hAnsi="Times New Roman"/>
          <w:sz w:val="16"/>
          <w:szCs w:val="16"/>
          <w:lang w:eastAsia="zh-HK"/>
        </w:rPr>
      </w:pPr>
    </w:p>
    <w:p w14:paraId="49161701" w14:textId="7E1B91FE" w:rsidR="00BB00D0" w:rsidRDefault="00BB00D0" w:rsidP="008E2B5A">
      <w:pPr>
        <w:spacing w:after="0" w:line="200" w:lineRule="exact"/>
        <w:rPr>
          <w:rFonts w:ascii="Times New Roman" w:eastAsiaTheme="minorEastAsia" w:hAnsi="Times New Roman"/>
          <w:sz w:val="16"/>
          <w:szCs w:val="16"/>
          <w:lang w:eastAsia="zh-HK"/>
        </w:rPr>
      </w:pPr>
    </w:p>
    <w:p w14:paraId="02BCA6DA" w14:textId="7445ECB3" w:rsidR="00BB00D0" w:rsidRDefault="00BB00D0" w:rsidP="008E2B5A">
      <w:pPr>
        <w:spacing w:after="0" w:line="200" w:lineRule="exact"/>
        <w:rPr>
          <w:rFonts w:ascii="Times New Roman" w:eastAsiaTheme="minorEastAsia" w:hAnsi="Times New Roman"/>
          <w:sz w:val="16"/>
          <w:szCs w:val="16"/>
          <w:lang w:eastAsia="zh-HK"/>
        </w:rPr>
      </w:pPr>
    </w:p>
    <w:p w14:paraId="399687BD" w14:textId="7EF752BD" w:rsidR="00BB00D0" w:rsidRDefault="00BB00D0" w:rsidP="008E2B5A">
      <w:pPr>
        <w:spacing w:after="0" w:line="200" w:lineRule="exact"/>
        <w:rPr>
          <w:rFonts w:ascii="Times New Roman" w:eastAsiaTheme="minorEastAsia" w:hAnsi="Times New Roman"/>
          <w:sz w:val="16"/>
          <w:szCs w:val="16"/>
          <w:lang w:eastAsia="zh-HK"/>
        </w:rPr>
      </w:pPr>
    </w:p>
    <w:p w14:paraId="02C48BB3" w14:textId="77777777" w:rsidR="002C0781" w:rsidRDefault="002C0781" w:rsidP="008E2B5A">
      <w:pPr>
        <w:spacing w:after="0" w:line="200" w:lineRule="exact"/>
        <w:rPr>
          <w:rFonts w:ascii="Times New Roman" w:eastAsiaTheme="minorEastAsia" w:hAnsi="Times New Roman"/>
          <w:sz w:val="16"/>
          <w:szCs w:val="16"/>
          <w:lang w:eastAsia="zh-HK"/>
        </w:rPr>
      </w:pPr>
    </w:p>
    <w:p w14:paraId="712E12E5" w14:textId="45A2A1B1" w:rsidR="00BB00D0" w:rsidRDefault="00BB00D0" w:rsidP="008E2B5A">
      <w:pPr>
        <w:spacing w:after="0" w:line="200" w:lineRule="exact"/>
        <w:rPr>
          <w:rFonts w:ascii="Times New Roman" w:eastAsiaTheme="minorEastAsia" w:hAnsi="Times New Roman"/>
          <w:sz w:val="16"/>
          <w:szCs w:val="16"/>
          <w:lang w:eastAsia="zh-HK"/>
        </w:rPr>
      </w:pPr>
    </w:p>
    <w:p w14:paraId="0B21DD12" w14:textId="73F3706E" w:rsidR="00BB00D0" w:rsidRDefault="00BB00D0" w:rsidP="008E2B5A">
      <w:pPr>
        <w:spacing w:after="0" w:line="200" w:lineRule="exact"/>
        <w:rPr>
          <w:rFonts w:ascii="Times New Roman" w:eastAsiaTheme="minorEastAsia" w:hAnsi="Times New Roman"/>
          <w:sz w:val="16"/>
          <w:szCs w:val="16"/>
          <w:lang w:eastAsia="zh-HK"/>
        </w:rPr>
      </w:pPr>
    </w:p>
    <w:p w14:paraId="5D2D239F" w14:textId="3271F109" w:rsidR="00BB00D0" w:rsidRDefault="00BB00D0" w:rsidP="008E2B5A">
      <w:pPr>
        <w:spacing w:after="0" w:line="200" w:lineRule="exact"/>
        <w:rPr>
          <w:rFonts w:ascii="Times New Roman" w:eastAsiaTheme="minorEastAsia" w:hAnsi="Times New Roman"/>
          <w:sz w:val="16"/>
          <w:szCs w:val="16"/>
          <w:lang w:eastAsia="zh-HK"/>
        </w:rPr>
      </w:pPr>
    </w:p>
    <w:p w14:paraId="2A0ED1FD" w14:textId="49D5C373" w:rsidR="008002D2" w:rsidRDefault="008002D2" w:rsidP="008002D2">
      <w:pPr>
        <w:spacing w:after="0" w:line="200" w:lineRule="exact"/>
        <w:jc w:val="center"/>
        <w:rPr>
          <w:rFonts w:ascii="Times New Roman" w:hAnsi="Times New Roman"/>
          <w:b/>
          <w:sz w:val="16"/>
          <w:szCs w:val="16"/>
          <w:lang w:eastAsia="zh-HK"/>
        </w:rPr>
      </w:pPr>
      <w:r w:rsidRPr="00716971">
        <w:rPr>
          <w:rFonts w:ascii="Times New Roman" w:hAnsi="Times New Roman"/>
          <w:b/>
          <w:sz w:val="16"/>
          <w:szCs w:val="16"/>
          <w:lang w:eastAsia="zh-HK"/>
        </w:rPr>
        <w:lastRenderedPageBreak/>
        <w:t xml:space="preserve">Table </w:t>
      </w:r>
      <w:r>
        <w:rPr>
          <w:rFonts w:ascii="Times New Roman" w:hAnsi="Times New Roman"/>
          <w:b/>
          <w:sz w:val="16"/>
          <w:szCs w:val="16"/>
          <w:lang w:eastAsia="zh-HK"/>
        </w:rPr>
        <w:t>VIII</w:t>
      </w:r>
      <w:r>
        <w:rPr>
          <w:rFonts w:ascii="Times New Roman" w:eastAsiaTheme="minorEastAsia" w:hAnsi="Times New Roman" w:hint="eastAsia"/>
          <w:b/>
          <w:sz w:val="16"/>
          <w:szCs w:val="16"/>
          <w:lang w:eastAsia="zh-HK"/>
        </w:rPr>
        <w:t xml:space="preserve">. </w:t>
      </w:r>
      <w:r>
        <w:rPr>
          <w:rFonts w:ascii="Times New Roman" w:hAnsi="Times New Roman"/>
          <w:b/>
          <w:sz w:val="16"/>
          <w:szCs w:val="16"/>
          <w:lang w:eastAsia="zh-HK"/>
        </w:rPr>
        <w:t xml:space="preserve">Regression of systemic risks with revised time period for the </w:t>
      </w:r>
      <w:r w:rsidRPr="008002D2">
        <w:rPr>
          <w:rFonts w:ascii="Times New Roman" w:hAnsi="Times New Roman"/>
          <w:b/>
          <w:i/>
          <w:sz w:val="16"/>
          <w:szCs w:val="16"/>
          <w:lang w:eastAsia="zh-HK"/>
        </w:rPr>
        <w:t>Policy</w:t>
      </w:r>
      <w:r>
        <w:rPr>
          <w:rFonts w:ascii="Times New Roman" w:hAnsi="Times New Roman"/>
          <w:b/>
          <w:sz w:val="16"/>
          <w:szCs w:val="16"/>
          <w:lang w:eastAsia="zh-HK"/>
        </w:rPr>
        <w:t xml:space="preserve"> dummy</w:t>
      </w:r>
    </w:p>
    <w:p w14:paraId="159AA0DE" w14:textId="77777777" w:rsidR="008002D2" w:rsidRPr="00A32F46" w:rsidRDefault="008002D2" w:rsidP="008002D2">
      <w:pPr>
        <w:spacing w:after="0" w:line="200" w:lineRule="exact"/>
        <w:jc w:val="center"/>
        <w:rPr>
          <w:rFonts w:ascii="Times New Roman" w:eastAsiaTheme="minorEastAsia" w:hAnsi="Times New Roman"/>
          <w:b/>
          <w:sz w:val="16"/>
          <w:szCs w:val="16"/>
          <w:lang w:eastAsia="zh-HK"/>
        </w:rPr>
      </w:pPr>
    </w:p>
    <w:tbl>
      <w:tblPr>
        <w:tblStyle w:val="TableGrid"/>
        <w:tblW w:w="720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710"/>
        <w:gridCol w:w="1620"/>
        <w:gridCol w:w="1530"/>
      </w:tblGrid>
      <w:tr w:rsidR="008002D2" w:rsidRPr="00716971" w14:paraId="0F56445E" w14:textId="77777777" w:rsidTr="00806F97">
        <w:tc>
          <w:tcPr>
            <w:tcW w:w="2340" w:type="dxa"/>
          </w:tcPr>
          <w:p w14:paraId="681A22D6" w14:textId="77777777" w:rsidR="008002D2" w:rsidRPr="00716971" w:rsidRDefault="008002D2" w:rsidP="00806F97">
            <w:pPr>
              <w:spacing w:after="0" w:line="200" w:lineRule="exact"/>
              <w:jc w:val="center"/>
              <w:rPr>
                <w:rFonts w:ascii="Times New Roman" w:hAnsi="Times New Roman"/>
                <w:sz w:val="16"/>
                <w:szCs w:val="16"/>
              </w:rPr>
            </w:pPr>
          </w:p>
        </w:tc>
        <w:tc>
          <w:tcPr>
            <w:tcW w:w="4860" w:type="dxa"/>
            <w:gridSpan w:val="3"/>
            <w:tcBorders>
              <w:top w:val="single" w:sz="4" w:space="0" w:color="auto"/>
              <w:bottom w:val="single" w:sz="4" w:space="0" w:color="auto"/>
            </w:tcBorders>
          </w:tcPr>
          <w:p w14:paraId="4DB762CD" w14:textId="77777777" w:rsidR="008002D2" w:rsidRPr="00716971" w:rsidRDefault="008002D2" w:rsidP="00806F97">
            <w:pPr>
              <w:spacing w:after="0" w:line="200" w:lineRule="exact"/>
              <w:jc w:val="center"/>
              <w:rPr>
                <w:rFonts w:ascii="Times New Roman" w:hAnsi="Times New Roman"/>
                <w:sz w:val="16"/>
                <w:szCs w:val="16"/>
              </w:rPr>
            </w:pPr>
            <w:r w:rsidRPr="00716971">
              <w:rPr>
                <w:rFonts w:ascii="Times New Roman" w:hAnsi="Times New Roman"/>
                <w:sz w:val="16"/>
                <w:szCs w:val="16"/>
              </w:rPr>
              <w:t>Dependent variable</w:t>
            </w:r>
          </w:p>
        </w:tc>
      </w:tr>
      <w:tr w:rsidR="008002D2" w:rsidRPr="00716971" w14:paraId="6BD473D0" w14:textId="77777777" w:rsidTr="00806F97">
        <w:tc>
          <w:tcPr>
            <w:tcW w:w="2340" w:type="dxa"/>
            <w:tcBorders>
              <w:bottom w:val="nil"/>
            </w:tcBorders>
          </w:tcPr>
          <w:p w14:paraId="7B898138" w14:textId="77777777" w:rsidR="008002D2" w:rsidRPr="00716971" w:rsidRDefault="008002D2" w:rsidP="00806F97">
            <w:pPr>
              <w:spacing w:after="0" w:line="200" w:lineRule="exact"/>
              <w:jc w:val="center"/>
              <w:rPr>
                <w:rFonts w:ascii="Times New Roman" w:hAnsi="Times New Roman"/>
                <w:sz w:val="16"/>
                <w:szCs w:val="16"/>
              </w:rPr>
            </w:pPr>
          </w:p>
        </w:tc>
        <w:tc>
          <w:tcPr>
            <w:tcW w:w="1710" w:type="dxa"/>
            <w:tcBorders>
              <w:top w:val="single" w:sz="4" w:space="0" w:color="auto"/>
              <w:bottom w:val="nil"/>
              <w:right w:val="nil"/>
            </w:tcBorders>
          </w:tcPr>
          <w:p w14:paraId="652F2E96" w14:textId="77777777" w:rsidR="008002D2" w:rsidRPr="00716971" w:rsidRDefault="008002D2" w:rsidP="00806F97">
            <w:pPr>
              <w:spacing w:after="0" w:line="200" w:lineRule="exact"/>
              <w:jc w:val="center"/>
              <w:rPr>
                <w:rFonts w:ascii="Times New Roman" w:hAnsi="Times New Roman"/>
                <w:sz w:val="16"/>
                <w:szCs w:val="16"/>
              </w:rPr>
            </w:pPr>
            <w:r>
              <w:rPr>
                <w:rFonts w:ascii="Times New Roman" w:hAnsi="Times New Roman"/>
                <w:sz w:val="16"/>
                <w:szCs w:val="16"/>
              </w:rPr>
              <w:t>MES (%)</w:t>
            </w:r>
          </w:p>
        </w:tc>
        <w:tc>
          <w:tcPr>
            <w:tcW w:w="1620" w:type="dxa"/>
            <w:tcBorders>
              <w:top w:val="single" w:sz="4" w:space="0" w:color="auto"/>
              <w:left w:val="nil"/>
              <w:bottom w:val="nil"/>
              <w:right w:val="nil"/>
            </w:tcBorders>
          </w:tcPr>
          <w:p w14:paraId="5E1B2A66" w14:textId="77777777" w:rsidR="008002D2" w:rsidRPr="002A5AD2" w:rsidRDefault="008002D2" w:rsidP="00806F97">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SRISK</w:t>
            </w:r>
            <w:r>
              <w:rPr>
                <w:rFonts w:ascii="Times New Roman" w:eastAsiaTheme="minorEastAsia" w:hAnsi="Times New Roman"/>
                <w:sz w:val="16"/>
                <w:szCs w:val="16"/>
                <w:lang w:eastAsia="zh-TW"/>
              </w:rPr>
              <w:t xml:space="preserve"> (in billions)</w:t>
            </w:r>
          </w:p>
        </w:tc>
        <w:tc>
          <w:tcPr>
            <w:tcW w:w="1530" w:type="dxa"/>
            <w:tcBorders>
              <w:top w:val="single" w:sz="4" w:space="0" w:color="auto"/>
              <w:left w:val="nil"/>
              <w:bottom w:val="nil"/>
            </w:tcBorders>
          </w:tcPr>
          <w:p w14:paraId="53367933" w14:textId="77777777" w:rsidR="008002D2" w:rsidRPr="00716971" w:rsidRDefault="008002D2" w:rsidP="00806F97">
            <w:pPr>
              <w:spacing w:after="0" w:line="200" w:lineRule="exact"/>
              <w:jc w:val="center"/>
              <w:rPr>
                <w:rFonts w:ascii="Times New Roman" w:hAnsi="Times New Roman"/>
                <w:sz w:val="16"/>
                <w:szCs w:val="16"/>
              </w:rPr>
            </w:pP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w:t>
            </w:r>
          </w:p>
        </w:tc>
      </w:tr>
      <w:tr w:rsidR="008002D2" w:rsidRPr="00716971" w14:paraId="300D5C8B" w14:textId="77777777" w:rsidTr="00806F97">
        <w:tc>
          <w:tcPr>
            <w:tcW w:w="2340" w:type="dxa"/>
            <w:tcBorders>
              <w:top w:val="nil"/>
              <w:bottom w:val="single" w:sz="4" w:space="0" w:color="auto"/>
            </w:tcBorders>
          </w:tcPr>
          <w:p w14:paraId="506BEE0B" w14:textId="77777777" w:rsidR="008002D2" w:rsidRPr="00716971" w:rsidRDefault="008002D2" w:rsidP="00806F97">
            <w:pPr>
              <w:spacing w:after="0" w:line="200" w:lineRule="exact"/>
              <w:jc w:val="center"/>
              <w:rPr>
                <w:rFonts w:ascii="Times New Roman" w:hAnsi="Times New Roman"/>
                <w:sz w:val="16"/>
                <w:szCs w:val="16"/>
              </w:rPr>
            </w:pPr>
          </w:p>
        </w:tc>
        <w:tc>
          <w:tcPr>
            <w:tcW w:w="1710" w:type="dxa"/>
            <w:tcBorders>
              <w:top w:val="nil"/>
              <w:bottom w:val="single" w:sz="4" w:space="0" w:color="auto"/>
              <w:right w:val="nil"/>
            </w:tcBorders>
          </w:tcPr>
          <w:p w14:paraId="57980305" w14:textId="77777777" w:rsidR="008002D2" w:rsidRPr="00716971" w:rsidRDefault="008002D2" w:rsidP="00806F97">
            <w:pPr>
              <w:spacing w:after="0" w:line="200" w:lineRule="exact"/>
              <w:jc w:val="center"/>
              <w:rPr>
                <w:rFonts w:ascii="Times New Roman" w:hAnsi="Times New Roman"/>
                <w:sz w:val="16"/>
                <w:szCs w:val="16"/>
              </w:rPr>
            </w:pPr>
            <w:r w:rsidRPr="00716971">
              <w:rPr>
                <w:rFonts w:ascii="Times New Roman" w:hAnsi="Times New Roman"/>
                <w:sz w:val="16"/>
                <w:szCs w:val="16"/>
              </w:rPr>
              <w:t>(1)</w:t>
            </w:r>
          </w:p>
        </w:tc>
        <w:tc>
          <w:tcPr>
            <w:tcW w:w="1620" w:type="dxa"/>
            <w:tcBorders>
              <w:top w:val="nil"/>
              <w:left w:val="nil"/>
              <w:bottom w:val="single" w:sz="4" w:space="0" w:color="auto"/>
              <w:right w:val="nil"/>
            </w:tcBorders>
          </w:tcPr>
          <w:p w14:paraId="7DB8CDA6" w14:textId="77777777" w:rsidR="008002D2" w:rsidRPr="00716971" w:rsidRDefault="008002D2" w:rsidP="00806F97">
            <w:pPr>
              <w:spacing w:after="0" w:line="200" w:lineRule="exact"/>
              <w:jc w:val="center"/>
              <w:rPr>
                <w:rFonts w:ascii="Times New Roman" w:hAnsi="Times New Roman"/>
                <w:sz w:val="16"/>
                <w:szCs w:val="16"/>
              </w:rPr>
            </w:pPr>
            <w:r w:rsidRPr="00716971">
              <w:rPr>
                <w:rFonts w:ascii="Times New Roman" w:hAnsi="Times New Roman"/>
                <w:sz w:val="16"/>
                <w:szCs w:val="16"/>
              </w:rPr>
              <w:t>(</w:t>
            </w:r>
            <w:r>
              <w:rPr>
                <w:rFonts w:ascii="Times New Roman" w:hAnsi="Times New Roman"/>
                <w:sz w:val="16"/>
                <w:szCs w:val="16"/>
              </w:rPr>
              <w:t>2</w:t>
            </w:r>
            <w:r w:rsidRPr="00716971">
              <w:rPr>
                <w:rFonts w:ascii="Times New Roman" w:hAnsi="Times New Roman"/>
                <w:sz w:val="16"/>
                <w:szCs w:val="16"/>
              </w:rPr>
              <w:t>)</w:t>
            </w:r>
          </w:p>
        </w:tc>
        <w:tc>
          <w:tcPr>
            <w:tcW w:w="1530" w:type="dxa"/>
            <w:tcBorders>
              <w:top w:val="nil"/>
              <w:left w:val="nil"/>
              <w:bottom w:val="single" w:sz="4" w:space="0" w:color="auto"/>
            </w:tcBorders>
          </w:tcPr>
          <w:p w14:paraId="35B65CA8" w14:textId="77777777" w:rsidR="008002D2" w:rsidRPr="00716971" w:rsidRDefault="008002D2" w:rsidP="00806F97">
            <w:pPr>
              <w:spacing w:after="0" w:line="200" w:lineRule="exact"/>
              <w:jc w:val="center"/>
              <w:rPr>
                <w:rFonts w:ascii="Times New Roman" w:hAnsi="Times New Roman"/>
                <w:sz w:val="16"/>
                <w:szCs w:val="16"/>
              </w:rPr>
            </w:pPr>
            <w:r w:rsidRPr="00716971">
              <w:rPr>
                <w:rFonts w:ascii="Times New Roman" w:hAnsi="Times New Roman"/>
                <w:sz w:val="16"/>
                <w:szCs w:val="16"/>
              </w:rPr>
              <w:t>(3)</w:t>
            </w:r>
          </w:p>
        </w:tc>
      </w:tr>
      <w:tr w:rsidR="002473CA" w:rsidRPr="00716971" w14:paraId="13CFAAEC" w14:textId="77777777" w:rsidTr="00C461DC">
        <w:tc>
          <w:tcPr>
            <w:tcW w:w="2340" w:type="dxa"/>
            <w:tcBorders>
              <w:top w:val="single" w:sz="4" w:space="0" w:color="auto"/>
            </w:tcBorders>
          </w:tcPr>
          <w:p w14:paraId="0BA40D3A" w14:textId="77777777" w:rsidR="002473CA" w:rsidRPr="002A5AD2" w:rsidRDefault="002473CA" w:rsidP="002473CA">
            <w:pPr>
              <w:spacing w:after="0" w:line="200" w:lineRule="exact"/>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 xml:space="preserve">Policy </w:t>
            </w:r>
            <w:r>
              <w:rPr>
                <w:rFonts w:ascii="Times New Roman" w:eastAsiaTheme="minorEastAsia" w:hAnsi="Times New Roman"/>
                <w:sz w:val="16"/>
                <w:szCs w:val="16"/>
                <w:lang w:eastAsia="zh-TW"/>
              </w:rPr>
              <w:t>x GSII</w:t>
            </w:r>
          </w:p>
        </w:tc>
        <w:tc>
          <w:tcPr>
            <w:tcW w:w="1710" w:type="dxa"/>
            <w:tcBorders>
              <w:top w:val="single" w:sz="4" w:space="0" w:color="auto"/>
              <w:right w:val="nil"/>
            </w:tcBorders>
            <w:vAlign w:val="center"/>
          </w:tcPr>
          <w:p w14:paraId="41BD0BE8"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-0.643*** </w:t>
            </w:r>
          </w:p>
          <w:p w14:paraId="13265589" w14:textId="3DA6C414"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(-4.65)</w:t>
            </w:r>
          </w:p>
        </w:tc>
        <w:tc>
          <w:tcPr>
            <w:tcW w:w="1620" w:type="dxa"/>
            <w:tcBorders>
              <w:top w:val="single" w:sz="4" w:space="0" w:color="auto"/>
              <w:left w:val="nil"/>
              <w:right w:val="nil"/>
            </w:tcBorders>
            <w:vAlign w:val="center"/>
          </w:tcPr>
          <w:p w14:paraId="271087C2"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-8.874** </w:t>
            </w:r>
          </w:p>
          <w:p w14:paraId="25B32F56" w14:textId="2737E9C9"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(-2.45)</w:t>
            </w:r>
          </w:p>
        </w:tc>
        <w:tc>
          <w:tcPr>
            <w:tcW w:w="1530" w:type="dxa"/>
            <w:tcBorders>
              <w:top w:val="single" w:sz="4" w:space="0" w:color="auto"/>
              <w:left w:val="nil"/>
            </w:tcBorders>
            <w:vAlign w:val="center"/>
          </w:tcPr>
          <w:p w14:paraId="7873A8D7"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0.188*** </w:t>
            </w:r>
          </w:p>
          <w:p w14:paraId="37BE1F9D" w14:textId="5BAC34D5"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(3.62)</w:t>
            </w:r>
          </w:p>
        </w:tc>
      </w:tr>
      <w:tr w:rsidR="002473CA" w:rsidRPr="00716971" w14:paraId="20E2354C" w14:textId="77777777" w:rsidTr="00C461DC">
        <w:tc>
          <w:tcPr>
            <w:tcW w:w="2340" w:type="dxa"/>
          </w:tcPr>
          <w:p w14:paraId="20DCCDE4" w14:textId="77777777" w:rsidR="002473CA" w:rsidRPr="00716971" w:rsidRDefault="002473CA" w:rsidP="002473CA">
            <w:pPr>
              <w:spacing w:after="0" w:line="200" w:lineRule="exact"/>
              <w:rPr>
                <w:rFonts w:ascii="Times New Roman" w:hAnsi="Times New Roman"/>
                <w:sz w:val="16"/>
                <w:szCs w:val="16"/>
                <w:lang w:eastAsia="zh-HK"/>
              </w:rPr>
            </w:pPr>
            <w:r w:rsidRPr="003E7C25">
              <w:rPr>
                <w:rFonts w:ascii="Times New Roman" w:hAnsi="Times New Roman"/>
                <w:sz w:val="16"/>
                <w:szCs w:val="16"/>
                <w:lang w:eastAsia="zh-HK"/>
              </w:rPr>
              <w:t>Log (Assets in billions)</w:t>
            </w:r>
          </w:p>
        </w:tc>
        <w:tc>
          <w:tcPr>
            <w:tcW w:w="1710" w:type="dxa"/>
            <w:tcBorders>
              <w:right w:val="nil"/>
            </w:tcBorders>
            <w:vAlign w:val="center"/>
          </w:tcPr>
          <w:p w14:paraId="5E63BEA1"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0.203 </w:t>
            </w:r>
          </w:p>
          <w:p w14:paraId="38E7E209" w14:textId="77D91767"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(1.17)</w:t>
            </w:r>
          </w:p>
        </w:tc>
        <w:tc>
          <w:tcPr>
            <w:tcW w:w="1620" w:type="dxa"/>
            <w:tcBorders>
              <w:left w:val="nil"/>
              <w:right w:val="nil"/>
            </w:tcBorders>
            <w:vAlign w:val="center"/>
          </w:tcPr>
          <w:p w14:paraId="53EAF662"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4.221** </w:t>
            </w:r>
          </w:p>
          <w:p w14:paraId="08BBBC97" w14:textId="6063135E"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(2.49)</w:t>
            </w:r>
          </w:p>
        </w:tc>
        <w:tc>
          <w:tcPr>
            <w:tcW w:w="1530" w:type="dxa"/>
            <w:tcBorders>
              <w:left w:val="nil"/>
            </w:tcBorders>
            <w:vAlign w:val="center"/>
          </w:tcPr>
          <w:p w14:paraId="1A391F9A"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-0.172** </w:t>
            </w:r>
          </w:p>
          <w:p w14:paraId="6D4C3D8D" w14:textId="7F7A8479"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(-2.53)</w:t>
            </w:r>
          </w:p>
        </w:tc>
      </w:tr>
      <w:tr w:rsidR="002473CA" w:rsidRPr="00716971" w14:paraId="010D7ECE" w14:textId="77777777" w:rsidTr="00C461DC">
        <w:tc>
          <w:tcPr>
            <w:tcW w:w="2340" w:type="dxa"/>
          </w:tcPr>
          <w:p w14:paraId="21236DD1" w14:textId="77777777" w:rsidR="002473CA" w:rsidRPr="00716971" w:rsidRDefault="002473CA" w:rsidP="002473CA">
            <w:pPr>
              <w:spacing w:after="0" w:line="200" w:lineRule="exact"/>
              <w:rPr>
                <w:rFonts w:ascii="Times New Roman" w:hAnsi="Times New Roman"/>
                <w:sz w:val="16"/>
                <w:szCs w:val="16"/>
              </w:rPr>
            </w:pPr>
            <w:r w:rsidRPr="003E7C25">
              <w:rPr>
                <w:rFonts w:ascii="Times New Roman" w:hAnsi="Times New Roman"/>
                <w:sz w:val="16"/>
                <w:szCs w:val="16"/>
              </w:rPr>
              <w:t>Leverage</w:t>
            </w:r>
          </w:p>
        </w:tc>
        <w:tc>
          <w:tcPr>
            <w:tcW w:w="1710" w:type="dxa"/>
            <w:tcBorders>
              <w:right w:val="nil"/>
            </w:tcBorders>
            <w:vAlign w:val="center"/>
          </w:tcPr>
          <w:p w14:paraId="2B8D819B"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0.029*** </w:t>
            </w:r>
          </w:p>
          <w:p w14:paraId="04CAE872" w14:textId="163FE053"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(10.76)</w:t>
            </w:r>
          </w:p>
        </w:tc>
        <w:tc>
          <w:tcPr>
            <w:tcW w:w="1620" w:type="dxa"/>
            <w:tcBorders>
              <w:left w:val="nil"/>
              <w:right w:val="nil"/>
            </w:tcBorders>
            <w:vAlign w:val="center"/>
          </w:tcPr>
          <w:p w14:paraId="5B2F02FF"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0.202*** </w:t>
            </w:r>
          </w:p>
          <w:p w14:paraId="06940BAC" w14:textId="7829159C"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(4.55)</w:t>
            </w:r>
          </w:p>
        </w:tc>
        <w:tc>
          <w:tcPr>
            <w:tcW w:w="1530" w:type="dxa"/>
            <w:tcBorders>
              <w:left w:val="nil"/>
            </w:tcBorders>
            <w:vAlign w:val="center"/>
          </w:tcPr>
          <w:p w14:paraId="09E2384A"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0.002* </w:t>
            </w:r>
          </w:p>
          <w:p w14:paraId="58CB0F0E" w14:textId="7271915B"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(1.96)</w:t>
            </w:r>
          </w:p>
        </w:tc>
      </w:tr>
      <w:tr w:rsidR="002473CA" w:rsidRPr="00716971" w14:paraId="76415DD9" w14:textId="77777777" w:rsidTr="00C461DC">
        <w:tc>
          <w:tcPr>
            <w:tcW w:w="2340" w:type="dxa"/>
          </w:tcPr>
          <w:p w14:paraId="7DC65BD4" w14:textId="77777777" w:rsidR="002473CA" w:rsidRPr="00716971" w:rsidRDefault="002473CA" w:rsidP="002473CA">
            <w:pPr>
              <w:spacing w:after="0" w:line="200" w:lineRule="exact"/>
              <w:rPr>
                <w:rFonts w:ascii="Times New Roman" w:hAnsi="Times New Roman"/>
                <w:sz w:val="16"/>
                <w:szCs w:val="16"/>
              </w:rPr>
            </w:pPr>
            <w:r w:rsidRPr="003E7C25">
              <w:rPr>
                <w:rFonts w:ascii="Times New Roman" w:hAnsi="Times New Roman"/>
                <w:sz w:val="16"/>
                <w:szCs w:val="16"/>
              </w:rPr>
              <w:t>Non-insurance activities</w:t>
            </w:r>
          </w:p>
        </w:tc>
        <w:tc>
          <w:tcPr>
            <w:tcW w:w="1710" w:type="dxa"/>
            <w:tcBorders>
              <w:right w:val="nil"/>
            </w:tcBorders>
            <w:vAlign w:val="center"/>
          </w:tcPr>
          <w:p w14:paraId="46DDCADF"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-0.046 </w:t>
            </w:r>
          </w:p>
          <w:p w14:paraId="3860702A" w14:textId="7351AEA3"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620" w:type="dxa"/>
            <w:tcBorders>
              <w:left w:val="nil"/>
              <w:right w:val="nil"/>
            </w:tcBorders>
            <w:vAlign w:val="center"/>
          </w:tcPr>
          <w:p w14:paraId="16926C8A"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2.364* </w:t>
            </w:r>
          </w:p>
          <w:p w14:paraId="4AF43F68" w14:textId="7B1959AE"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(1.84)</w:t>
            </w:r>
          </w:p>
        </w:tc>
        <w:tc>
          <w:tcPr>
            <w:tcW w:w="1530" w:type="dxa"/>
            <w:tcBorders>
              <w:left w:val="nil"/>
            </w:tcBorders>
            <w:vAlign w:val="center"/>
          </w:tcPr>
          <w:p w14:paraId="3136514D"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-0.012 </w:t>
            </w:r>
          </w:p>
          <w:p w14:paraId="59B45583" w14:textId="61B67F16"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(-0.26)</w:t>
            </w:r>
          </w:p>
        </w:tc>
      </w:tr>
      <w:tr w:rsidR="002473CA" w:rsidRPr="00716971" w14:paraId="0DEA3793" w14:textId="77777777" w:rsidTr="00C461DC">
        <w:tc>
          <w:tcPr>
            <w:tcW w:w="2340" w:type="dxa"/>
          </w:tcPr>
          <w:p w14:paraId="44BA572D" w14:textId="77777777" w:rsidR="002473CA" w:rsidRPr="00716971" w:rsidRDefault="002473CA" w:rsidP="002473CA">
            <w:pPr>
              <w:spacing w:after="0" w:line="200" w:lineRule="exact"/>
              <w:rPr>
                <w:rFonts w:ascii="Times New Roman" w:hAnsi="Times New Roman"/>
                <w:sz w:val="16"/>
                <w:szCs w:val="16"/>
              </w:rPr>
            </w:pPr>
            <w:r w:rsidRPr="003E7C25">
              <w:rPr>
                <w:rFonts w:ascii="Times New Roman" w:hAnsi="Times New Roman"/>
                <w:sz w:val="16"/>
                <w:szCs w:val="16"/>
              </w:rPr>
              <w:t>Other incomes</w:t>
            </w:r>
          </w:p>
        </w:tc>
        <w:tc>
          <w:tcPr>
            <w:tcW w:w="1710" w:type="dxa"/>
            <w:tcBorders>
              <w:right w:val="nil"/>
            </w:tcBorders>
            <w:vAlign w:val="center"/>
          </w:tcPr>
          <w:p w14:paraId="488D93E1"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-1.479 </w:t>
            </w:r>
          </w:p>
          <w:p w14:paraId="4B00CD79" w14:textId="25A1BAF2"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(-0.86)</w:t>
            </w:r>
          </w:p>
        </w:tc>
        <w:tc>
          <w:tcPr>
            <w:tcW w:w="1620" w:type="dxa"/>
            <w:tcBorders>
              <w:left w:val="nil"/>
              <w:right w:val="nil"/>
            </w:tcBorders>
            <w:vAlign w:val="center"/>
          </w:tcPr>
          <w:p w14:paraId="0DA2CB47"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5.056 </w:t>
            </w:r>
          </w:p>
          <w:p w14:paraId="7B669643" w14:textId="33CAFEEE"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(1.01)</w:t>
            </w:r>
          </w:p>
        </w:tc>
        <w:tc>
          <w:tcPr>
            <w:tcW w:w="1530" w:type="dxa"/>
            <w:tcBorders>
              <w:left w:val="nil"/>
            </w:tcBorders>
            <w:vAlign w:val="center"/>
          </w:tcPr>
          <w:p w14:paraId="75DBCC42"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0.751** </w:t>
            </w:r>
          </w:p>
          <w:p w14:paraId="68688CB0" w14:textId="78AF3D9E"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(2.68)</w:t>
            </w:r>
          </w:p>
        </w:tc>
      </w:tr>
      <w:tr w:rsidR="002473CA" w:rsidRPr="00716971" w14:paraId="4E1B0CC4" w14:textId="77777777" w:rsidTr="00C461DC">
        <w:tc>
          <w:tcPr>
            <w:tcW w:w="2340" w:type="dxa"/>
          </w:tcPr>
          <w:p w14:paraId="6D62AAA3" w14:textId="77777777" w:rsidR="002473CA" w:rsidRPr="00716971" w:rsidRDefault="002473CA" w:rsidP="002473CA">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Global activities</w:t>
            </w:r>
          </w:p>
        </w:tc>
        <w:tc>
          <w:tcPr>
            <w:tcW w:w="1710" w:type="dxa"/>
            <w:tcBorders>
              <w:right w:val="nil"/>
            </w:tcBorders>
            <w:vAlign w:val="center"/>
          </w:tcPr>
          <w:p w14:paraId="528A208B"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0.482 </w:t>
            </w:r>
          </w:p>
          <w:p w14:paraId="13396BF0" w14:textId="4AE51CAE"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(1.35)</w:t>
            </w:r>
          </w:p>
        </w:tc>
        <w:tc>
          <w:tcPr>
            <w:tcW w:w="1620" w:type="dxa"/>
            <w:tcBorders>
              <w:left w:val="nil"/>
              <w:right w:val="nil"/>
            </w:tcBorders>
            <w:vAlign w:val="center"/>
          </w:tcPr>
          <w:p w14:paraId="7E4C2E68"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1.288 </w:t>
            </w:r>
          </w:p>
          <w:p w14:paraId="077D00EA" w14:textId="70F190C8"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(0.96)</w:t>
            </w:r>
          </w:p>
        </w:tc>
        <w:tc>
          <w:tcPr>
            <w:tcW w:w="1530" w:type="dxa"/>
            <w:tcBorders>
              <w:left w:val="nil"/>
            </w:tcBorders>
            <w:vAlign w:val="center"/>
          </w:tcPr>
          <w:p w14:paraId="07D12373"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0.056 </w:t>
            </w:r>
          </w:p>
          <w:p w14:paraId="3D465441" w14:textId="05C23DFF"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(0.49)</w:t>
            </w:r>
          </w:p>
        </w:tc>
      </w:tr>
      <w:tr w:rsidR="002473CA" w:rsidRPr="00716971" w14:paraId="2B7C1248" w14:textId="77777777" w:rsidTr="00C461DC">
        <w:tc>
          <w:tcPr>
            <w:tcW w:w="2340" w:type="dxa"/>
          </w:tcPr>
          <w:p w14:paraId="7EC59C28" w14:textId="77777777" w:rsidR="002473CA" w:rsidRPr="00716971" w:rsidRDefault="002473CA" w:rsidP="002473CA">
            <w:pPr>
              <w:spacing w:after="0" w:line="200" w:lineRule="exact"/>
              <w:rPr>
                <w:rFonts w:ascii="Times New Roman" w:hAnsi="Times New Roman"/>
                <w:sz w:val="16"/>
                <w:szCs w:val="16"/>
                <w:lang w:eastAsia="zh-HK"/>
              </w:rPr>
            </w:pPr>
            <w:r w:rsidRPr="003E7C25">
              <w:rPr>
                <w:rFonts w:ascii="Times New Roman" w:hAnsi="Times New Roman"/>
                <w:sz w:val="16"/>
                <w:szCs w:val="16"/>
                <w:lang w:eastAsia="zh-HK"/>
              </w:rPr>
              <w:t>Liquidity</w:t>
            </w:r>
          </w:p>
        </w:tc>
        <w:tc>
          <w:tcPr>
            <w:tcW w:w="1710" w:type="dxa"/>
            <w:tcBorders>
              <w:right w:val="nil"/>
            </w:tcBorders>
            <w:vAlign w:val="center"/>
          </w:tcPr>
          <w:p w14:paraId="47D5ACC8"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-0.136 </w:t>
            </w:r>
          </w:p>
          <w:p w14:paraId="1455FD34" w14:textId="3E972791"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(-0.56)</w:t>
            </w:r>
          </w:p>
        </w:tc>
        <w:tc>
          <w:tcPr>
            <w:tcW w:w="1620" w:type="dxa"/>
            <w:tcBorders>
              <w:left w:val="nil"/>
              <w:right w:val="nil"/>
            </w:tcBorders>
            <w:vAlign w:val="center"/>
          </w:tcPr>
          <w:p w14:paraId="6C50F6CC"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-0.658 </w:t>
            </w:r>
          </w:p>
          <w:p w14:paraId="31739F7F" w14:textId="23B4DB62"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(-0.57)</w:t>
            </w:r>
          </w:p>
        </w:tc>
        <w:tc>
          <w:tcPr>
            <w:tcW w:w="1530" w:type="dxa"/>
            <w:tcBorders>
              <w:left w:val="nil"/>
            </w:tcBorders>
            <w:vAlign w:val="center"/>
          </w:tcPr>
          <w:p w14:paraId="6FCFDAAF"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0.014 </w:t>
            </w:r>
          </w:p>
          <w:p w14:paraId="7F8EFC90" w14:textId="40148F72"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(0.19)</w:t>
            </w:r>
          </w:p>
        </w:tc>
      </w:tr>
      <w:tr w:rsidR="002473CA" w:rsidRPr="00716971" w14:paraId="028BB6C8" w14:textId="77777777" w:rsidTr="00C461DC">
        <w:tc>
          <w:tcPr>
            <w:tcW w:w="2340" w:type="dxa"/>
          </w:tcPr>
          <w:p w14:paraId="51D61245" w14:textId="77777777" w:rsidR="002473CA" w:rsidRPr="003E7C25" w:rsidRDefault="002473CA" w:rsidP="002473CA">
            <w:pPr>
              <w:spacing w:after="0" w:line="200" w:lineRule="exact"/>
              <w:rPr>
                <w:rFonts w:ascii="Times New Roman" w:hAnsi="Times New Roman"/>
                <w:sz w:val="16"/>
                <w:szCs w:val="16"/>
                <w:lang w:eastAsia="zh-HK"/>
              </w:rPr>
            </w:pPr>
            <w:r>
              <w:rPr>
                <w:rFonts w:ascii="Times New Roman" w:eastAsiaTheme="minorEastAsia" w:hAnsi="Times New Roman" w:hint="eastAsia"/>
                <w:sz w:val="16"/>
                <w:szCs w:val="16"/>
                <w:lang w:eastAsia="zh-TW"/>
              </w:rPr>
              <w:t>M</w:t>
            </w:r>
            <w:r>
              <w:rPr>
                <w:rFonts w:ascii="Times New Roman" w:eastAsiaTheme="minorEastAsia" w:hAnsi="Times New Roman"/>
                <w:sz w:val="16"/>
                <w:szCs w:val="16"/>
                <w:lang w:eastAsia="zh-TW"/>
              </w:rPr>
              <w:t>arket-to-book ratio</w:t>
            </w:r>
          </w:p>
        </w:tc>
        <w:tc>
          <w:tcPr>
            <w:tcW w:w="1710" w:type="dxa"/>
            <w:tcBorders>
              <w:right w:val="nil"/>
            </w:tcBorders>
            <w:vAlign w:val="center"/>
          </w:tcPr>
          <w:p w14:paraId="39630947"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0.001 </w:t>
            </w:r>
          </w:p>
          <w:p w14:paraId="216FE18C" w14:textId="5BA08D8C"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(0.01)</w:t>
            </w:r>
          </w:p>
        </w:tc>
        <w:tc>
          <w:tcPr>
            <w:tcW w:w="1620" w:type="dxa"/>
            <w:tcBorders>
              <w:left w:val="nil"/>
              <w:right w:val="nil"/>
            </w:tcBorders>
            <w:vAlign w:val="center"/>
          </w:tcPr>
          <w:p w14:paraId="3727AB8E"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0.204 </w:t>
            </w:r>
          </w:p>
          <w:p w14:paraId="2F9A2E5B" w14:textId="0104FB41"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(0.91)</w:t>
            </w:r>
          </w:p>
        </w:tc>
        <w:tc>
          <w:tcPr>
            <w:tcW w:w="1530" w:type="dxa"/>
            <w:tcBorders>
              <w:left w:val="nil"/>
            </w:tcBorders>
            <w:vAlign w:val="center"/>
          </w:tcPr>
          <w:p w14:paraId="5E859E63"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0.019 </w:t>
            </w:r>
          </w:p>
          <w:p w14:paraId="6499FCFF" w14:textId="2879AA43"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(0.82)</w:t>
            </w:r>
          </w:p>
        </w:tc>
      </w:tr>
      <w:tr w:rsidR="002473CA" w:rsidRPr="00716971" w14:paraId="3A4A6C77" w14:textId="77777777" w:rsidTr="00C461DC">
        <w:tc>
          <w:tcPr>
            <w:tcW w:w="2340" w:type="dxa"/>
          </w:tcPr>
          <w:p w14:paraId="44EFB899" w14:textId="77777777" w:rsidR="002473CA" w:rsidRPr="003E7C25" w:rsidRDefault="002473CA" w:rsidP="002473CA">
            <w:pPr>
              <w:spacing w:after="0" w:line="200" w:lineRule="exact"/>
              <w:rPr>
                <w:rFonts w:ascii="Times New Roman" w:eastAsiaTheme="minorEastAsia" w:hAnsi="Times New Roman"/>
                <w:sz w:val="16"/>
                <w:szCs w:val="16"/>
                <w:lang w:eastAsia="zh-HK"/>
              </w:rPr>
            </w:pPr>
            <w:r w:rsidRPr="003E7C25">
              <w:rPr>
                <w:rFonts w:ascii="Times New Roman" w:eastAsiaTheme="minorEastAsia" w:hAnsi="Times New Roman"/>
                <w:sz w:val="16"/>
                <w:szCs w:val="16"/>
                <w:lang w:eastAsia="zh-TW"/>
              </w:rPr>
              <w:t>Life</w:t>
            </w:r>
          </w:p>
        </w:tc>
        <w:tc>
          <w:tcPr>
            <w:tcW w:w="1710" w:type="dxa"/>
            <w:tcBorders>
              <w:right w:val="nil"/>
            </w:tcBorders>
            <w:vAlign w:val="center"/>
          </w:tcPr>
          <w:p w14:paraId="7AB74EF7"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0.203 </w:t>
            </w:r>
          </w:p>
          <w:p w14:paraId="2B56A829" w14:textId="77E72D07"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(0.22)</w:t>
            </w:r>
          </w:p>
        </w:tc>
        <w:tc>
          <w:tcPr>
            <w:tcW w:w="1620" w:type="dxa"/>
            <w:tcBorders>
              <w:left w:val="nil"/>
              <w:right w:val="nil"/>
            </w:tcBorders>
            <w:vAlign w:val="center"/>
          </w:tcPr>
          <w:p w14:paraId="18096239"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17.565** </w:t>
            </w:r>
          </w:p>
          <w:p w14:paraId="1718228C" w14:textId="6DC41FEB"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(2.21)</w:t>
            </w:r>
          </w:p>
        </w:tc>
        <w:tc>
          <w:tcPr>
            <w:tcW w:w="1530" w:type="dxa"/>
            <w:tcBorders>
              <w:left w:val="nil"/>
            </w:tcBorders>
            <w:vAlign w:val="center"/>
          </w:tcPr>
          <w:p w14:paraId="1EA5F511"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-0.101 </w:t>
            </w:r>
          </w:p>
          <w:p w14:paraId="490E07B4" w14:textId="233AB7B2"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(-0.34)</w:t>
            </w:r>
          </w:p>
        </w:tc>
      </w:tr>
      <w:tr w:rsidR="002473CA" w:rsidRPr="00716971" w14:paraId="445A1736" w14:textId="77777777" w:rsidTr="00C461DC">
        <w:tc>
          <w:tcPr>
            <w:tcW w:w="2340" w:type="dxa"/>
          </w:tcPr>
          <w:p w14:paraId="542FF688" w14:textId="77777777" w:rsidR="002473CA" w:rsidRPr="003E7C25" w:rsidRDefault="002473CA" w:rsidP="002473CA">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Loss ratio</w:t>
            </w:r>
          </w:p>
        </w:tc>
        <w:tc>
          <w:tcPr>
            <w:tcW w:w="1710" w:type="dxa"/>
            <w:tcBorders>
              <w:right w:val="nil"/>
            </w:tcBorders>
            <w:vAlign w:val="center"/>
          </w:tcPr>
          <w:p w14:paraId="27621C33"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-0.001*** </w:t>
            </w:r>
          </w:p>
          <w:p w14:paraId="7483B146" w14:textId="6216FFD9"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(-4.85)</w:t>
            </w:r>
          </w:p>
        </w:tc>
        <w:tc>
          <w:tcPr>
            <w:tcW w:w="1620" w:type="dxa"/>
            <w:tcBorders>
              <w:left w:val="nil"/>
              <w:right w:val="nil"/>
            </w:tcBorders>
            <w:vAlign w:val="center"/>
          </w:tcPr>
          <w:p w14:paraId="33DA2BA9"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0.002 </w:t>
            </w:r>
          </w:p>
          <w:p w14:paraId="34682DED" w14:textId="044A5CE3"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(1.17)</w:t>
            </w:r>
          </w:p>
        </w:tc>
        <w:tc>
          <w:tcPr>
            <w:tcW w:w="1530" w:type="dxa"/>
            <w:tcBorders>
              <w:left w:val="nil"/>
            </w:tcBorders>
            <w:vAlign w:val="center"/>
          </w:tcPr>
          <w:p w14:paraId="27726D39"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color w:val="000000"/>
                <w:sz w:val="16"/>
                <w:szCs w:val="16"/>
              </w:rPr>
              <w:t>-</w:t>
            </w: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.000</w:t>
            </w:r>
            <w:r>
              <w:rPr>
                <w:rFonts w:ascii="Times New Roman Uni" w:eastAsia="Times New Roman Uni" w:hAnsi="Times New Roman Uni" w:cs="Times New Roman Uni" w:hint="eastAsia"/>
                <w:color w:val="000000"/>
                <w:sz w:val="16"/>
                <w:szCs w:val="16"/>
              </w:rPr>
              <w:t xml:space="preserve"> </w:t>
            </w:r>
          </w:p>
          <w:p w14:paraId="4989BE65" w14:textId="41BA699C"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(-0.32)</w:t>
            </w:r>
          </w:p>
        </w:tc>
      </w:tr>
      <w:tr w:rsidR="002473CA" w:rsidRPr="00716971" w14:paraId="38A9D897" w14:textId="77777777" w:rsidTr="00C461DC">
        <w:tc>
          <w:tcPr>
            <w:tcW w:w="2340" w:type="dxa"/>
          </w:tcPr>
          <w:p w14:paraId="4F394962" w14:textId="77777777" w:rsidR="002473CA" w:rsidRPr="003E7C25" w:rsidRDefault="002473CA" w:rsidP="002473CA">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Investment income</w:t>
            </w:r>
            <w:r>
              <w:rPr>
                <w:rFonts w:ascii="Times New Roman" w:hAnsi="Times New Roman"/>
                <w:sz w:val="16"/>
                <w:szCs w:val="16"/>
                <w:lang w:eastAsia="zh-HK"/>
              </w:rPr>
              <w:t>s</w:t>
            </w:r>
          </w:p>
        </w:tc>
        <w:tc>
          <w:tcPr>
            <w:tcW w:w="1710" w:type="dxa"/>
            <w:tcBorders>
              <w:right w:val="nil"/>
            </w:tcBorders>
            <w:vAlign w:val="center"/>
          </w:tcPr>
          <w:p w14:paraId="629B88B8"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7.346*** </w:t>
            </w:r>
          </w:p>
          <w:p w14:paraId="02480039" w14:textId="27682D38"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(2.81)</w:t>
            </w:r>
          </w:p>
        </w:tc>
        <w:tc>
          <w:tcPr>
            <w:tcW w:w="1620" w:type="dxa"/>
            <w:tcBorders>
              <w:left w:val="nil"/>
              <w:right w:val="nil"/>
            </w:tcBorders>
            <w:vAlign w:val="center"/>
          </w:tcPr>
          <w:p w14:paraId="73384488"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-6.272 </w:t>
            </w:r>
          </w:p>
          <w:p w14:paraId="0D3C4F18" w14:textId="04DB7C32"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(-0.59)</w:t>
            </w:r>
          </w:p>
        </w:tc>
        <w:tc>
          <w:tcPr>
            <w:tcW w:w="1530" w:type="dxa"/>
            <w:tcBorders>
              <w:left w:val="nil"/>
            </w:tcBorders>
            <w:vAlign w:val="center"/>
          </w:tcPr>
          <w:p w14:paraId="14354D53"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-0.89 </w:t>
            </w:r>
          </w:p>
          <w:p w14:paraId="387341A3" w14:textId="0A164A84"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(-0.77)</w:t>
            </w:r>
          </w:p>
        </w:tc>
      </w:tr>
      <w:tr w:rsidR="002473CA" w:rsidRPr="00716971" w14:paraId="54A7AA29" w14:textId="77777777" w:rsidTr="00C461DC">
        <w:tc>
          <w:tcPr>
            <w:tcW w:w="2340" w:type="dxa"/>
          </w:tcPr>
          <w:p w14:paraId="66E6F28B" w14:textId="77777777" w:rsidR="002473CA" w:rsidRDefault="002473CA" w:rsidP="002473CA">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ROA (%)</w:t>
            </w:r>
          </w:p>
        </w:tc>
        <w:tc>
          <w:tcPr>
            <w:tcW w:w="1710" w:type="dxa"/>
            <w:tcBorders>
              <w:right w:val="nil"/>
            </w:tcBorders>
            <w:vAlign w:val="center"/>
          </w:tcPr>
          <w:p w14:paraId="65678CFD"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-0.03</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w:t>
            </w:r>
          </w:p>
          <w:p w14:paraId="5297B0D9" w14:textId="073DB579"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(-0.79)</w:t>
            </w:r>
          </w:p>
        </w:tc>
        <w:tc>
          <w:tcPr>
            <w:tcW w:w="1620" w:type="dxa"/>
            <w:tcBorders>
              <w:left w:val="nil"/>
              <w:right w:val="nil"/>
            </w:tcBorders>
            <w:vAlign w:val="center"/>
          </w:tcPr>
          <w:p w14:paraId="61655950"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0.032 </w:t>
            </w:r>
          </w:p>
          <w:p w14:paraId="60846147" w14:textId="1A5F9F0C"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(0.51)</w:t>
            </w:r>
          </w:p>
        </w:tc>
        <w:tc>
          <w:tcPr>
            <w:tcW w:w="1530" w:type="dxa"/>
            <w:tcBorders>
              <w:left w:val="nil"/>
            </w:tcBorders>
            <w:vAlign w:val="center"/>
          </w:tcPr>
          <w:p w14:paraId="7D6646A2"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-0.025** </w:t>
            </w:r>
          </w:p>
          <w:p w14:paraId="55E1DB52" w14:textId="3247892D"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(-2.69)</w:t>
            </w:r>
          </w:p>
        </w:tc>
      </w:tr>
      <w:tr w:rsidR="002473CA" w:rsidRPr="00716971" w14:paraId="0231849A" w14:textId="77777777" w:rsidTr="00C461DC">
        <w:tc>
          <w:tcPr>
            <w:tcW w:w="2340" w:type="dxa"/>
          </w:tcPr>
          <w:p w14:paraId="3F37CAC6" w14:textId="77777777" w:rsidR="002473CA" w:rsidRDefault="002473CA" w:rsidP="002473CA">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Operating expenses</w:t>
            </w:r>
          </w:p>
        </w:tc>
        <w:tc>
          <w:tcPr>
            <w:tcW w:w="1710" w:type="dxa"/>
            <w:tcBorders>
              <w:right w:val="nil"/>
            </w:tcBorders>
            <w:vAlign w:val="center"/>
          </w:tcPr>
          <w:p w14:paraId="53B1D9C1"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0.497 </w:t>
            </w:r>
          </w:p>
          <w:p w14:paraId="530519D5" w14:textId="473191C4"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(0.74)</w:t>
            </w:r>
          </w:p>
        </w:tc>
        <w:tc>
          <w:tcPr>
            <w:tcW w:w="1620" w:type="dxa"/>
            <w:tcBorders>
              <w:left w:val="nil"/>
              <w:right w:val="nil"/>
            </w:tcBorders>
            <w:vAlign w:val="center"/>
          </w:tcPr>
          <w:p w14:paraId="584B2AD4"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-0.389 </w:t>
            </w:r>
          </w:p>
          <w:p w14:paraId="391507A1" w14:textId="66976002"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(-0.25)</w:t>
            </w:r>
          </w:p>
        </w:tc>
        <w:tc>
          <w:tcPr>
            <w:tcW w:w="1530" w:type="dxa"/>
            <w:tcBorders>
              <w:left w:val="nil"/>
            </w:tcBorders>
            <w:vAlign w:val="center"/>
          </w:tcPr>
          <w:p w14:paraId="4AD8585C"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-0.172 </w:t>
            </w:r>
          </w:p>
          <w:p w14:paraId="03662F4E" w14:textId="26CE13BF"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(-0.65)</w:t>
            </w:r>
          </w:p>
        </w:tc>
      </w:tr>
      <w:tr w:rsidR="002473CA" w:rsidRPr="00716971" w14:paraId="5F1D6463" w14:textId="77777777" w:rsidTr="00C461DC">
        <w:tc>
          <w:tcPr>
            <w:tcW w:w="2340" w:type="dxa"/>
          </w:tcPr>
          <w:p w14:paraId="40B8C370" w14:textId="77777777" w:rsidR="002473CA" w:rsidRDefault="002473CA" w:rsidP="002473CA">
            <w:pPr>
              <w:spacing w:after="0" w:line="200" w:lineRule="exact"/>
              <w:rPr>
                <w:rFonts w:ascii="Times New Roman" w:hAnsi="Times New Roman"/>
                <w:sz w:val="16"/>
                <w:szCs w:val="16"/>
                <w:lang w:eastAsia="zh-HK"/>
              </w:rPr>
            </w:pPr>
            <w:r>
              <w:rPr>
                <w:rFonts w:ascii="Times New Roman" w:eastAsiaTheme="minorEastAsia" w:hAnsi="Times New Roman"/>
                <w:sz w:val="16"/>
                <w:szCs w:val="16"/>
                <w:lang w:eastAsia="zh-HK"/>
              </w:rPr>
              <w:t>GDP growth (%)</w:t>
            </w:r>
          </w:p>
        </w:tc>
        <w:tc>
          <w:tcPr>
            <w:tcW w:w="1710" w:type="dxa"/>
            <w:tcBorders>
              <w:right w:val="nil"/>
            </w:tcBorders>
            <w:vAlign w:val="center"/>
          </w:tcPr>
          <w:p w14:paraId="2D005440"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-0.037 </w:t>
            </w:r>
          </w:p>
          <w:p w14:paraId="1240C9FA" w14:textId="181D0974"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(-0.66)</w:t>
            </w:r>
          </w:p>
        </w:tc>
        <w:tc>
          <w:tcPr>
            <w:tcW w:w="1620" w:type="dxa"/>
            <w:tcBorders>
              <w:left w:val="nil"/>
              <w:right w:val="nil"/>
            </w:tcBorders>
            <w:vAlign w:val="center"/>
          </w:tcPr>
          <w:p w14:paraId="74D0E647"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0.208 </w:t>
            </w:r>
          </w:p>
          <w:p w14:paraId="11B8C6CA" w14:textId="79C46D20"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(1.7</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530" w:type="dxa"/>
            <w:tcBorders>
              <w:left w:val="nil"/>
            </w:tcBorders>
            <w:vAlign w:val="center"/>
          </w:tcPr>
          <w:p w14:paraId="771A4EFA"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-0.022 </w:t>
            </w:r>
          </w:p>
          <w:p w14:paraId="69CFAC99" w14:textId="35BEE314"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(-1.47)</w:t>
            </w:r>
          </w:p>
        </w:tc>
      </w:tr>
      <w:tr w:rsidR="002473CA" w:rsidRPr="00716971" w14:paraId="548C4264" w14:textId="77777777" w:rsidTr="00C461DC">
        <w:tc>
          <w:tcPr>
            <w:tcW w:w="2340" w:type="dxa"/>
          </w:tcPr>
          <w:p w14:paraId="05A11F02" w14:textId="77777777" w:rsidR="002473CA" w:rsidRDefault="002473CA" w:rsidP="002473CA">
            <w:pPr>
              <w:spacing w:after="0" w:line="200" w:lineRule="exact"/>
              <w:rPr>
                <w:rFonts w:ascii="Times New Roman" w:hAnsi="Times New Roman"/>
                <w:sz w:val="16"/>
                <w:szCs w:val="16"/>
                <w:lang w:eastAsia="zh-HK"/>
              </w:rPr>
            </w:pPr>
            <w:r>
              <w:rPr>
                <w:rFonts w:ascii="Times New Roman" w:hAnsi="Times New Roman"/>
                <w:sz w:val="16"/>
                <w:szCs w:val="16"/>
                <w:lang w:eastAsia="zh-HK"/>
              </w:rPr>
              <w:t>Inflation (%)</w:t>
            </w:r>
          </w:p>
        </w:tc>
        <w:tc>
          <w:tcPr>
            <w:tcW w:w="1710" w:type="dxa"/>
            <w:tcBorders>
              <w:right w:val="nil"/>
            </w:tcBorders>
            <w:vAlign w:val="center"/>
          </w:tcPr>
          <w:p w14:paraId="5116A20F"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-0.044 </w:t>
            </w:r>
          </w:p>
          <w:p w14:paraId="5B99C5ED" w14:textId="5B546E41" w:rsidR="002473CA" w:rsidRPr="00274754"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(-0.61)</w:t>
            </w:r>
          </w:p>
        </w:tc>
        <w:tc>
          <w:tcPr>
            <w:tcW w:w="1620" w:type="dxa"/>
            <w:tcBorders>
              <w:left w:val="nil"/>
              <w:right w:val="nil"/>
            </w:tcBorders>
            <w:vAlign w:val="center"/>
          </w:tcPr>
          <w:p w14:paraId="45E7BB83"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-0.223 </w:t>
            </w:r>
          </w:p>
          <w:p w14:paraId="1821AED3" w14:textId="755E8380" w:rsidR="002473CA" w:rsidRPr="004A3B09"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(-1.62)</w:t>
            </w:r>
          </w:p>
        </w:tc>
        <w:tc>
          <w:tcPr>
            <w:tcW w:w="1530" w:type="dxa"/>
            <w:tcBorders>
              <w:left w:val="nil"/>
            </w:tcBorders>
            <w:vAlign w:val="center"/>
          </w:tcPr>
          <w:p w14:paraId="59DA811E" w14:textId="77777777" w:rsidR="002473CA" w:rsidRDefault="002473CA" w:rsidP="002473C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0.024 </w:t>
            </w:r>
          </w:p>
          <w:p w14:paraId="34163F6F" w14:textId="2F1F2BA7" w:rsidR="002473CA" w:rsidRPr="00FA1A92" w:rsidRDefault="002473CA" w:rsidP="002473C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(1.43)</w:t>
            </w:r>
          </w:p>
        </w:tc>
      </w:tr>
      <w:tr w:rsidR="008002D2" w:rsidRPr="00716971" w14:paraId="785A8AD0" w14:textId="77777777" w:rsidTr="00806F97">
        <w:tc>
          <w:tcPr>
            <w:tcW w:w="2340" w:type="dxa"/>
          </w:tcPr>
          <w:p w14:paraId="23DBD198" w14:textId="77777777" w:rsidR="008002D2" w:rsidRDefault="008002D2" w:rsidP="00806F97">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Firm fixed effects</w:t>
            </w:r>
          </w:p>
        </w:tc>
        <w:tc>
          <w:tcPr>
            <w:tcW w:w="1710" w:type="dxa"/>
            <w:tcBorders>
              <w:right w:val="nil"/>
            </w:tcBorders>
          </w:tcPr>
          <w:p w14:paraId="430470D6" w14:textId="77777777" w:rsidR="008002D2" w:rsidRPr="00716971" w:rsidRDefault="008002D2" w:rsidP="00806F97">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620" w:type="dxa"/>
            <w:tcBorders>
              <w:left w:val="nil"/>
              <w:right w:val="nil"/>
            </w:tcBorders>
          </w:tcPr>
          <w:p w14:paraId="1C699990" w14:textId="77777777" w:rsidR="008002D2" w:rsidRPr="00716971" w:rsidRDefault="008002D2" w:rsidP="00806F97">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530" w:type="dxa"/>
            <w:tcBorders>
              <w:left w:val="nil"/>
            </w:tcBorders>
          </w:tcPr>
          <w:p w14:paraId="1A34D84C" w14:textId="77777777" w:rsidR="008002D2" w:rsidRPr="00716971" w:rsidRDefault="008002D2" w:rsidP="00806F97">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r>
      <w:tr w:rsidR="008002D2" w:rsidRPr="00716971" w14:paraId="3C97F175" w14:textId="77777777" w:rsidTr="00806F97">
        <w:tc>
          <w:tcPr>
            <w:tcW w:w="2340" w:type="dxa"/>
          </w:tcPr>
          <w:p w14:paraId="7E5CEFF5" w14:textId="4EC800E7" w:rsidR="008002D2" w:rsidRPr="00716971" w:rsidRDefault="00162322" w:rsidP="00806F97">
            <w:pPr>
              <w:spacing w:after="0" w:line="200" w:lineRule="exact"/>
              <w:rPr>
                <w:rFonts w:ascii="Times New Roman" w:hAnsi="Times New Roman"/>
                <w:sz w:val="16"/>
                <w:szCs w:val="16"/>
                <w:lang w:eastAsia="zh-HK"/>
              </w:rPr>
            </w:pPr>
            <w:r>
              <w:rPr>
                <w:rFonts w:ascii="Times New Roman" w:hAnsi="Times New Roman"/>
                <w:sz w:val="16"/>
                <w:szCs w:val="16"/>
                <w:lang w:eastAsia="zh-HK"/>
              </w:rPr>
              <w:t>Time</w:t>
            </w:r>
            <w:r w:rsidR="008002D2" w:rsidRPr="00716971">
              <w:rPr>
                <w:rFonts w:ascii="Times New Roman" w:hAnsi="Times New Roman"/>
                <w:sz w:val="16"/>
                <w:szCs w:val="16"/>
                <w:lang w:eastAsia="zh-HK"/>
              </w:rPr>
              <w:t xml:space="preserve"> fixed effects</w:t>
            </w:r>
          </w:p>
        </w:tc>
        <w:tc>
          <w:tcPr>
            <w:tcW w:w="1710" w:type="dxa"/>
            <w:tcBorders>
              <w:right w:val="nil"/>
            </w:tcBorders>
          </w:tcPr>
          <w:p w14:paraId="4E6E7680" w14:textId="77777777" w:rsidR="008002D2" w:rsidRPr="00716971" w:rsidRDefault="008002D2" w:rsidP="00806F97">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620" w:type="dxa"/>
            <w:tcBorders>
              <w:left w:val="nil"/>
              <w:right w:val="nil"/>
            </w:tcBorders>
          </w:tcPr>
          <w:p w14:paraId="7EC4E6EF" w14:textId="77777777" w:rsidR="008002D2" w:rsidRPr="00716971" w:rsidRDefault="008002D2" w:rsidP="00806F97">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530" w:type="dxa"/>
            <w:tcBorders>
              <w:left w:val="nil"/>
            </w:tcBorders>
          </w:tcPr>
          <w:p w14:paraId="62DC683E" w14:textId="77777777" w:rsidR="008002D2" w:rsidRPr="00716971" w:rsidRDefault="008002D2" w:rsidP="00806F97">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r>
      <w:tr w:rsidR="008002D2" w:rsidRPr="00716971" w14:paraId="06F5D8BE" w14:textId="77777777" w:rsidTr="00806F97">
        <w:tc>
          <w:tcPr>
            <w:tcW w:w="2340" w:type="dxa"/>
          </w:tcPr>
          <w:p w14:paraId="2C16F4AA" w14:textId="77777777" w:rsidR="008002D2" w:rsidRPr="00716971" w:rsidRDefault="008002D2" w:rsidP="00806F97">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Observations</w:t>
            </w:r>
          </w:p>
        </w:tc>
        <w:tc>
          <w:tcPr>
            <w:tcW w:w="1710" w:type="dxa"/>
            <w:tcBorders>
              <w:right w:val="nil"/>
            </w:tcBorders>
          </w:tcPr>
          <w:p w14:paraId="07B4EB76" w14:textId="2BE1072F" w:rsidR="008002D2" w:rsidRPr="00716971" w:rsidRDefault="008002D2" w:rsidP="002473CA">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343</w:t>
            </w:r>
            <w:r w:rsidR="002473CA">
              <w:rPr>
                <w:rFonts w:ascii="Times New Roman" w:hAnsi="Times New Roman"/>
                <w:sz w:val="16"/>
                <w:szCs w:val="16"/>
                <w:lang w:eastAsia="zh-HK"/>
              </w:rPr>
              <w:t>9</w:t>
            </w:r>
          </w:p>
        </w:tc>
        <w:tc>
          <w:tcPr>
            <w:tcW w:w="1620" w:type="dxa"/>
            <w:tcBorders>
              <w:left w:val="nil"/>
              <w:right w:val="nil"/>
            </w:tcBorders>
          </w:tcPr>
          <w:p w14:paraId="42B9CF34" w14:textId="39F791D2" w:rsidR="008002D2" w:rsidRPr="00716971" w:rsidRDefault="008002D2" w:rsidP="002473CA">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343</w:t>
            </w:r>
            <w:r w:rsidR="002473CA">
              <w:rPr>
                <w:rFonts w:ascii="Times New Roman" w:hAnsi="Times New Roman"/>
                <w:sz w:val="16"/>
                <w:szCs w:val="16"/>
                <w:lang w:eastAsia="zh-HK"/>
              </w:rPr>
              <w:t>9</w:t>
            </w:r>
          </w:p>
        </w:tc>
        <w:tc>
          <w:tcPr>
            <w:tcW w:w="1530" w:type="dxa"/>
            <w:tcBorders>
              <w:left w:val="nil"/>
            </w:tcBorders>
          </w:tcPr>
          <w:p w14:paraId="6D4EE6B6" w14:textId="16692333" w:rsidR="008002D2" w:rsidRPr="00716971" w:rsidRDefault="008002D2" w:rsidP="002473CA">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343</w:t>
            </w:r>
            <w:r w:rsidR="002473CA">
              <w:rPr>
                <w:rFonts w:ascii="Times New Roman" w:hAnsi="Times New Roman"/>
                <w:sz w:val="16"/>
                <w:szCs w:val="16"/>
                <w:lang w:eastAsia="zh-HK"/>
              </w:rPr>
              <w:t>9</w:t>
            </w:r>
          </w:p>
        </w:tc>
      </w:tr>
      <w:tr w:rsidR="008002D2" w:rsidRPr="00716971" w14:paraId="356CD723" w14:textId="77777777" w:rsidTr="00806F97">
        <w:tc>
          <w:tcPr>
            <w:tcW w:w="2340" w:type="dxa"/>
            <w:tcBorders>
              <w:bottom w:val="single" w:sz="4" w:space="0" w:color="auto"/>
            </w:tcBorders>
          </w:tcPr>
          <w:p w14:paraId="2088B7FC" w14:textId="77777777" w:rsidR="008002D2" w:rsidRPr="00716971" w:rsidRDefault="008002D2" w:rsidP="00806F97">
            <w:pPr>
              <w:spacing w:after="0" w:line="200" w:lineRule="exact"/>
              <w:rPr>
                <w:rFonts w:ascii="Times New Roman" w:hAnsi="Times New Roman"/>
                <w:sz w:val="16"/>
                <w:szCs w:val="16"/>
                <w:lang w:eastAsia="zh-HK"/>
              </w:rPr>
            </w:pPr>
            <w:r>
              <w:rPr>
                <w:rFonts w:ascii="Times New Roman" w:hAnsi="Times New Roman"/>
                <w:sz w:val="16"/>
                <w:szCs w:val="16"/>
                <w:lang w:eastAsia="zh-HK"/>
              </w:rPr>
              <w:t>R</w:t>
            </w:r>
            <w:r w:rsidRPr="003E7C25">
              <w:rPr>
                <w:rFonts w:ascii="Times New Roman" w:hAnsi="Times New Roman"/>
                <w:sz w:val="16"/>
                <w:szCs w:val="16"/>
                <w:vertAlign w:val="superscript"/>
                <w:lang w:eastAsia="zh-HK"/>
              </w:rPr>
              <w:t>2</w:t>
            </w:r>
          </w:p>
        </w:tc>
        <w:tc>
          <w:tcPr>
            <w:tcW w:w="1710" w:type="dxa"/>
            <w:tcBorders>
              <w:bottom w:val="single" w:sz="4" w:space="0" w:color="auto"/>
              <w:right w:val="nil"/>
            </w:tcBorders>
          </w:tcPr>
          <w:p w14:paraId="3806F28C" w14:textId="74FEBA66" w:rsidR="008002D2" w:rsidRPr="00716971" w:rsidRDefault="00274754" w:rsidP="002473CA">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w:t>
            </w:r>
            <w:r w:rsidR="002473CA">
              <w:rPr>
                <w:rFonts w:ascii="Times New Roman" w:hAnsi="Times New Roman"/>
                <w:sz w:val="16"/>
                <w:szCs w:val="16"/>
                <w:lang w:eastAsia="zh-HK"/>
              </w:rPr>
              <w:t>570</w:t>
            </w:r>
          </w:p>
        </w:tc>
        <w:tc>
          <w:tcPr>
            <w:tcW w:w="1620" w:type="dxa"/>
            <w:tcBorders>
              <w:left w:val="nil"/>
              <w:bottom w:val="single" w:sz="4" w:space="0" w:color="auto"/>
              <w:right w:val="nil"/>
            </w:tcBorders>
          </w:tcPr>
          <w:p w14:paraId="7D93C0F1" w14:textId="6AFDC790" w:rsidR="008002D2" w:rsidRPr="00716971" w:rsidRDefault="004A3B09" w:rsidP="002473CA">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8</w:t>
            </w:r>
            <w:r w:rsidR="002473CA">
              <w:rPr>
                <w:rFonts w:ascii="Times New Roman" w:hAnsi="Times New Roman"/>
                <w:sz w:val="16"/>
                <w:szCs w:val="16"/>
                <w:lang w:eastAsia="zh-HK"/>
              </w:rPr>
              <w:t>84</w:t>
            </w:r>
          </w:p>
        </w:tc>
        <w:tc>
          <w:tcPr>
            <w:tcW w:w="1530" w:type="dxa"/>
            <w:tcBorders>
              <w:left w:val="nil"/>
              <w:bottom w:val="single" w:sz="4" w:space="0" w:color="auto"/>
            </w:tcBorders>
          </w:tcPr>
          <w:p w14:paraId="285DE6D2" w14:textId="7CD4C90B" w:rsidR="008002D2" w:rsidRPr="00716971" w:rsidRDefault="00FA1A92" w:rsidP="002473CA">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w:t>
            </w:r>
            <w:r w:rsidR="002473CA">
              <w:rPr>
                <w:rFonts w:ascii="Times New Roman" w:hAnsi="Times New Roman"/>
                <w:sz w:val="16"/>
                <w:szCs w:val="16"/>
                <w:lang w:eastAsia="zh-HK"/>
              </w:rPr>
              <w:t>689</w:t>
            </w:r>
          </w:p>
        </w:tc>
      </w:tr>
      <w:tr w:rsidR="008002D2" w:rsidRPr="00716971" w14:paraId="566640E7" w14:textId="77777777" w:rsidTr="00806F97">
        <w:tc>
          <w:tcPr>
            <w:tcW w:w="7200" w:type="dxa"/>
            <w:gridSpan w:val="4"/>
            <w:tcBorders>
              <w:top w:val="single" w:sz="4" w:space="0" w:color="auto"/>
              <w:bottom w:val="single" w:sz="4" w:space="0" w:color="auto"/>
            </w:tcBorders>
          </w:tcPr>
          <w:p w14:paraId="2B86332E" w14:textId="46F84E75" w:rsidR="008002D2" w:rsidRPr="00A32F46" w:rsidRDefault="008002D2" w:rsidP="000A5D47">
            <w:pPr>
              <w:spacing w:after="0" w:line="200" w:lineRule="exact"/>
              <w:jc w:val="both"/>
              <w:rPr>
                <w:rFonts w:ascii="Times New Roman" w:eastAsiaTheme="minorEastAsia" w:hAnsi="Times New Roman"/>
                <w:sz w:val="16"/>
                <w:szCs w:val="16"/>
                <w:lang w:eastAsia="zh-HK"/>
              </w:rPr>
            </w:pPr>
            <w:r>
              <w:rPr>
                <w:rFonts w:ascii="Times New Roman" w:hAnsi="Times New Roman"/>
                <w:sz w:val="16"/>
                <w:szCs w:val="16"/>
                <w:lang w:eastAsia="zh-HK"/>
              </w:rPr>
              <w:t xml:space="preserve">The table above reports the result of running the baseline regression with revised time period for the </w:t>
            </w:r>
            <w:r w:rsidRPr="008002D2">
              <w:rPr>
                <w:rFonts w:ascii="Times New Roman" w:hAnsi="Times New Roman"/>
                <w:i/>
                <w:sz w:val="16"/>
                <w:szCs w:val="16"/>
                <w:lang w:eastAsia="zh-HK"/>
              </w:rPr>
              <w:t>Policy</w:t>
            </w:r>
            <w:r>
              <w:rPr>
                <w:rFonts w:ascii="Times New Roman" w:hAnsi="Times New Roman"/>
                <w:sz w:val="16"/>
                <w:szCs w:val="16"/>
                <w:lang w:eastAsia="zh-HK"/>
              </w:rPr>
              <w:t xml:space="preserve"> dummy</w:t>
            </w:r>
            <w:r w:rsidRPr="00716971">
              <w:rPr>
                <w:rFonts w:ascii="Times New Roman" w:hAnsi="Times New Roman"/>
                <w:sz w:val="16"/>
                <w:szCs w:val="16"/>
                <w:lang w:eastAsia="zh-HK"/>
              </w:rPr>
              <w:t xml:space="preserve">. </w:t>
            </w:r>
            <w:r>
              <w:rPr>
                <w:rFonts w:ascii="Times New Roman" w:hAnsi="Times New Roman"/>
                <w:sz w:val="16"/>
                <w:szCs w:val="16"/>
                <w:lang w:eastAsia="zh-HK"/>
              </w:rPr>
              <w:t xml:space="preserve">To ensure all G-SIIs were certain of their designation during the time period for the </w:t>
            </w:r>
            <w:r w:rsidRPr="008002D2">
              <w:rPr>
                <w:rFonts w:ascii="Times New Roman" w:hAnsi="Times New Roman"/>
                <w:i/>
                <w:sz w:val="16"/>
                <w:szCs w:val="16"/>
                <w:lang w:eastAsia="zh-HK"/>
              </w:rPr>
              <w:t>Policy</w:t>
            </w:r>
            <w:r>
              <w:rPr>
                <w:rFonts w:ascii="Times New Roman" w:hAnsi="Times New Roman"/>
                <w:sz w:val="16"/>
                <w:szCs w:val="16"/>
                <w:lang w:eastAsia="zh-HK"/>
              </w:rPr>
              <w:t xml:space="preserve"> dummy, we revise the dummy so that it equals to 1 from 2013 Q4 to 2015 Q4. MES, SRISK and </w:t>
            </w: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are computed with the World </w:t>
            </w:r>
            <w:proofErr w:type="spellStart"/>
            <w:r>
              <w:rPr>
                <w:rFonts w:ascii="Times New Roman" w:hAnsi="Times New Roman"/>
                <w:sz w:val="16"/>
                <w:szCs w:val="16"/>
                <w:lang w:eastAsia="zh-HK"/>
              </w:rPr>
              <w:t>Datastream</w:t>
            </w:r>
            <w:proofErr w:type="spellEnd"/>
            <w:r>
              <w:rPr>
                <w:rFonts w:ascii="Times New Roman" w:hAnsi="Times New Roman"/>
                <w:sz w:val="16"/>
                <w:szCs w:val="16"/>
                <w:lang w:eastAsia="zh-HK"/>
              </w:rPr>
              <w:t xml:space="preserve"> Financial Index as proxy for market index. Firm fixed effects and time</w:t>
            </w:r>
            <w:r w:rsidRPr="00716971">
              <w:rPr>
                <w:rFonts w:ascii="Times New Roman" w:hAnsi="Times New Roman"/>
                <w:sz w:val="16"/>
                <w:szCs w:val="16"/>
                <w:lang w:eastAsia="zh-HK"/>
              </w:rPr>
              <w:t xml:space="preserve"> fixed effects are included</w:t>
            </w:r>
            <w:r>
              <w:rPr>
                <w:rFonts w:ascii="Times New Roman" w:hAnsi="Times New Roman"/>
                <w:sz w:val="16"/>
                <w:szCs w:val="16"/>
                <w:lang w:eastAsia="zh-HK"/>
              </w:rPr>
              <w:t>. Standard errors are clustered at the country level</w:t>
            </w:r>
            <w:r w:rsidRPr="00716971">
              <w:rPr>
                <w:rFonts w:ascii="Times New Roman" w:hAnsi="Times New Roman"/>
                <w:sz w:val="16"/>
                <w:szCs w:val="16"/>
                <w:lang w:eastAsia="zh-HK"/>
              </w:rPr>
              <w:t xml:space="preserve"> and t-statistics are reported in parentheses; *, **, and *** indicate significance at the 10%, 5% and 1% levels respectively.</w:t>
            </w:r>
            <w:r>
              <w:rPr>
                <w:rFonts w:ascii="Times New Roman" w:hAnsi="Times New Roman"/>
                <w:sz w:val="16"/>
                <w:szCs w:val="16"/>
                <w:lang w:eastAsia="zh-HK"/>
              </w:rPr>
              <w:t xml:space="preserve"> </w:t>
            </w:r>
            <w:r w:rsidRPr="00B86E32">
              <w:rPr>
                <w:rFonts w:ascii="Times New Roman" w:hAnsi="Times New Roman"/>
                <w:sz w:val="16"/>
                <w:szCs w:val="16"/>
                <w:lang w:eastAsia="zh-HK"/>
              </w:rPr>
              <w:t>The</w:t>
            </w:r>
            <w:r>
              <w:rPr>
                <w:rFonts w:ascii="Times New Roman" w:hAnsi="Times New Roman"/>
                <w:sz w:val="16"/>
                <w:szCs w:val="16"/>
                <w:lang w:eastAsia="zh-HK"/>
              </w:rPr>
              <w:t xml:space="preserve"> </w:t>
            </w:r>
            <w:r w:rsidRPr="00B86E32">
              <w:rPr>
                <w:rFonts w:ascii="Times New Roman" w:hAnsi="Times New Roman"/>
                <w:sz w:val="16"/>
                <w:szCs w:val="16"/>
                <w:lang w:eastAsia="zh-HK"/>
              </w:rPr>
              <w:t xml:space="preserve">variables are </w:t>
            </w:r>
            <w:r>
              <w:rPr>
                <w:rFonts w:ascii="Times New Roman" w:hAnsi="Times New Roman"/>
                <w:sz w:val="16"/>
                <w:szCs w:val="16"/>
                <w:lang w:eastAsia="zh-HK"/>
              </w:rPr>
              <w:t>defined</w:t>
            </w:r>
            <w:r w:rsidRPr="00B86E32">
              <w:rPr>
                <w:rFonts w:ascii="Times New Roman" w:hAnsi="Times New Roman"/>
                <w:sz w:val="16"/>
                <w:szCs w:val="16"/>
                <w:lang w:eastAsia="zh-HK"/>
              </w:rPr>
              <w:t xml:space="preserve"> in Table </w:t>
            </w:r>
            <w:r>
              <w:rPr>
                <w:rFonts w:ascii="Times New Roman" w:eastAsiaTheme="minorEastAsia" w:hAnsi="Times New Roman" w:hint="eastAsia"/>
                <w:sz w:val="16"/>
                <w:szCs w:val="16"/>
                <w:lang w:eastAsia="zh-HK"/>
              </w:rPr>
              <w:t>II</w:t>
            </w:r>
            <w:r w:rsidR="00FA1A92">
              <w:rPr>
                <w:rFonts w:ascii="Times New Roman" w:eastAsiaTheme="minorEastAsia" w:hAnsi="Times New Roman"/>
                <w:sz w:val="16"/>
                <w:szCs w:val="16"/>
                <w:lang w:eastAsia="zh-HK"/>
              </w:rPr>
              <w:t xml:space="preserve"> except the </w:t>
            </w:r>
            <w:r w:rsidR="00FA1A92" w:rsidRPr="00FA1A92">
              <w:rPr>
                <w:rFonts w:ascii="Times New Roman" w:eastAsiaTheme="minorEastAsia" w:hAnsi="Times New Roman"/>
                <w:i/>
                <w:sz w:val="16"/>
                <w:szCs w:val="16"/>
                <w:lang w:eastAsia="zh-HK"/>
              </w:rPr>
              <w:t>Policy</w:t>
            </w:r>
            <w:r w:rsidR="00FA1A92">
              <w:rPr>
                <w:rFonts w:ascii="Times New Roman" w:eastAsiaTheme="minorEastAsia" w:hAnsi="Times New Roman"/>
                <w:sz w:val="16"/>
                <w:szCs w:val="16"/>
                <w:lang w:eastAsia="zh-HK"/>
              </w:rPr>
              <w:t xml:space="preserve"> dummy</w:t>
            </w:r>
            <w:r w:rsidRPr="00B86E32">
              <w:rPr>
                <w:rFonts w:ascii="Times New Roman" w:hAnsi="Times New Roman"/>
                <w:sz w:val="16"/>
                <w:szCs w:val="16"/>
                <w:lang w:eastAsia="zh-HK"/>
              </w:rPr>
              <w:t>.</w:t>
            </w:r>
          </w:p>
        </w:tc>
      </w:tr>
    </w:tbl>
    <w:p w14:paraId="2BD4CBEA" w14:textId="2BA481A4" w:rsidR="008002D2" w:rsidRDefault="008002D2" w:rsidP="008002D2">
      <w:pPr>
        <w:spacing w:after="0" w:line="200" w:lineRule="exact"/>
        <w:jc w:val="center"/>
        <w:rPr>
          <w:rFonts w:ascii="Times New Roman" w:eastAsiaTheme="minorEastAsia" w:hAnsi="Times New Roman"/>
          <w:b/>
          <w:sz w:val="16"/>
          <w:szCs w:val="16"/>
          <w:lang w:eastAsia="zh-HK"/>
        </w:rPr>
      </w:pPr>
    </w:p>
    <w:p w14:paraId="610E4A57" w14:textId="34F34480" w:rsidR="00FA1A92" w:rsidRDefault="00FA1A92" w:rsidP="008002D2">
      <w:pPr>
        <w:spacing w:after="0" w:line="200" w:lineRule="exact"/>
        <w:jc w:val="center"/>
        <w:rPr>
          <w:rFonts w:ascii="Times New Roman" w:eastAsiaTheme="minorEastAsia" w:hAnsi="Times New Roman"/>
          <w:b/>
          <w:sz w:val="16"/>
          <w:szCs w:val="16"/>
          <w:lang w:eastAsia="zh-HK"/>
        </w:rPr>
      </w:pPr>
    </w:p>
    <w:p w14:paraId="7397AB2D" w14:textId="505378AE" w:rsidR="00FA1A92" w:rsidRDefault="00FA1A92" w:rsidP="008002D2">
      <w:pPr>
        <w:spacing w:after="0" w:line="200" w:lineRule="exact"/>
        <w:jc w:val="center"/>
        <w:rPr>
          <w:rFonts w:ascii="Times New Roman" w:eastAsiaTheme="minorEastAsia" w:hAnsi="Times New Roman"/>
          <w:b/>
          <w:sz w:val="16"/>
          <w:szCs w:val="16"/>
          <w:lang w:eastAsia="zh-HK"/>
        </w:rPr>
      </w:pPr>
    </w:p>
    <w:p w14:paraId="2D497863" w14:textId="2C3907AE" w:rsidR="00FA1A92" w:rsidRDefault="00FA1A92" w:rsidP="008002D2">
      <w:pPr>
        <w:spacing w:after="0" w:line="200" w:lineRule="exact"/>
        <w:jc w:val="center"/>
        <w:rPr>
          <w:rFonts w:ascii="Times New Roman" w:eastAsiaTheme="minorEastAsia" w:hAnsi="Times New Roman"/>
          <w:b/>
          <w:sz w:val="16"/>
          <w:szCs w:val="16"/>
          <w:lang w:eastAsia="zh-HK"/>
        </w:rPr>
      </w:pPr>
    </w:p>
    <w:p w14:paraId="22E87222" w14:textId="676127B0" w:rsidR="00FA1A92" w:rsidRDefault="00FA1A92" w:rsidP="008002D2">
      <w:pPr>
        <w:spacing w:after="0" w:line="200" w:lineRule="exact"/>
        <w:jc w:val="center"/>
        <w:rPr>
          <w:rFonts w:ascii="Times New Roman" w:eastAsiaTheme="minorEastAsia" w:hAnsi="Times New Roman"/>
          <w:b/>
          <w:sz w:val="16"/>
          <w:szCs w:val="16"/>
          <w:lang w:eastAsia="zh-HK"/>
        </w:rPr>
      </w:pPr>
    </w:p>
    <w:p w14:paraId="153C7770" w14:textId="4A6ED721" w:rsidR="00FA1A92" w:rsidRDefault="00FA1A92" w:rsidP="008002D2">
      <w:pPr>
        <w:spacing w:after="0" w:line="200" w:lineRule="exact"/>
        <w:jc w:val="center"/>
        <w:rPr>
          <w:rFonts w:ascii="Times New Roman" w:eastAsiaTheme="minorEastAsia" w:hAnsi="Times New Roman"/>
          <w:b/>
          <w:sz w:val="16"/>
          <w:szCs w:val="16"/>
          <w:lang w:eastAsia="zh-HK"/>
        </w:rPr>
      </w:pPr>
    </w:p>
    <w:p w14:paraId="193FEF26" w14:textId="30ABD93F" w:rsidR="00FA1A92" w:rsidRDefault="00FA1A92" w:rsidP="008002D2">
      <w:pPr>
        <w:spacing w:after="0" w:line="200" w:lineRule="exact"/>
        <w:jc w:val="center"/>
        <w:rPr>
          <w:rFonts w:ascii="Times New Roman" w:eastAsiaTheme="minorEastAsia" w:hAnsi="Times New Roman"/>
          <w:b/>
          <w:sz w:val="16"/>
          <w:szCs w:val="16"/>
          <w:lang w:eastAsia="zh-HK"/>
        </w:rPr>
      </w:pPr>
    </w:p>
    <w:p w14:paraId="4BBA07C0" w14:textId="28A19785" w:rsidR="00FA1A92" w:rsidRDefault="00FA1A92" w:rsidP="008002D2">
      <w:pPr>
        <w:spacing w:after="0" w:line="200" w:lineRule="exact"/>
        <w:jc w:val="center"/>
        <w:rPr>
          <w:rFonts w:ascii="Times New Roman" w:eastAsiaTheme="minorEastAsia" w:hAnsi="Times New Roman"/>
          <w:b/>
          <w:sz w:val="16"/>
          <w:szCs w:val="16"/>
          <w:lang w:eastAsia="zh-HK"/>
        </w:rPr>
      </w:pPr>
    </w:p>
    <w:p w14:paraId="3EE6BFE9" w14:textId="77777777" w:rsidR="000A5D47" w:rsidRDefault="000A5D47" w:rsidP="008002D2">
      <w:pPr>
        <w:spacing w:after="0" w:line="200" w:lineRule="exact"/>
        <w:jc w:val="center"/>
        <w:rPr>
          <w:rFonts w:ascii="Times New Roman" w:eastAsiaTheme="minorEastAsia" w:hAnsi="Times New Roman"/>
          <w:b/>
          <w:sz w:val="16"/>
          <w:szCs w:val="16"/>
          <w:lang w:eastAsia="zh-HK"/>
        </w:rPr>
      </w:pPr>
    </w:p>
    <w:p w14:paraId="5A3E9272" w14:textId="2F436654" w:rsidR="00FA1A92" w:rsidRDefault="00FA1A92" w:rsidP="008002D2">
      <w:pPr>
        <w:spacing w:after="0" w:line="200" w:lineRule="exact"/>
        <w:jc w:val="center"/>
        <w:rPr>
          <w:rFonts w:ascii="Times New Roman" w:eastAsiaTheme="minorEastAsia" w:hAnsi="Times New Roman"/>
          <w:b/>
          <w:sz w:val="16"/>
          <w:szCs w:val="16"/>
          <w:lang w:eastAsia="zh-HK"/>
        </w:rPr>
      </w:pPr>
    </w:p>
    <w:p w14:paraId="47B97909" w14:textId="77777777" w:rsidR="00FA1A92" w:rsidRDefault="00FA1A92" w:rsidP="008002D2">
      <w:pPr>
        <w:spacing w:after="0" w:line="200" w:lineRule="exact"/>
        <w:jc w:val="center"/>
        <w:rPr>
          <w:rFonts w:ascii="Times New Roman" w:eastAsiaTheme="minorEastAsia" w:hAnsi="Times New Roman"/>
          <w:b/>
          <w:sz w:val="16"/>
          <w:szCs w:val="16"/>
          <w:lang w:eastAsia="zh-HK"/>
        </w:rPr>
      </w:pPr>
    </w:p>
    <w:p w14:paraId="2622AD6E" w14:textId="30B917E1" w:rsidR="00BB00D0" w:rsidRDefault="00BB00D0" w:rsidP="00BB00D0">
      <w:pPr>
        <w:spacing w:after="0" w:line="200" w:lineRule="exact"/>
        <w:jc w:val="center"/>
        <w:rPr>
          <w:rFonts w:ascii="Times New Roman" w:hAnsi="Times New Roman"/>
          <w:b/>
          <w:sz w:val="16"/>
          <w:szCs w:val="16"/>
          <w:lang w:eastAsia="zh-HK"/>
        </w:rPr>
      </w:pPr>
      <w:r w:rsidRPr="00716971">
        <w:rPr>
          <w:rFonts w:ascii="Times New Roman" w:hAnsi="Times New Roman"/>
          <w:b/>
          <w:sz w:val="16"/>
          <w:szCs w:val="16"/>
          <w:lang w:eastAsia="zh-HK"/>
        </w:rPr>
        <w:lastRenderedPageBreak/>
        <w:t xml:space="preserve">Table </w:t>
      </w:r>
      <w:r>
        <w:rPr>
          <w:rFonts w:ascii="Times New Roman" w:hAnsi="Times New Roman"/>
          <w:b/>
          <w:sz w:val="16"/>
          <w:szCs w:val="16"/>
          <w:lang w:eastAsia="zh-HK"/>
        </w:rPr>
        <w:t>I</w:t>
      </w:r>
      <w:r w:rsidR="00516A9F">
        <w:rPr>
          <w:rFonts w:ascii="Times New Roman" w:hAnsi="Times New Roman"/>
          <w:b/>
          <w:sz w:val="16"/>
          <w:szCs w:val="16"/>
          <w:lang w:eastAsia="zh-HK"/>
        </w:rPr>
        <w:t>X</w:t>
      </w:r>
      <w:r>
        <w:rPr>
          <w:rFonts w:ascii="Times New Roman" w:eastAsiaTheme="minorEastAsia" w:hAnsi="Times New Roman" w:hint="eastAsia"/>
          <w:b/>
          <w:sz w:val="16"/>
          <w:szCs w:val="16"/>
          <w:lang w:eastAsia="zh-HK"/>
        </w:rPr>
        <w:t xml:space="preserve">. </w:t>
      </w:r>
      <w:r>
        <w:rPr>
          <w:rFonts w:ascii="Times New Roman" w:hAnsi="Times New Roman"/>
          <w:b/>
          <w:sz w:val="16"/>
          <w:szCs w:val="16"/>
          <w:lang w:eastAsia="zh-HK"/>
        </w:rPr>
        <w:t>Regression of systemic risks on U.S. insurers and non U.S. insurers</w:t>
      </w:r>
    </w:p>
    <w:p w14:paraId="5838C0DB" w14:textId="5D652A0F" w:rsidR="00BB00D0" w:rsidRPr="00BB00D0" w:rsidRDefault="00BB00D0" w:rsidP="008E2B5A">
      <w:pPr>
        <w:spacing w:after="0" w:line="200" w:lineRule="exact"/>
        <w:rPr>
          <w:rFonts w:ascii="Times New Roman" w:eastAsiaTheme="minorEastAsia" w:hAnsi="Times New Roman"/>
          <w:sz w:val="16"/>
          <w:szCs w:val="16"/>
          <w:lang w:eastAsia="zh-HK"/>
        </w:rPr>
      </w:pPr>
    </w:p>
    <w:tbl>
      <w:tblPr>
        <w:tblStyle w:val="TableGrid"/>
        <w:tblW w:w="11199" w:type="dxa"/>
        <w:tblInd w:w="-19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1223"/>
        <w:gridCol w:w="1102"/>
        <w:gridCol w:w="1200"/>
        <w:gridCol w:w="1274"/>
        <w:gridCol w:w="1104"/>
        <w:gridCol w:w="1221"/>
      </w:tblGrid>
      <w:tr w:rsidR="00031FDE" w:rsidRPr="00C50894" w14:paraId="11D4B0B0" w14:textId="77777777" w:rsidTr="006211F5">
        <w:tc>
          <w:tcPr>
            <w:tcW w:w="4075" w:type="dxa"/>
            <w:tcBorders>
              <w:top w:val="single" w:sz="4" w:space="0" w:color="auto"/>
              <w:bottom w:val="nil"/>
              <w:right w:val="nil"/>
            </w:tcBorders>
          </w:tcPr>
          <w:p w14:paraId="53784CCA" w14:textId="77777777" w:rsidR="00BB00D0" w:rsidRPr="00C50894" w:rsidRDefault="00BB00D0" w:rsidP="00E908D3">
            <w:pPr>
              <w:spacing w:after="0" w:line="200" w:lineRule="exact"/>
              <w:jc w:val="center"/>
              <w:rPr>
                <w:rFonts w:ascii="Times New Roman" w:hAnsi="Times New Roman"/>
                <w:sz w:val="20"/>
                <w:szCs w:val="20"/>
              </w:rPr>
            </w:pPr>
          </w:p>
        </w:tc>
        <w:tc>
          <w:tcPr>
            <w:tcW w:w="3525" w:type="dxa"/>
            <w:gridSpan w:val="3"/>
            <w:tcBorders>
              <w:top w:val="single" w:sz="4" w:space="0" w:color="auto"/>
              <w:left w:val="nil"/>
              <w:bottom w:val="single" w:sz="4" w:space="0" w:color="auto"/>
              <w:right w:val="nil"/>
            </w:tcBorders>
          </w:tcPr>
          <w:p w14:paraId="4926D06D" w14:textId="5738B422" w:rsidR="00BB00D0" w:rsidRPr="00886D94" w:rsidRDefault="00BB00D0" w:rsidP="00E908D3">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US Insurers</w:t>
            </w:r>
          </w:p>
        </w:tc>
        <w:tc>
          <w:tcPr>
            <w:tcW w:w="3599" w:type="dxa"/>
            <w:gridSpan w:val="3"/>
            <w:tcBorders>
              <w:top w:val="single" w:sz="4" w:space="0" w:color="auto"/>
              <w:left w:val="nil"/>
              <w:bottom w:val="single" w:sz="4" w:space="0" w:color="auto"/>
              <w:right w:val="nil"/>
            </w:tcBorders>
          </w:tcPr>
          <w:p w14:paraId="7116C6C7" w14:textId="62625F92" w:rsidR="00BB00D0" w:rsidRPr="00C50894" w:rsidRDefault="00BB00D0" w:rsidP="00E908D3">
            <w:pPr>
              <w:spacing w:after="0" w:line="200" w:lineRule="exact"/>
              <w:jc w:val="center"/>
              <w:rPr>
                <w:rFonts w:ascii="Times New Roman" w:hAnsi="Times New Roman"/>
                <w:sz w:val="16"/>
                <w:szCs w:val="16"/>
              </w:rPr>
            </w:pPr>
            <w:r>
              <w:rPr>
                <w:rFonts w:ascii="Times New Roman" w:hAnsi="Times New Roman"/>
                <w:sz w:val="16"/>
                <w:szCs w:val="16"/>
              </w:rPr>
              <w:t>Non-US Insurers</w:t>
            </w:r>
          </w:p>
        </w:tc>
      </w:tr>
      <w:tr w:rsidR="006211F5" w:rsidRPr="00C50894" w14:paraId="30336074" w14:textId="77777777" w:rsidTr="002C0781">
        <w:tc>
          <w:tcPr>
            <w:tcW w:w="4075" w:type="dxa"/>
            <w:tcBorders>
              <w:top w:val="nil"/>
              <w:bottom w:val="nil"/>
              <w:right w:val="nil"/>
            </w:tcBorders>
          </w:tcPr>
          <w:p w14:paraId="1EF24A16" w14:textId="77777777" w:rsidR="006211F5" w:rsidRPr="00C50894" w:rsidRDefault="006211F5" w:rsidP="00E908D3">
            <w:pPr>
              <w:spacing w:after="0" w:line="200" w:lineRule="exact"/>
              <w:jc w:val="center"/>
              <w:rPr>
                <w:rFonts w:ascii="Times New Roman" w:hAnsi="Times New Roman"/>
                <w:sz w:val="20"/>
                <w:szCs w:val="20"/>
              </w:rPr>
            </w:pPr>
          </w:p>
        </w:tc>
        <w:tc>
          <w:tcPr>
            <w:tcW w:w="7124" w:type="dxa"/>
            <w:gridSpan w:val="6"/>
            <w:tcBorders>
              <w:top w:val="single" w:sz="4" w:space="0" w:color="auto"/>
              <w:left w:val="nil"/>
              <w:bottom w:val="single" w:sz="4" w:space="0" w:color="auto"/>
              <w:right w:val="nil"/>
            </w:tcBorders>
          </w:tcPr>
          <w:p w14:paraId="32D1A854" w14:textId="0A04D73E" w:rsidR="006211F5" w:rsidRPr="006211F5" w:rsidRDefault="006211F5" w:rsidP="00E908D3">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Dependent variable</w:t>
            </w:r>
          </w:p>
        </w:tc>
      </w:tr>
      <w:tr w:rsidR="000676B7" w:rsidRPr="00C50894" w14:paraId="5FD894F4" w14:textId="77777777" w:rsidTr="006211F5">
        <w:tc>
          <w:tcPr>
            <w:tcW w:w="4075" w:type="dxa"/>
            <w:tcBorders>
              <w:top w:val="nil"/>
              <w:bottom w:val="nil"/>
              <w:right w:val="nil"/>
            </w:tcBorders>
          </w:tcPr>
          <w:p w14:paraId="278B1519" w14:textId="77777777" w:rsidR="00BB00D0" w:rsidRPr="00C50894" w:rsidRDefault="00BB00D0" w:rsidP="00E908D3">
            <w:pPr>
              <w:spacing w:after="0" w:line="200" w:lineRule="exact"/>
              <w:jc w:val="center"/>
              <w:rPr>
                <w:rFonts w:ascii="Times New Roman" w:hAnsi="Times New Roman"/>
                <w:sz w:val="20"/>
                <w:szCs w:val="20"/>
              </w:rPr>
            </w:pPr>
          </w:p>
        </w:tc>
        <w:tc>
          <w:tcPr>
            <w:tcW w:w="1223" w:type="dxa"/>
            <w:tcBorders>
              <w:top w:val="single" w:sz="4" w:space="0" w:color="auto"/>
              <w:left w:val="nil"/>
              <w:bottom w:val="nil"/>
              <w:right w:val="nil"/>
            </w:tcBorders>
          </w:tcPr>
          <w:p w14:paraId="1DB52CA9" w14:textId="77777777" w:rsidR="00BB00D0" w:rsidRPr="00C50894" w:rsidRDefault="00BB00D0" w:rsidP="00E908D3">
            <w:pPr>
              <w:spacing w:after="0" w:line="200" w:lineRule="exact"/>
              <w:jc w:val="center"/>
              <w:rPr>
                <w:rFonts w:ascii="Times New Roman" w:hAnsi="Times New Roman"/>
                <w:sz w:val="20"/>
                <w:szCs w:val="20"/>
              </w:rPr>
            </w:pPr>
            <w:r>
              <w:rPr>
                <w:rFonts w:ascii="Times New Roman" w:hAnsi="Times New Roman"/>
                <w:sz w:val="16"/>
                <w:szCs w:val="16"/>
              </w:rPr>
              <w:t>MES (%)</w:t>
            </w:r>
          </w:p>
        </w:tc>
        <w:tc>
          <w:tcPr>
            <w:tcW w:w="1102" w:type="dxa"/>
            <w:tcBorders>
              <w:top w:val="single" w:sz="4" w:space="0" w:color="auto"/>
              <w:left w:val="nil"/>
              <w:bottom w:val="nil"/>
              <w:right w:val="nil"/>
            </w:tcBorders>
          </w:tcPr>
          <w:p w14:paraId="4A7F1B4C" w14:textId="77777777" w:rsidR="00BB00D0" w:rsidRPr="00C50894" w:rsidRDefault="00BB00D0" w:rsidP="00E908D3">
            <w:pPr>
              <w:spacing w:after="0" w:line="200" w:lineRule="exact"/>
              <w:jc w:val="center"/>
              <w:rPr>
                <w:rFonts w:ascii="Times New Roman" w:hAnsi="Times New Roman"/>
                <w:sz w:val="20"/>
                <w:szCs w:val="20"/>
              </w:rPr>
            </w:pPr>
            <w:r>
              <w:rPr>
                <w:rFonts w:ascii="Times New Roman" w:eastAsiaTheme="minorEastAsia" w:hAnsi="Times New Roman" w:hint="eastAsia"/>
                <w:sz w:val="16"/>
                <w:szCs w:val="16"/>
                <w:lang w:eastAsia="zh-TW"/>
              </w:rPr>
              <w:t>SRISK</w:t>
            </w:r>
            <w:r>
              <w:rPr>
                <w:rFonts w:ascii="Times New Roman" w:eastAsiaTheme="minorEastAsia" w:hAnsi="Times New Roman"/>
                <w:sz w:val="16"/>
                <w:szCs w:val="16"/>
                <w:lang w:eastAsia="zh-TW"/>
              </w:rPr>
              <w:t>(in billions)</w:t>
            </w:r>
          </w:p>
        </w:tc>
        <w:tc>
          <w:tcPr>
            <w:tcW w:w="1200" w:type="dxa"/>
            <w:tcBorders>
              <w:top w:val="single" w:sz="4" w:space="0" w:color="auto"/>
              <w:left w:val="nil"/>
              <w:bottom w:val="nil"/>
              <w:right w:val="nil"/>
            </w:tcBorders>
          </w:tcPr>
          <w:p w14:paraId="09470C87" w14:textId="77777777" w:rsidR="00BB00D0" w:rsidRPr="00C50894" w:rsidRDefault="00BB00D0" w:rsidP="00E908D3">
            <w:pPr>
              <w:spacing w:after="0" w:line="200" w:lineRule="exact"/>
              <w:jc w:val="center"/>
              <w:rPr>
                <w:rFonts w:ascii="Times New Roman" w:hAnsi="Times New Roman"/>
                <w:sz w:val="20"/>
                <w:szCs w:val="20"/>
              </w:rPr>
            </w:pP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w:t>
            </w:r>
          </w:p>
        </w:tc>
        <w:tc>
          <w:tcPr>
            <w:tcW w:w="1274" w:type="dxa"/>
            <w:tcBorders>
              <w:top w:val="single" w:sz="4" w:space="0" w:color="auto"/>
              <w:left w:val="nil"/>
              <w:bottom w:val="nil"/>
              <w:right w:val="nil"/>
            </w:tcBorders>
          </w:tcPr>
          <w:p w14:paraId="05B84953" w14:textId="77777777" w:rsidR="00BB00D0" w:rsidRPr="00C50894" w:rsidRDefault="00BB00D0" w:rsidP="00E908D3">
            <w:pPr>
              <w:spacing w:after="0" w:line="200" w:lineRule="exact"/>
              <w:jc w:val="center"/>
              <w:rPr>
                <w:rFonts w:ascii="Times New Roman" w:hAnsi="Times New Roman"/>
                <w:sz w:val="12"/>
                <w:szCs w:val="12"/>
              </w:rPr>
            </w:pPr>
            <w:r>
              <w:rPr>
                <w:rFonts w:ascii="Times New Roman" w:hAnsi="Times New Roman"/>
                <w:sz w:val="16"/>
                <w:szCs w:val="16"/>
              </w:rPr>
              <w:t>MES (%)</w:t>
            </w:r>
          </w:p>
        </w:tc>
        <w:tc>
          <w:tcPr>
            <w:tcW w:w="1104" w:type="dxa"/>
            <w:tcBorders>
              <w:top w:val="single" w:sz="4" w:space="0" w:color="auto"/>
              <w:left w:val="nil"/>
              <w:bottom w:val="nil"/>
              <w:right w:val="nil"/>
            </w:tcBorders>
          </w:tcPr>
          <w:p w14:paraId="09E1A410" w14:textId="77777777" w:rsidR="00BB00D0" w:rsidRPr="00C50894" w:rsidRDefault="00BB00D0" w:rsidP="00E908D3">
            <w:pPr>
              <w:spacing w:after="0" w:line="200" w:lineRule="exact"/>
              <w:jc w:val="center"/>
              <w:rPr>
                <w:rFonts w:ascii="Times New Roman" w:hAnsi="Times New Roman"/>
                <w:sz w:val="12"/>
                <w:szCs w:val="12"/>
              </w:rPr>
            </w:pPr>
            <w:r>
              <w:rPr>
                <w:rFonts w:ascii="Times New Roman" w:eastAsiaTheme="minorEastAsia" w:hAnsi="Times New Roman" w:hint="eastAsia"/>
                <w:sz w:val="16"/>
                <w:szCs w:val="16"/>
                <w:lang w:eastAsia="zh-TW"/>
              </w:rPr>
              <w:t>SRISK</w:t>
            </w:r>
            <w:r>
              <w:rPr>
                <w:rFonts w:ascii="Times New Roman" w:eastAsiaTheme="minorEastAsia" w:hAnsi="Times New Roman"/>
                <w:sz w:val="16"/>
                <w:szCs w:val="16"/>
                <w:lang w:eastAsia="zh-TW"/>
              </w:rPr>
              <w:t>(in billions)</w:t>
            </w:r>
          </w:p>
        </w:tc>
        <w:tc>
          <w:tcPr>
            <w:tcW w:w="1221" w:type="dxa"/>
            <w:tcBorders>
              <w:top w:val="single" w:sz="4" w:space="0" w:color="auto"/>
              <w:left w:val="nil"/>
              <w:bottom w:val="nil"/>
              <w:right w:val="nil"/>
            </w:tcBorders>
          </w:tcPr>
          <w:p w14:paraId="305FA20D" w14:textId="77777777" w:rsidR="00BB00D0" w:rsidRPr="00C50894" w:rsidRDefault="00BB00D0" w:rsidP="00E908D3">
            <w:pPr>
              <w:spacing w:after="0" w:line="200" w:lineRule="exact"/>
              <w:jc w:val="center"/>
              <w:rPr>
                <w:rFonts w:ascii="Times New Roman" w:hAnsi="Times New Roman"/>
                <w:sz w:val="16"/>
                <w:szCs w:val="16"/>
              </w:rPr>
            </w:pP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w:t>
            </w:r>
          </w:p>
        </w:tc>
      </w:tr>
      <w:tr w:rsidR="000676B7" w:rsidRPr="00C50894" w14:paraId="7C9E297F" w14:textId="77777777" w:rsidTr="00BB00D0">
        <w:tc>
          <w:tcPr>
            <w:tcW w:w="4075" w:type="dxa"/>
            <w:tcBorders>
              <w:top w:val="nil"/>
              <w:bottom w:val="single" w:sz="4" w:space="0" w:color="auto"/>
              <w:right w:val="nil"/>
            </w:tcBorders>
          </w:tcPr>
          <w:p w14:paraId="12D73261" w14:textId="77777777" w:rsidR="00BB00D0" w:rsidRPr="00C50894" w:rsidRDefault="00BB00D0" w:rsidP="00E908D3">
            <w:pPr>
              <w:spacing w:after="0" w:line="200" w:lineRule="exact"/>
              <w:jc w:val="center"/>
              <w:rPr>
                <w:rFonts w:ascii="Times New Roman" w:hAnsi="Times New Roman"/>
                <w:sz w:val="20"/>
                <w:szCs w:val="20"/>
              </w:rPr>
            </w:pPr>
          </w:p>
        </w:tc>
        <w:tc>
          <w:tcPr>
            <w:tcW w:w="1223" w:type="dxa"/>
            <w:tcBorders>
              <w:top w:val="nil"/>
              <w:left w:val="nil"/>
              <w:bottom w:val="single" w:sz="4" w:space="0" w:color="auto"/>
              <w:right w:val="nil"/>
            </w:tcBorders>
          </w:tcPr>
          <w:p w14:paraId="64B46FA1" w14:textId="77777777" w:rsidR="00BB00D0" w:rsidRPr="00C50894" w:rsidRDefault="00BB00D0" w:rsidP="00E908D3">
            <w:pPr>
              <w:spacing w:after="0" w:line="200" w:lineRule="exact"/>
              <w:jc w:val="center"/>
              <w:rPr>
                <w:rFonts w:ascii="Times New Roman" w:hAnsi="Times New Roman"/>
                <w:sz w:val="20"/>
                <w:szCs w:val="20"/>
              </w:rPr>
            </w:pPr>
            <w:r w:rsidRPr="00716971">
              <w:rPr>
                <w:rFonts w:ascii="Times New Roman" w:hAnsi="Times New Roman"/>
                <w:sz w:val="16"/>
                <w:szCs w:val="16"/>
              </w:rPr>
              <w:t>(1)</w:t>
            </w:r>
          </w:p>
        </w:tc>
        <w:tc>
          <w:tcPr>
            <w:tcW w:w="1102" w:type="dxa"/>
            <w:tcBorders>
              <w:top w:val="nil"/>
              <w:left w:val="nil"/>
              <w:bottom w:val="single" w:sz="4" w:space="0" w:color="auto"/>
              <w:right w:val="nil"/>
            </w:tcBorders>
          </w:tcPr>
          <w:p w14:paraId="792B5CC2" w14:textId="77777777" w:rsidR="00BB00D0" w:rsidRPr="00C50894" w:rsidRDefault="00BB00D0" w:rsidP="00E908D3">
            <w:pPr>
              <w:spacing w:after="0" w:line="200" w:lineRule="exact"/>
              <w:jc w:val="center"/>
              <w:rPr>
                <w:rFonts w:ascii="Times New Roman" w:hAnsi="Times New Roman"/>
                <w:sz w:val="20"/>
                <w:szCs w:val="20"/>
              </w:rPr>
            </w:pPr>
            <w:r w:rsidRPr="00716971">
              <w:rPr>
                <w:rFonts w:ascii="Times New Roman" w:hAnsi="Times New Roman"/>
                <w:sz w:val="16"/>
                <w:szCs w:val="16"/>
              </w:rPr>
              <w:t>(</w:t>
            </w:r>
            <w:r>
              <w:rPr>
                <w:rFonts w:ascii="Times New Roman" w:hAnsi="Times New Roman"/>
                <w:sz w:val="16"/>
                <w:szCs w:val="16"/>
              </w:rPr>
              <w:t>2</w:t>
            </w:r>
            <w:r w:rsidRPr="00716971">
              <w:rPr>
                <w:rFonts w:ascii="Times New Roman" w:hAnsi="Times New Roman"/>
                <w:sz w:val="16"/>
                <w:szCs w:val="16"/>
              </w:rPr>
              <w:t>)</w:t>
            </w:r>
          </w:p>
        </w:tc>
        <w:tc>
          <w:tcPr>
            <w:tcW w:w="1200" w:type="dxa"/>
            <w:tcBorders>
              <w:top w:val="nil"/>
              <w:left w:val="nil"/>
              <w:bottom w:val="single" w:sz="4" w:space="0" w:color="auto"/>
              <w:right w:val="nil"/>
            </w:tcBorders>
          </w:tcPr>
          <w:p w14:paraId="0F92868D" w14:textId="77777777" w:rsidR="00BB00D0" w:rsidRPr="00C50894" w:rsidRDefault="00BB00D0" w:rsidP="00E908D3">
            <w:pPr>
              <w:spacing w:after="0" w:line="200" w:lineRule="exact"/>
              <w:jc w:val="center"/>
              <w:rPr>
                <w:rFonts w:ascii="Times New Roman" w:hAnsi="Times New Roman"/>
                <w:sz w:val="20"/>
                <w:szCs w:val="20"/>
              </w:rPr>
            </w:pPr>
            <w:r w:rsidRPr="00716971">
              <w:rPr>
                <w:rFonts w:ascii="Times New Roman" w:hAnsi="Times New Roman"/>
                <w:sz w:val="16"/>
                <w:szCs w:val="16"/>
              </w:rPr>
              <w:t>(3)</w:t>
            </w:r>
          </w:p>
        </w:tc>
        <w:tc>
          <w:tcPr>
            <w:tcW w:w="1274" w:type="dxa"/>
            <w:tcBorders>
              <w:top w:val="nil"/>
              <w:left w:val="nil"/>
              <w:bottom w:val="single" w:sz="4" w:space="0" w:color="auto"/>
              <w:right w:val="nil"/>
            </w:tcBorders>
          </w:tcPr>
          <w:p w14:paraId="03407D4F" w14:textId="77777777" w:rsidR="00BB00D0" w:rsidRPr="00C50894" w:rsidRDefault="00BB00D0" w:rsidP="00E908D3">
            <w:pPr>
              <w:spacing w:after="0" w:line="200" w:lineRule="exact"/>
              <w:jc w:val="center"/>
              <w:rPr>
                <w:rFonts w:ascii="Times New Roman" w:hAnsi="Times New Roman"/>
                <w:sz w:val="16"/>
                <w:szCs w:val="16"/>
              </w:rPr>
            </w:pPr>
            <w:r w:rsidRPr="00716971">
              <w:rPr>
                <w:rFonts w:ascii="Times New Roman" w:hAnsi="Times New Roman"/>
                <w:sz w:val="16"/>
                <w:szCs w:val="16"/>
              </w:rPr>
              <w:t>(</w:t>
            </w:r>
            <w:r>
              <w:rPr>
                <w:rFonts w:ascii="Times New Roman" w:hAnsi="Times New Roman"/>
                <w:sz w:val="16"/>
                <w:szCs w:val="16"/>
              </w:rPr>
              <w:t>4</w:t>
            </w:r>
            <w:r w:rsidRPr="00716971">
              <w:rPr>
                <w:rFonts w:ascii="Times New Roman" w:hAnsi="Times New Roman"/>
                <w:sz w:val="16"/>
                <w:szCs w:val="16"/>
              </w:rPr>
              <w:t>)</w:t>
            </w:r>
          </w:p>
        </w:tc>
        <w:tc>
          <w:tcPr>
            <w:tcW w:w="1104" w:type="dxa"/>
            <w:tcBorders>
              <w:top w:val="nil"/>
              <w:left w:val="nil"/>
              <w:bottom w:val="single" w:sz="4" w:space="0" w:color="auto"/>
              <w:right w:val="nil"/>
            </w:tcBorders>
          </w:tcPr>
          <w:p w14:paraId="5C13E802" w14:textId="77777777" w:rsidR="00BB00D0" w:rsidRPr="00C50894" w:rsidRDefault="00BB00D0" w:rsidP="00E908D3">
            <w:pPr>
              <w:spacing w:after="0" w:line="200" w:lineRule="exact"/>
              <w:jc w:val="center"/>
              <w:rPr>
                <w:rFonts w:ascii="Times New Roman" w:hAnsi="Times New Roman"/>
                <w:sz w:val="16"/>
                <w:szCs w:val="16"/>
              </w:rPr>
            </w:pPr>
            <w:r w:rsidRPr="00716971">
              <w:rPr>
                <w:rFonts w:ascii="Times New Roman" w:hAnsi="Times New Roman"/>
                <w:sz w:val="16"/>
                <w:szCs w:val="16"/>
              </w:rPr>
              <w:t>(</w:t>
            </w:r>
            <w:r>
              <w:rPr>
                <w:rFonts w:ascii="Times New Roman" w:hAnsi="Times New Roman"/>
                <w:sz w:val="16"/>
                <w:szCs w:val="16"/>
              </w:rPr>
              <w:t>5</w:t>
            </w:r>
            <w:r w:rsidRPr="00716971">
              <w:rPr>
                <w:rFonts w:ascii="Times New Roman" w:hAnsi="Times New Roman"/>
                <w:sz w:val="16"/>
                <w:szCs w:val="16"/>
              </w:rPr>
              <w:t>)</w:t>
            </w:r>
          </w:p>
        </w:tc>
        <w:tc>
          <w:tcPr>
            <w:tcW w:w="1221" w:type="dxa"/>
            <w:tcBorders>
              <w:top w:val="nil"/>
              <w:left w:val="nil"/>
              <w:bottom w:val="single" w:sz="4" w:space="0" w:color="auto"/>
              <w:right w:val="nil"/>
            </w:tcBorders>
          </w:tcPr>
          <w:p w14:paraId="02B88A4C" w14:textId="77777777" w:rsidR="00BB00D0" w:rsidRPr="00C50894" w:rsidRDefault="00BB00D0" w:rsidP="00E908D3">
            <w:pPr>
              <w:spacing w:after="0" w:line="200" w:lineRule="exact"/>
              <w:jc w:val="center"/>
              <w:rPr>
                <w:rFonts w:ascii="Times New Roman" w:hAnsi="Times New Roman"/>
                <w:sz w:val="16"/>
                <w:szCs w:val="16"/>
              </w:rPr>
            </w:pPr>
            <w:r w:rsidRPr="00716971">
              <w:rPr>
                <w:rFonts w:ascii="Times New Roman" w:hAnsi="Times New Roman"/>
                <w:sz w:val="16"/>
                <w:szCs w:val="16"/>
              </w:rPr>
              <w:t>(</w:t>
            </w:r>
            <w:r>
              <w:rPr>
                <w:rFonts w:ascii="Times New Roman" w:hAnsi="Times New Roman"/>
                <w:sz w:val="16"/>
                <w:szCs w:val="16"/>
              </w:rPr>
              <w:t>6</w:t>
            </w:r>
            <w:r w:rsidRPr="00716971">
              <w:rPr>
                <w:rFonts w:ascii="Times New Roman" w:hAnsi="Times New Roman"/>
                <w:sz w:val="16"/>
                <w:szCs w:val="16"/>
              </w:rPr>
              <w:t>)</w:t>
            </w:r>
          </w:p>
        </w:tc>
      </w:tr>
      <w:tr w:rsidR="00B501FA" w:rsidRPr="00627D7D" w14:paraId="5C89F2AE" w14:textId="77777777" w:rsidTr="00C461DC">
        <w:tc>
          <w:tcPr>
            <w:tcW w:w="4075" w:type="dxa"/>
            <w:tcBorders>
              <w:top w:val="single" w:sz="4" w:space="0" w:color="auto"/>
              <w:right w:val="nil"/>
            </w:tcBorders>
          </w:tcPr>
          <w:p w14:paraId="5AAAED91" w14:textId="77777777" w:rsidR="00B501FA" w:rsidRPr="00C50894" w:rsidRDefault="00B501FA" w:rsidP="00B501FA">
            <w:pPr>
              <w:spacing w:after="0" w:line="200" w:lineRule="exact"/>
              <w:rPr>
                <w:rFonts w:ascii="Times New Roman" w:hAnsi="Times New Roman"/>
                <w:sz w:val="20"/>
                <w:szCs w:val="20"/>
              </w:rPr>
            </w:pPr>
            <w:r>
              <w:rPr>
                <w:rFonts w:ascii="Times New Roman" w:eastAsiaTheme="minorEastAsia" w:hAnsi="Times New Roman" w:hint="eastAsia"/>
                <w:sz w:val="16"/>
                <w:szCs w:val="16"/>
                <w:lang w:eastAsia="zh-TW"/>
              </w:rPr>
              <w:t xml:space="preserve">Policy </w:t>
            </w:r>
            <w:r>
              <w:rPr>
                <w:rFonts w:ascii="Times New Roman" w:eastAsiaTheme="minorEastAsia" w:hAnsi="Times New Roman"/>
                <w:sz w:val="16"/>
                <w:szCs w:val="16"/>
                <w:lang w:eastAsia="zh-TW"/>
              </w:rPr>
              <w:t>x GSII</w:t>
            </w:r>
          </w:p>
        </w:tc>
        <w:tc>
          <w:tcPr>
            <w:tcW w:w="1223" w:type="dxa"/>
            <w:tcBorders>
              <w:top w:val="single" w:sz="4" w:space="0" w:color="auto"/>
              <w:left w:val="nil"/>
              <w:right w:val="nil"/>
            </w:tcBorders>
            <w:vAlign w:val="center"/>
          </w:tcPr>
          <w:p w14:paraId="4C73B706" w14:textId="4576B118"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-1.257*** (-3.15)</w:t>
            </w:r>
          </w:p>
        </w:tc>
        <w:tc>
          <w:tcPr>
            <w:tcW w:w="1102" w:type="dxa"/>
            <w:tcBorders>
              <w:top w:val="single" w:sz="4" w:space="0" w:color="auto"/>
              <w:left w:val="nil"/>
              <w:right w:val="nil"/>
            </w:tcBorders>
            <w:vAlign w:val="center"/>
          </w:tcPr>
          <w:p w14:paraId="4E84BA17"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0.568 </w:t>
            </w:r>
          </w:p>
          <w:p w14:paraId="75711848" w14:textId="52DB9F8D"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(0.15)</w:t>
            </w:r>
          </w:p>
        </w:tc>
        <w:tc>
          <w:tcPr>
            <w:tcW w:w="1200" w:type="dxa"/>
            <w:tcBorders>
              <w:top w:val="single" w:sz="4" w:space="0" w:color="auto"/>
              <w:left w:val="nil"/>
              <w:right w:val="nil"/>
            </w:tcBorders>
            <w:vAlign w:val="center"/>
          </w:tcPr>
          <w:p w14:paraId="15D4A577" w14:textId="32490BD0"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0.314*** (2.93)</w:t>
            </w:r>
          </w:p>
        </w:tc>
        <w:tc>
          <w:tcPr>
            <w:tcW w:w="1274" w:type="dxa"/>
            <w:tcBorders>
              <w:top w:val="single" w:sz="4" w:space="0" w:color="auto"/>
              <w:left w:val="nil"/>
              <w:right w:val="nil"/>
            </w:tcBorders>
            <w:vAlign w:val="center"/>
          </w:tcPr>
          <w:p w14:paraId="3D25C642" w14:textId="417FE8D0"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-0.63</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w:t>
            </w:r>
          </w:p>
          <w:p w14:paraId="3E4397BD" w14:textId="75259082"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(-2.39)</w:t>
            </w:r>
          </w:p>
        </w:tc>
        <w:tc>
          <w:tcPr>
            <w:tcW w:w="1104" w:type="dxa"/>
            <w:tcBorders>
              <w:top w:val="single" w:sz="4" w:space="0" w:color="auto"/>
              <w:left w:val="nil"/>
              <w:right w:val="nil"/>
            </w:tcBorders>
            <w:vAlign w:val="center"/>
          </w:tcPr>
          <w:p w14:paraId="095D1D56" w14:textId="6ACF1B17"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-12.498*** (-3.1)</w:t>
            </w:r>
          </w:p>
        </w:tc>
        <w:tc>
          <w:tcPr>
            <w:tcW w:w="1221" w:type="dxa"/>
            <w:tcBorders>
              <w:top w:val="single" w:sz="4" w:space="0" w:color="auto"/>
              <w:left w:val="nil"/>
              <w:right w:val="nil"/>
            </w:tcBorders>
            <w:vAlign w:val="center"/>
          </w:tcPr>
          <w:p w14:paraId="7E13E6CB" w14:textId="7D5AA812"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0.255*** (4.54)</w:t>
            </w:r>
          </w:p>
        </w:tc>
      </w:tr>
      <w:tr w:rsidR="00B501FA" w:rsidRPr="00627D7D" w14:paraId="756AD8AD" w14:textId="77777777" w:rsidTr="00C461DC">
        <w:tc>
          <w:tcPr>
            <w:tcW w:w="4075" w:type="dxa"/>
            <w:tcBorders>
              <w:right w:val="nil"/>
            </w:tcBorders>
          </w:tcPr>
          <w:p w14:paraId="332FDDA5" w14:textId="77777777" w:rsidR="00B501FA" w:rsidRPr="00C50894" w:rsidRDefault="00B501FA" w:rsidP="00B501FA">
            <w:pPr>
              <w:spacing w:after="0" w:line="200" w:lineRule="exact"/>
              <w:rPr>
                <w:rFonts w:ascii="Times New Roman" w:hAnsi="Times New Roman"/>
                <w:sz w:val="16"/>
                <w:szCs w:val="16"/>
                <w:lang w:eastAsia="zh-HK"/>
              </w:rPr>
            </w:pPr>
            <w:r w:rsidRPr="003E7C25">
              <w:rPr>
                <w:rFonts w:ascii="Times New Roman" w:hAnsi="Times New Roman"/>
                <w:sz w:val="16"/>
                <w:szCs w:val="16"/>
                <w:lang w:eastAsia="zh-HK"/>
              </w:rPr>
              <w:t>Log (Assets in billions)</w:t>
            </w:r>
          </w:p>
        </w:tc>
        <w:tc>
          <w:tcPr>
            <w:tcW w:w="1223" w:type="dxa"/>
            <w:tcBorders>
              <w:left w:val="nil"/>
              <w:right w:val="nil"/>
            </w:tcBorders>
            <w:vAlign w:val="center"/>
          </w:tcPr>
          <w:p w14:paraId="3241468A"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0.279 </w:t>
            </w:r>
          </w:p>
          <w:p w14:paraId="74106575" w14:textId="73197242" w:rsidR="00B501FA" w:rsidRPr="00DF2EDB"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(1.38)</w:t>
            </w:r>
          </w:p>
        </w:tc>
        <w:tc>
          <w:tcPr>
            <w:tcW w:w="1102" w:type="dxa"/>
            <w:tcBorders>
              <w:left w:val="nil"/>
              <w:right w:val="nil"/>
            </w:tcBorders>
            <w:vAlign w:val="center"/>
          </w:tcPr>
          <w:p w14:paraId="276570AC"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2.117 </w:t>
            </w:r>
          </w:p>
          <w:p w14:paraId="115323C9" w14:textId="0BED3DB8" w:rsidR="00B501FA" w:rsidRPr="00DF2EDB"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(1.42)</w:t>
            </w:r>
          </w:p>
        </w:tc>
        <w:tc>
          <w:tcPr>
            <w:tcW w:w="1200" w:type="dxa"/>
            <w:tcBorders>
              <w:left w:val="nil"/>
              <w:right w:val="nil"/>
            </w:tcBorders>
            <w:vAlign w:val="center"/>
          </w:tcPr>
          <w:p w14:paraId="7E8F9C96"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-0.196** </w:t>
            </w:r>
          </w:p>
          <w:p w14:paraId="6F1CA61B" w14:textId="63243199" w:rsidR="00B501FA" w:rsidRPr="006D61A2"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(-2.5)</w:t>
            </w:r>
          </w:p>
        </w:tc>
        <w:tc>
          <w:tcPr>
            <w:tcW w:w="1274" w:type="dxa"/>
            <w:tcBorders>
              <w:left w:val="nil"/>
              <w:right w:val="nil"/>
            </w:tcBorders>
            <w:vAlign w:val="center"/>
          </w:tcPr>
          <w:p w14:paraId="0974522E"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0.417* </w:t>
            </w:r>
          </w:p>
          <w:p w14:paraId="3307F9CF" w14:textId="61DA296E"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(1.91)</w:t>
            </w:r>
          </w:p>
        </w:tc>
        <w:tc>
          <w:tcPr>
            <w:tcW w:w="1104" w:type="dxa"/>
            <w:tcBorders>
              <w:left w:val="nil"/>
              <w:right w:val="nil"/>
            </w:tcBorders>
            <w:vAlign w:val="center"/>
          </w:tcPr>
          <w:p w14:paraId="38C26EB6" w14:textId="47DDF05A"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4.445** (2.43)</w:t>
            </w:r>
          </w:p>
        </w:tc>
        <w:tc>
          <w:tcPr>
            <w:tcW w:w="1221" w:type="dxa"/>
            <w:tcBorders>
              <w:left w:val="nil"/>
              <w:right w:val="nil"/>
            </w:tcBorders>
            <w:vAlign w:val="center"/>
          </w:tcPr>
          <w:p w14:paraId="27B0E62A"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-0.156* </w:t>
            </w:r>
          </w:p>
          <w:p w14:paraId="186BAA24" w14:textId="26F1DCD0"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(-1.85)</w:t>
            </w:r>
          </w:p>
        </w:tc>
      </w:tr>
      <w:tr w:rsidR="00B501FA" w:rsidRPr="00627D7D" w14:paraId="30C4BDC2" w14:textId="77777777" w:rsidTr="00C461DC">
        <w:tc>
          <w:tcPr>
            <w:tcW w:w="4075" w:type="dxa"/>
            <w:tcBorders>
              <w:right w:val="nil"/>
            </w:tcBorders>
          </w:tcPr>
          <w:p w14:paraId="1F076E7E" w14:textId="77777777" w:rsidR="00B501FA" w:rsidRPr="00C50894" w:rsidRDefault="00B501FA" w:rsidP="00B501FA">
            <w:pPr>
              <w:spacing w:after="0" w:line="200" w:lineRule="exact"/>
              <w:rPr>
                <w:rFonts w:ascii="Times New Roman" w:hAnsi="Times New Roman"/>
                <w:sz w:val="20"/>
                <w:szCs w:val="20"/>
              </w:rPr>
            </w:pPr>
            <w:r w:rsidRPr="003E7C25">
              <w:rPr>
                <w:rFonts w:ascii="Times New Roman" w:hAnsi="Times New Roman"/>
                <w:sz w:val="16"/>
                <w:szCs w:val="16"/>
              </w:rPr>
              <w:t>Leverage</w:t>
            </w:r>
          </w:p>
        </w:tc>
        <w:tc>
          <w:tcPr>
            <w:tcW w:w="1223" w:type="dxa"/>
            <w:tcBorders>
              <w:left w:val="nil"/>
              <w:right w:val="nil"/>
            </w:tcBorders>
            <w:vAlign w:val="center"/>
          </w:tcPr>
          <w:p w14:paraId="0EEEE64E"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0.019** </w:t>
            </w:r>
          </w:p>
          <w:p w14:paraId="149B7B2E" w14:textId="00FD428E"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(2.51)</w:t>
            </w:r>
          </w:p>
        </w:tc>
        <w:tc>
          <w:tcPr>
            <w:tcW w:w="1102" w:type="dxa"/>
            <w:tcBorders>
              <w:left w:val="nil"/>
              <w:right w:val="nil"/>
            </w:tcBorders>
            <w:vAlign w:val="center"/>
          </w:tcPr>
          <w:p w14:paraId="159C5A03" w14:textId="06A63A33"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0.254*** (10.36)</w:t>
            </w:r>
          </w:p>
        </w:tc>
        <w:tc>
          <w:tcPr>
            <w:tcW w:w="1200" w:type="dxa"/>
            <w:tcBorders>
              <w:left w:val="nil"/>
              <w:right w:val="nil"/>
            </w:tcBorders>
            <w:vAlign w:val="center"/>
          </w:tcPr>
          <w:p w14:paraId="1EBC19D4"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0.004** </w:t>
            </w:r>
          </w:p>
          <w:p w14:paraId="6E044CE1" w14:textId="1894C7A7"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(2.53)</w:t>
            </w:r>
          </w:p>
        </w:tc>
        <w:tc>
          <w:tcPr>
            <w:tcW w:w="1274" w:type="dxa"/>
            <w:tcBorders>
              <w:left w:val="nil"/>
              <w:right w:val="nil"/>
            </w:tcBorders>
            <w:vAlign w:val="center"/>
          </w:tcPr>
          <w:p w14:paraId="031926A3"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0.026*** </w:t>
            </w:r>
          </w:p>
          <w:p w14:paraId="2C421120" w14:textId="68E07FE4"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(3.2</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104" w:type="dxa"/>
            <w:tcBorders>
              <w:left w:val="nil"/>
              <w:right w:val="nil"/>
            </w:tcBorders>
            <w:vAlign w:val="center"/>
          </w:tcPr>
          <w:p w14:paraId="43B7194F" w14:textId="36C50677"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0.104** (2.06)</w:t>
            </w:r>
          </w:p>
        </w:tc>
        <w:tc>
          <w:tcPr>
            <w:tcW w:w="1221" w:type="dxa"/>
            <w:tcBorders>
              <w:left w:val="nil"/>
              <w:right w:val="nil"/>
            </w:tcBorders>
            <w:vAlign w:val="center"/>
          </w:tcPr>
          <w:p w14:paraId="22106D2D"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0.001 </w:t>
            </w:r>
          </w:p>
          <w:p w14:paraId="1C48D29E" w14:textId="54CB9B44"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(0.51)</w:t>
            </w:r>
          </w:p>
        </w:tc>
      </w:tr>
      <w:tr w:rsidR="00B501FA" w:rsidRPr="00627D7D" w14:paraId="23AD7C67" w14:textId="77777777" w:rsidTr="00C461DC">
        <w:tc>
          <w:tcPr>
            <w:tcW w:w="4075" w:type="dxa"/>
            <w:tcBorders>
              <w:right w:val="nil"/>
            </w:tcBorders>
          </w:tcPr>
          <w:p w14:paraId="06B08476" w14:textId="77777777" w:rsidR="00B501FA" w:rsidRPr="00C50894" w:rsidRDefault="00B501FA" w:rsidP="00B501FA">
            <w:pPr>
              <w:spacing w:after="0" w:line="200" w:lineRule="exact"/>
              <w:rPr>
                <w:rFonts w:ascii="Times New Roman" w:hAnsi="Times New Roman"/>
                <w:sz w:val="20"/>
                <w:szCs w:val="20"/>
              </w:rPr>
            </w:pPr>
            <w:r w:rsidRPr="003E7C25">
              <w:rPr>
                <w:rFonts w:ascii="Times New Roman" w:hAnsi="Times New Roman"/>
                <w:sz w:val="16"/>
                <w:szCs w:val="16"/>
              </w:rPr>
              <w:t>Non-insurance activities</w:t>
            </w:r>
          </w:p>
        </w:tc>
        <w:tc>
          <w:tcPr>
            <w:tcW w:w="1223" w:type="dxa"/>
            <w:tcBorders>
              <w:left w:val="nil"/>
              <w:right w:val="nil"/>
            </w:tcBorders>
            <w:vAlign w:val="center"/>
          </w:tcPr>
          <w:p w14:paraId="1121668F"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-1.823 </w:t>
            </w:r>
          </w:p>
          <w:p w14:paraId="05428514" w14:textId="2FE57760"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(-1.46)</w:t>
            </w:r>
          </w:p>
        </w:tc>
        <w:tc>
          <w:tcPr>
            <w:tcW w:w="1102" w:type="dxa"/>
            <w:tcBorders>
              <w:left w:val="nil"/>
              <w:right w:val="nil"/>
            </w:tcBorders>
            <w:vAlign w:val="center"/>
          </w:tcPr>
          <w:p w14:paraId="39D482CE" w14:textId="2C4F8BA0"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-0.271 (-0.09)</w:t>
            </w:r>
          </w:p>
        </w:tc>
        <w:tc>
          <w:tcPr>
            <w:tcW w:w="1200" w:type="dxa"/>
            <w:tcBorders>
              <w:left w:val="nil"/>
              <w:right w:val="nil"/>
            </w:tcBorders>
            <w:vAlign w:val="center"/>
          </w:tcPr>
          <w:p w14:paraId="67AD52E4" w14:textId="1221D422"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0.47</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w:t>
            </w:r>
          </w:p>
          <w:p w14:paraId="3E3B8A67" w14:textId="21555FA7"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(1.4</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274" w:type="dxa"/>
            <w:tcBorders>
              <w:left w:val="nil"/>
              <w:right w:val="nil"/>
            </w:tcBorders>
            <w:vAlign w:val="center"/>
          </w:tcPr>
          <w:p w14:paraId="22E04D67"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-0.113 </w:t>
            </w:r>
          </w:p>
          <w:p w14:paraId="6F980BDA" w14:textId="5BF36115"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(-0.93)</w:t>
            </w:r>
          </w:p>
        </w:tc>
        <w:tc>
          <w:tcPr>
            <w:tcW w:w="1104" w:type="dxa"/>
            <w:tcBorders>
              <w:left w:val="nil"/>
              <w:right w:val="nil"/>
            </w:tcBorders>
            <w:vAlign w:val="center"/>
          </w:tcPr>
          <w:p w14:paraId="1A8DF386"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2.445* </w:t>
            </w:r>
          </w:p>
          <w:p w14:paraId="53C331C0" w14:textId="4B125D31"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(1.97)</w:t>
            </w:r>
          </w:p>
        </w:tc>
        <w:tc>
          <w:tcPr>
            <w:tcW w:w="1221" w:type="dxa"/>
            <w:tcBorders>
              <w:left w:val="nil"/>
              <w:right w:val="nil"/>
            </w:tcBorders>
            <w:vAlign w:val="center"/>
          </w:tcPr>
          <w:p w14:paraId="28E8E9FC"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0.002 </w:t>
            </w:r>
          </w:p>
          <w:p w14:paraId="1894E8A3" w14:textId="1B58635F"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(0.05)</w:t>
            </w:r>
          </w:p>
        </w:tc>
      </w:tr>
      <w:tr w:rsidR="00B501FA" w:rsidRPr="00627D7D" w14:paraId="53AAC5A2" w14:textId="77777777" w:rsidTr="00C461DC">
        <w:tc>
          <w:tcPr>
            <w:tcW w:w="4075" w:type="dxa"/>
            <w:tcBorders>
              <w:right w:val="nil"/>
            </w:tcBorders>
          </w:tcPr>
          <w:p w14:paraId="518A34F6" w14:textId="77777777" w:rsidR="00B501FA" w:rsidRPr="00C50894" w:rsidRDefault="00B501FA" w:rsidP="00B501FA">
            <w:pPr>
              <w:spacing w:after="0" w:line="200" w:lineRule="exact"/>
              <w:rPr>
                <w:rFonts w:ascii="Times New Roman" w:hAnsi="Times New Roman"/>
                <w:sz w:val="20"/>
                <w:szCs w:val="20"/>
              </w:rPr>
            </w:pPr>
            <w:r w:rsidRPr="003E7C25">
              <w:rPr>
                <w:rFonts w:ascii="Times New Roman" w:hAnsi="Times New Roman"/>
                <w:sz w:val="16"/>
                <w:szCs w:val="16"/>
              </w:rPr>
              <w:t>Other incomes</w:t>
            </w:r>
          </w:p>
        </w:tc>
        <w:tc>
          <w:tcPr>
            <w:tcW w:w="1223" w:type="dxa"/>
            <w:tcBorders>
              <w:left w:val="nil"/>
              <w:right w:val="nil"/>
            </w:tcBorders>
            <w:vAlign w:val="center"/>
          </w:tcPr>
          <w:p w14:paraId="64942C50"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-0.812 </w:t>
            </w:r>
          </w:p>
          <w:p w14:paraId="3A14F0D2" w14:textId="028933C8"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(-0.27)</w:t>
            </w:r>
          </w:p>
        </w:tc>
        <w:tc>
          <w:tcPr>
            <w:tcW w:w="1102" w:type="dxa"/>
            <w:tcBorders>
              <w:left w:val="nil"/>
              <w:right w:val="nil"/>
            </w:tcBorders>
            <w:vAlign w:val="center"/>
          </w:tcPr>
          <w:p w14:paraId="2B06DF8C" w14:textId="25A77A0C"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15.754* (1.75)</w:t>
            </w:r>
          </w:p>
        </w:tc>
        <w:tc>
          <w:tcPr>
            <w:tcW w:w="1200" w:type="dxa"/>
            <w:tcBorders>
              <w:left w:val="nil"/>
              <w:right w:val="nil"/>
            </w:tcBorders>
            <w:vAlign w:val="center"/>
          </w:tcPr>
          <w:p w14:paraId="198390B1"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0.669 </w:t>
            </w:r>
          </w:p>
          <w:p w14:paraId="32F5791F" w14:textId="021923EB"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(1.56)</w:t>
            </w:r>
          </w:p>
        </w:tc>
        <w:tc>
          <w:tcPr>
            <w:tcW w:w="1274" w:type="dxa"/>
            <w:tcBorders>
              <w:left w:val="nil"/>
              <w:right w:val="nil"/>
            </w:tcBorders>
            <w:vAlign w:val="center"/>
          </w:tcPr>
          <w:p w14:paraId="7385C667"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-1.604 </w:t>
            </w:r>
          </w:p>
          <w:p w14:paraId="0B853012" w14:textId="7ED95B05"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(-0.75)</w:t>
            </w:r>
          </w:p>
        </w:tc>
        <w:tc>
          <w:tcPr>
            <w:tcW w:w="1104" w:type="dxa"/>
            <w:tcBorders>
              <w:left w:val="nil"/>
              <w:right w:val="nil"/>
            </w:tcBorders>
            <w:vAlign w:val="center"/>
          </w:tcPr>
          <w:p w14:paraId="67F3E4B6"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0.095 </w:t>
            </w:r>
          </w:p>
          <w:p w14:paraId="6B0B0F42" w14:textId="5A075FD2"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w:t>
            </w:r>
          </w:p>
        </w:tc>
        <w:tc>
          <w:tcPr>
            <w:tcW w:w="1221" w:type="dxa"/>
            <w:tcBorders>
              <w:left w:val="nil"/>
              <w:right w:val="nil"/>
            </w:tcBorders>
            <w:vAlign w:val="center"/>
          </w:tcPr>
          <w:p w14:paraId="06BFC6FC"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0.479 </w:t>
            </w:r>
          </w:p>
          <w:p w14:paraId="3C24324F" w14:textId="58607044"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(1.28)</w:t>
            </w:r>
          </w:p>
        </w:tc>
      </w:tr>
      <w:tr w:rsidR="00B501FA" w:rsidRPr="00627D7D" w14:paraId="10A721B5" w14:textId="77777777" w:rsidTr="00C461DC">
        <w:tc>
          <w:tcPr>
            <w:tcW w:w="4075" w:type="dxa"/>
            <w:tcBorders>
              <w:right w:val="nil"/>
            </w:tcBorders>
          </w:tcPr>
          <w:p w14:paraId="596CB5E3" w14:textId="77777777" w:rsidR="00B501FA" w:rsidRPr="00C50894" w:rsidRDefault="00B501FA" w:rsidP="00B501FA">
            <w:pPr>
              <w:spacing w:after="0" w:line="200" w:lineRule="exact"/>
              <w:rPr>
                <w:rFonts w:ascii="Times New Roman" w:hAnsi="Times New Roman"/>
                <w:sz w:val="20"/>
                <w:szCs w:val="20"/>
              </w:rPr>
            </w:pPr>
            <w:r>
              <w:rPr>
                <w:rFonts w:ascii="Times New Roman" w:hAnsi="Times New Roman" w:hint="eastAsia"/>
                <w:sz w:val="16"/>
                <w:szCs w:val="16"/>
                <w:lang w:eastAsia="zh-HK"/>
              </w:rPr>
              <w:t>Global activities</w:t>
            </w:r>
          </w:p>
        </w:tc>
        <w:tc>
          <w:tcPr>
            <w:tcW w:w="1223" w:type="dxa"/>
            <w:tcBorders>
              <w:left w:val="nil"/>
              <w:right w:val="nil"/>
            </w:tcBorders>
            <w:vAlign w:val="center"/>
          </w:tcPr>
          <w:p w14:paraId="2C227E39"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-0.401 </w:t>
            </w:r>
          </w:p>
          <w:p w14:paraId="72D1E7B9" w14:textId="1A4A36BC"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(-0.79)</w:t>
            </w:r>
          </w:p>
        </w:tc>
        <w:tc>
          <w:tcPr>
            <w:tcW w:w="1102" w:type="dxa"/>
            <w:tcBorders>
              <w:left w:val="nil"/>
              <w:right w:val="nil"/>
            </w:tcBorders>
            <w:vAlign w:val="center"/>
          </w:tcPr>
          <w:p w14:paraId="3B73A1D6"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4.474* </w:t>
            </w:r>
          </w:p>
          <w:p w14:paraId="775EB3DD" w14:textId="1B892D2E"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(1.8</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200" w:type="dxa"/>
            <w:tcBorders>
              <w:left w:val="nil"/>
              <w:right w:val="nil"/>
            </w:tcBorders>
            <w:vAlign w:val="center"/>
          </w:tcPr>
          <w:p w14:paraId="42C7C667"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0.246 </w:t>
            </w:r>
          </w:p>
          <w:p w14:paraId="01521B21" w14:textId="407AD19A"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(1.19)</w:t>
            </w:r>
          </w:p>
        </w:tc>
        <w:tc>
          <w:tcPr>
            <w:tcW w:w="1274" w:type="dxa"/>
            <w:tcBorders>
              <w:left w:val="nil"/>
              <w:right w:val="nil"/>
            </w:tcBorders>
            <w:vAlign w:val="center"/>
          </w:tcPr>
          <w:p w14:paraId="2BCC8C54"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0.752* </w:t>
            </w:r>
          </w:p>
          <w:p w14:paraId="5CC1DB83" w14:textId="49826E41"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(1.78)</w:t>
            </w:r>
          </w:p>
        </w:tc>
        <w:tc>
          <w:tcPr>
            <w:tcW w:w="1104" w:type="dxa"/>
            <w:tcBorders>
              <w:left w:val="nil"/>
              <w:right w:val="nil"/>
            </w:tcBorders>
            <w:vAlign w:val="center"/>
          </w:tcPr>
          <w:p w14:paraId="22F58E45" w14:textId="6F8B90D0"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-1.656 (-1.26)</w:t>
            </w:r>
          </w:p>
        </w:tc>
        <w:tc>
          <w:tcPr>
            <w:tcW w:w="1221" w:type="dxa"/>
            <w:tcBorders>
              <w:left w:val="nil"/>
              <w:right w:val="nil"/>
            </w:tcBorders>
            <w:vAlign w:val="center"/>
          </w:tcPr>
          <w:p w14:paraId="31ADD8FA"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-0.063 </w:t>
            </w:r>
          </w:p>
          <w:p w14:paraId="0E313411" w14:textId="5B74FA29"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(-0.54)</w:t>
            </w:r>
          </w:p>
        </w:tc>
      </w:tr>
      <w:tr w:rsidR="00B501FA" w:rsidRPr="00627D7D" w14:paraId="3D233861" w14:textId="77777777" w:rsidTr="00C461DC">
        <w:tc>
          <w:tcPr>
            <w:tcW w:w="4075" w:type="dxa"/>
            <w:tcBorders>
              <w:right w:val="nil"/>
            </w:tcBorders>
          </w:tcPr>
          <w:p w14:paraId="76C4D2B3" w14:textId="77777777" w:rsidR="00B501FA" w:rsidRPr="00C50894" w:rsidRDefault="00B501FA" w:rsidP="00B501FA">
            <w:pPr>
              <w:spacing w:after="0" w:line="200" w:lineRule="exact"/>
              <w:rPr>
                <w:rFonts w:ascii="Times New Roman" w:hAnsi="Times New Roman"/>
                <w:sz w:val="20"/>
                <w:szCs w:val="20"/>
              </w:rPr>
            </w:pPr>
            <w:r w:rsidRPr="003E7C25">
              <w:rPr>
                <w:rFonts w:ascii="Times New Roman" w:hAnsi="Times New Roman"/>
                <w:sz w:val="16"/>
                <w:szCs w:val="16"/>
                <w:lang w:eastAsia="zh-HK"/>
              </w:rPr>
              <w:t>Liquidity</w:t>
            </w:r>
          </w:p>
        </w:tc>
        <w:tc>
          <w:tcPr>
            <w:tcW w:w="1223" w:type="dxa"/>
            <w:tcBorders>
              <w:left w:val="nil"/>
              <w:right w:val="nil"/>
            </w:tcBorders>
            <w:vAlign w:val="center"/>
          </w:tcPr>
          <w:p w14:paraId="34D62752"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-0.657 </w:t>
            </w:r>
          </w:p>
          <w:p w14:paraId="1E3040AB" w14:textId="7724D8EE"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(-0.9</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102" w:type="dxa"/>
            <w:tcBorders>
              <w:left w:val="nil"/>
              <w:right w:val="nil"/>
            </w:tcBorders>
            <w:vAlign w:val="center"/>
          </w:tcPr>
          <w:p w14:paraId="14D15235"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1.091 </w:t>
            </w:r>
          </w:p>
          <w:p w14:paraId="3CAF18CE" w14:textId="01C8F0FA"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(0.49)</w:t>
            </w:r>
          </w:p>
        </w:tc>
        <w:tc>
          <w:tcPr>
            <w:tcW w:w="1200" w:type="dxa"/>
            <w:tcBorders>
              <w:left w:val="nil"/>
              <w:right w:val="nil"/>
            </w:tcBorders>
            <w:vAlign w:val="center"/>
          </w:tcPr>
          <w:p w14:paraId="6512409B"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0.21 </w:t>
            </w:r>
          </w:p>
          <w:p w14:paraId="487C3AAD" w14:textId="18753F83"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(1.09)</w:t>
            </w:r>
          </w:p>
        </w:tc>
        <w:tc>
          <w:tcPr>
            <w:tcW w:w="1274" w:type="dxa"/>
            <w:tcBorders>
              <w:left w:val="nil"/>
              <w:right w:val="nil"/>
            </w:tcBorders>
            <w:vAlign w:val="center"/>
          </w:tcPr>
          <w:p w14:paraId="1450D7DE"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0.095 </w:t>
            </w:r>
          </w:p>
          <w:p w14:paraId="207B23EC" w14:textId="54D1EBD3"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(0.49)</w:t>
            </w:r>
          </w:p>
        </w:tc>
        <w:tc>
          <w:tcPr>
            <w:tcW w:w="1104" w:type="dxa"/>
            <w:tcBorders>
              <w:left w:val="nil"/>
              <w:right w:val="nil"/>
            </w:tcBorders>
            <w:vAlign w:val="center"/>
          </w:tcPr>
          <w:p w14:paraId="17E387D7"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-0.06 </w:t>
            </w:r>
          </w:p>
          <w:p w14:paraId="2617BFF6" w14:textId="4F76B3FB"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(-0.05)</w:t>
            </w:r>
          </w:p>
        </w:tc>
        <w:tc>
          <w:tcPr>
            <w:tcW w:w="1221" w:type="dxa"/>
            <w:tcBorders>
              <w:left w:val="nil"/>
              <w:right w:val="nil"/>
            </w:tcBorders>
            <w:vAlign w:val="center"/>
          </w:tcPr>
          <w:p w14:paraId="2C7E818F"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-0.054 </w:t>
            </w:r>
          </w:p>
          <w:p w14:paraId="4CA04FD3" w14:textId="09235B9E"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(-0.88)</w:t>
            </w:r>
          </w:p>
        </w:tc>
      </w:tr>
      <w:tr w:rsidR="00B501FA" w:rsidRPr="00627D7D" w14:paraId="0C4F7B07" w14:textId="77777777" w:rsidTr="00C461DC">
        <w:tc>
          <w:tcPr>
            <w:tcW w:w="4075" w:type="dxa"/>
            <w:tcBorders>
              <w:right w:val="nil"/>
            </w:tcBorders>
          </w:tcPr>
          <w:p w14:paraId="0B36BC34" w14:textId="77777777" w:rsidR="00B501FA" w:rsidRPr="00C50894" w:rsidRDefault="00B501FA" w:rsidP="00B501FA">
            <w:pPr>
              <w:spacing w:after="0" w:line="200" w:lineRule="exact"/>
              <w:rPr>
                <w:rFonts w:ascii="Times New Roman" w:hAnsi="Times New Roman"/>
                <w:sz w:val="20"/>
                <w:szCs w:val="20"/>
              </w:rPr>
            </w:pPr>
            <w:r>
              <w:rPr>
                <w:rFonts w:ascii="Times New Roman" w:eastAsiaTheme="minorEastAsia" w:hAnsi="Times New Roman" w:hint="eastAsia"/>
                <w:sz w:val="16"/>
                <w:szCs w:val="16"/>
                <w:lang w:eastAsia="zh-TW"/>
              </w:rPr>
              <w:t>M</w:t>
            </w:r>
            <w:r>
              <w:rPr>
                <w:rFonts w:ascii="Times New Roman" w:eastAsiaTheme="minorEastAsia" w:hAnsi="Times New Roman"/>
                <w:sz w:val="16"/>
                <w:szCs w:val="16"/>
                <w:lang w:eastAsia="zh-TW"/>
              </w:rPr>
              <w:t>arket-to-book ratio</w:t>
            </w:r>
          </w:p>
        </w:tc>
        <w:tc>
          <w:tcPr>
            <w:tcW w:w="1223" w:type="dxa"/>
            <w:tcBorders>
              <w:left w:val="nil"/>
              <w:right w:val="nil"/>
            </w:tcBorders>
            <w:vAlign w:val="center"/>
          </w:tcPr>
          <w:p w14:paraId="1193702B"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-0.398 </w:t>
            </w:r>
          </w:p>
          <w:p w14:paraId="79F767EF" w14:textId="6443A164"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(-1.27)</w:t>
            </w:r>
          </w:p>
        </w:tc>
        <w:tc>
          <w:tcPr>
            <w:tcW w:w="1102" w:type="dxa"/>
            <w:tcBorders>
              <w:left w:val="nil"/>
              <w:right w:val="nil"/>
            </w:tcBorders>
            <w:vAlign w:val="center"/>
          </w:tcPr>
          <w:p w14:paraId="557DC949"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0.334 </w:t>
            </w:r>
          </w:p>
          <w:p w14:paraId="7D34B4A2" w14:textId="696B53E1"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(0.33)</w:t>
            </w:r>
          </w:p>
        </w:tc>
        <w:tc>
          <w:tcPr>
            <w:tcW w:w="1200" w:type="dxa"/>
            <w:tcBorders>
              <w:left w:val="nil"/>
              <w:right w:val="nil"/>
            </w:tcBorders>
            <w:vAlign w:val="center"/>
          </w:tcPr>
          <w:p w14:paraId="059C1F75"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0.104** </w:t>
            </w:r>
          </w:p>
          <w:p w14:paraId="020D398F" w14:textId="7DF04536"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(2.07)</w:t>
            </w:r>
          </w:p>
        </w:tc>
        <w:tc>
          <w:tcPr>
            <w:tcW w:w="1274" w:type="dxa"/>
            <w:tcBorders>
              <w:left w:val="nil"/>
              <w:right w:val="nil"/>
            </w:tcBorders>
            <w:vAlign w:val="center"/>
          </w:tcPr>
          <w:p w14:paraId="785AE566"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-0.074 </w:t>
            </w:r>
          </w:p>
          <w:p w14:paraId="6FE26E1F" w14:textId="363A5EFD"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(-0.81)</w:t>
            </w:r>
          </w:p>
        </w:tc>
        <w:tc>
          <w:tcPr>
            <w:tcW w:w="1104" w:type="dxa"/>
            <w:tcBorders>
              <w:left w:val="nil"/>
              <w:right w:val="nil"/>
            </w:tcBorders>
            <w:vAlign w:val="center"/>
          </w:tcPr>
          <w:p w14:paraId="24EF429C"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0.068 </w:t>
            </w:r>
          </w:p>
          <w:p w14:paraId="21552066" w14:textId="1DBADE4F"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(0.28)</w:t>
            </w:r>
          </w:p>
        </w:tc>
        <w:tc>
          <w:tcPr>
            <w:tcW w:w="1221" w:type="dxa"/>
            <w:tcBorders>
              <w:left w:val="nil"/>
              <w:right w:val="nil"/>
            </w:tcBorders>
            <w:vAlign w:val="center"/>
          </w:tcPr>
          <w:p w14:paraId="03900765"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0.023 </w:t>
            </w:r>
          </w:p>
          <w:p w14:paraId="027CE450" w14:textId="18C2C86F"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(1.08)</w:t>
            </w:r>
          </w:p>
        </w:tc>
      </w:tr>
      <w:tr w:rsidR="00B501FA" w:rsidRPr="00627D7D" w14:paraId="0E7D7C7A" w14:textId="77777777" w:rsidTr="00C461DC">
        <w:tc>
          <w:tcPr>
            <w:tcW w:w="4075" w:type="dxa"/>
            <w:tcBorders>
              <w:right w:val="nil"/>
            </w:tcBorders>
          </w:tcPr>
          <w:p w14:paraId="602F643B" w14:textId="77777777" w:rsidR="00B501FA" w:rsidRPr="00C50894" w:rsidRDefault="00B501FA" w:rsidP="00B501FA">
            <w:pPr>
              <w:spacing w:after="0" w:line="200" w:lineRule="exact"/>
              <w:rPr>
                <w:rFonts w:ascii="Times New Roman" w:hAnsi="Times New Roman"/>
                <w:sz w:val="20"/>
                <w:szCs w:val="20"/>
              </w:rPr>
            </w:pPr>
            <w:r w:rsidRPr="003E7C25">
              <w:rPr>
                <w:rFonts w:ascii="Times New Roman" w:eastAsiaTheme="minorEastAsia" w:hAnsi="Times New Roman"/>
                <w:sz w:val="16"/>
                <w:szCs w:val="16"/>
                <w:lang w:eastAsia="zh-TW"/>
              </w:rPr>
              <w:t>Life</w:t>
            </w:r>
          </w:p>
        </w:tc>
        <w:tc>
          <w:tcPr>
            <w:tcW w:w="1223" w:type="dxa"/>
            <w:tcBorders>
              <w:left w:val="nil"/>
              <w:right w:val="nil"/>
            </w:tcBorders>
            <w:vAlign w:val="center"/>
          </w:tcPr>
          <w:p w14:paraId="499AF4D4" w14:textId="3E36C85F"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-1.108*** (-2.97)</w:t>
            </w:r>
          </w:p>
        </w:tc>
        <w:tc>
          <w:tcPr>
            <w:tcW w:w="1102" w:type="dxa"/>
            <w:tcBorders>
              <w:left w:val="nil"/>
              <w:right w:val="nil"/>
            </w:tcBorders>
            <w:vAlign w:val="center"/>
          </w:tcPr>
          <w:p w14:paraId="4B641444"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3.355* </w:t>
            </w:r>
          </w:p>
          <w:p w14:paraId="58200C29" w14:textId="56991FC1"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(1.87)</w:t>
            </w:r>
          </w:p>
        </w:tc>
        <w:tc>
          <w:tcPr>
            <w:tcW w:w="1200" w:type="dxa"/>
            <w:tcBorders>
              <w:left w:val="nil"/>
              <w:right w:val="nil"/>
            </w:tcBorders>
            <w:vAlign w:val="center"/>
          </w:tcPr>
          <w:p w14:paraId="068D976E"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0.149 </w:t>
            </w:r>
          </w:p>
          <w:p w14:paraId="0FAEFCA5" w14:textId="2F7DC223"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(1.07)</w:t>
            </w:r>
          </w:p>
        </w:tc>
        <w:tc>
          <w:tcPr>
            <w:tcW w:w="1274" w:type="dxa"/>
            <w:tcBorders>
              <w:left w:val="nil"/>
              <w:right w:val="nil"/>
            </w:tcBorders>
            <w:vAlign w:val="center"/>
          </w:tcPr>
          <w:p w14:paraId="0E28990D"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1.219 </w:t>
            </w:r>
          </w:p>
          <w:p w14:paraId="0D4A2D68" w14:textId="2087A098"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(1.12)</w:t>
            </w:r>
          </w:p>
        </w:tc>
        <w:tc>
          <w:tcPr>
            <w:tcW w:w="1104" w:type="dxa"/>
            <w:tcBorders>
              <w:left w:val="nil"/>
              <w:right w:val="nil"/>
            </w:tcBorders>
            <w:vAlign w:val="center"/>
          </w:tcPr>
          <w:p w14:paraId="10BEAE45"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16.344* </w:t>
            </w:r>
          </w:p>
          <w:p w14:paraId="6A876838" w14:textId="3EFC5E78"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(1.9</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221" w:type="dxa"/>
            <w:tcBorders>
              <w:left w:val="nil"/>
              <w:right w:val="nil"/>
            </w:tcBorders>
            <w:vAlign w:val="center"/>
          </w:tcPr>
          <w:p w14:paraId="3A2F33BC"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-0.041 </w:t>
            </w:r>
          </w:p>
          <w:p w14:paraId="4F62705D" w14:textId="6E6BD74A"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(-0.11)</w:t>
            </w:r>
          </w:p>
        </w:tc>
      </w:tr>
      <w:tr w:rsidR="00B501FA" w:rsidRPr="00627D7D" w14:paraId="26FE302D" w14:textId="77777777" w:rsidTr="00C461DC">
        <w:tc>
          <w:tcPr>
            <w:tcW w:w="4075" w:type="dxa"/>
            <w:tcBorders>
              <w:right w:val="nil"/>
            </w:tcBorders>
          </w:tcPr>
          <w:p w14:paraId="7F1CFBE1" w14:textId="77777777" w:rsidR="00B501FA" w:rsidRPr="00C50894" w:rsidRDefault="00B501FA" w:rsidP="00B501FA">
            <w:pPr>
              <w:spacing w:after="0" w:line="200" w:lineRule="exact"/>
              <w:rPr>
                <w:rFonts w:ascii="Times New Roman" w:hAnsi="Times New Roman"/>
                <w:sz w:val="20"/>
                <w:szCs w:val="20"/>
              </w:rPr>
            </w:pPr>
            <w:r>
              <w:rPr>
                <w:rFonts w:ascii="Times New Roman" w:hAnsi="Times New Roman" w:hint="eastAsia"/>
                <w:sz w:val="16"/>
                <w:szCs w:val="16"/>
                <w:lang w:eastAsia="zh-HK"/>
              </w:rPr>
              <w:t>Loss ratio</w:t>
            </w:r>
          </w:p>
        </w:tc>
        <w:tc>
          <w:tcPr>
            <w:tcW w:w="1223" w:type="dxa"/>
            <w:tcBorders>
              <w:left w:val="nil"/>
              <w:right w:val="nil"/>
            </w:tcBorders>
            <w:vAlign w:val="center"/>
          </w:tcPr>
          <w:p w14:paraId="09FA5D23"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-2.612 </w:t>
            </w:r>
          </w:p>
          <w:p w14:paraId="61D98381" w14:textId="7E89DD43"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(-1.47)</w:t>
            </w:r>
          </w:p>
        </w:tc>
        <w:tc>
          <w:tcPr>
            <w:tcW w:w="1102" w:type="dxa"/>
            <w:tcBorders>
              <w:left w:val="nil"/>
              <w:right w:val="nil"/>
            </w:tcBorders>
            <w:vAlign w:val="center"/>
          </w:tcPr>
          <w:p w14:paraId="650B6677" w14:textId="0B7AE93D"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-6.902 (-1.55)</w:t>
            </w:r>
          </w:p>
        </w:tc>
        <w:tc>
          <w:tcPr>
            <w:tcW w:w="1200" w:type="dxa"/>
            <w:tcBorders>
              <w:left w:val="nil"/>
              <w:right w:val="nil"/>
            </w:tcBorders>
            <w:vAlign w:val="center"/>
          </w:tcPr>
          <w:p w14:paraId="0776D11E"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0.666** </w:t>
            </w:r>
          </w:p>
          <w:p w14:paraId="5DBAE9D9" w14:textId="5ADA658E"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(2.23)</w:t>
            </w:r>
          </w:p>
        </w:tc>
        <w:tc>
          <w:tcPr>
            <w:tcW w:w="1274" w:type="dxa"/>
            <w:tcBorders>
              <w:left w:val="nil"/>
              <w:right w:val="nil"/>
            </w:tcBorders>
            <w:vAlign w:val="center"/>
          </w:tcPr>
          <w:p w14:paraId="071F9738"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-0.002***</w:t>
            </w:r>
          </w:p>
          <w:p w14:paraId="247B2DB1" w14:textId="10A117F2"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(-6.92)</w:t>
            </w:r>
          </w:p>
        </w:tc>
        <w:tc>
          <w:tcPr>
            <w:tcW w:w="1104" w:type="dxa"/>
            <w:tcBorders>
              <w:left w:val="nil"/>
              <w:right w:val="nil"/>
            </w:tcBorders>
            <w:vAlign w:val="center"/>
          </w:tcPr>
          <w:p w14:paraId="3BA3F7B4"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0.002 </w:t>
            </w:r>
          </w:p>
          <w:p w14:paraId="73064B81" w14:textId="3F6FB5F3"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(1.37)</w:t>
            </w:r>
          </w:p>
        </w:tc>
        <w:tc>
          <w:tcPr>
            <w:tcW w:w="1221" w:type="dxa"/>
            <w:tcBorders>
              <w:left w:val="nil"/>
              <w:right w:val="nil"/>
            </w:tcBorders>
            <w:vAlign w:val="center"/>
          </w:tcPr>
          <w:p w14:paraId="1E091D36"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.000</w:t>
            </w:r>
            <w:r>
              <w:rPr>
                <w:rFonts w:ascii="Times New Roman Uni" w:eastAsia="Times New Roman Uni" w:hAnsi="Times New Roman Uni" w:cs="Times New Roman Uni" w:hint="eastAsia"/>
                <w:color w:val="000000"/>
                <w:sz w:val="16"/>
                <w:szCs w:val="16"/>
              </w:rPr>
              <w:t xml:space="preserve"> </w:t>
            </w:r>
          </w:p>
          <w:p w14:paraId="2C6E8557" w14:textId="41776FCF"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w:t>
            </w:r>
          </w:p>
        </w:tc>
      </w:tr>
      <w:tr w:rsidR="00B501FA" w:rsidRPr="00627D7D" w14:paraId="68CAC0EC" w14:textId="77777777" w:rsidTr="00C461DC">
        <w:tc>
          <w:tcPr>
            <w:tcW w:w="4075" w:type="dxa"/>
            <w:tcBorders>
              <w:right w:val="nil"/>
            </w:tcBorders>
          </w:tcPr>
          <w:p w14:paraId="008AF276" w14:textId="77777777" w:rsidR="00B501FA" w:rsidRPr="00C50894" w:rsidRDefault="00B501FA" w:rsidP="00B501FA">
            <w:pPr>
              <w:spacing w:after="0" w:line="200" w:lineRule="exact"/>
              <w:rPr>
                <w:rFonts w:ascii="Times New Roman" w:hAnsi="Times New Roman"/>
                <w:sz w:val="20"/>
                <w:szCs w:val="20"/>
              </w:rPr>
            </w:pPr>
            <w:r>
              <w:rPr>
                <w:rFonts w:ascii="Times New Roman" w:hAnsi="Times New Roman" w:hint="eastAsia"/>
                <w:sz w:val="16"/>
                <w:szCs w:val="16"/>
                <w:lang w:eastAsia="zh-HK"/>
              </w:rPr>
              <w:t>Investment income</w:t>
            </w:r>
            <w:r>
              <w:rPr>
                <w:rFonts w:ascii="Times New Roman" w:hAnsi="Times New Roman"/>
                <w:sz w:val="16"/>
                <w:szCs w:val="16"/>
                <w:lang w:eastAsia="zh-HK"/>
              </w:rPr>
              <w:t>s</w:t>
            </w:r>
          </w:p>
        </w:tc>
        <w:tc>
          <w:tcPr>
            <w:tcW w:w="1223" w:type="dxa"/>
            <w:tcBorders>
              <w:left w:val="nil"/>
              <w:right w:val="nil"/>
            </w:tcBorders>
            <w:vAlign w:val="center"/>
          </w:tcPr>
          <w:p w14:paraId="08157646" w14:textId="21B09E20"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41.528** (2.05)</w:t>
            </w:r>
          </w:p>
        </w:tc>
        <w:tc>
          <w:tcPr>
            <w:tcW w:w="1102" w:type="dxa"/>
            <w:tcBorders>
              <w:left w:val="nil"/>
              <w:right w:val="nil"/>
            </w:tcBorders>
            <w:vAlign w:val="center"/>
          </w:tcPr>
          <w:p w14:paraId="1FAAE0D5" w14:textId="48F745B7"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-30.081 (-0.94)</w:t>
            </w:r>
          </w:p>
        </w:tc>
        <w:tc>
          <w:tcPr>
            <w:tcW w:w="1200" w:type="dxa"/>
            <w:tcBorders>
              <w:left w:val="nil"/>
              <w:right w:val="nil"/>
            </w:tcBorders>
            <w:vAlign w:val="center"/>
          </w:tcPr>
          <w:p w14:paraId="42B0B792" w14:textId="24B61ECB"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-11.576** (-2.2</w:t>
            </w:r>
            <w:r w:rsidR="002473CA">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274" w:type="dxa"/>
            <w:tcBorders>
              <w:left w:val="nil"/>
              <w:right w:val="nil"/>
            </w:tcBorders>
            <w:vAlign w:val="center"/>
          </w:tcPr>
          <w:p w14:paraId="5E209C69"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5.667*** </w:t>
            </w:r>
          </w:p>
          <w:p w14:paraId="79C75B7A" w14:textId="133B1EFD"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(4.21)</w:t>
            </w:r>
          </w:p>
        </w:tc>
        <w:tc>
          <w:tcPr>
            <w:tcW w:w="1104" w:type="dxa"/>
            <w:tcBorders>
              <w:left w:val="nil"/>
              <w:right w:val="nil"/>
            </w:tcBorders>
            <w:vAlign w:val="center"/>
          </w:tcPr>
          <w:p w14:paraId="4BDAB64E" w14:textId="78A51A74"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-12.741 (-1.59)</w:t>
            </w:r>
          </w:p>
        </w:tc>
        <w:tc>
          <w:tcPr>
            <w:tcW w:w="1221" w:type="dxa"/>
            <w:tcBorders>
              <w:left w:val="nil"/>
              <w:right w:val="nil"/>
            </w:tcBorders>
            <w:vAlign w:val="center"/>
          </w:tcPr>
          <w:p w14:paraId="63E33479"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-1.021 </w:t>
            </w:r>
          </w:p>
          <w:p w14:paraId="682EDC6A" w14:textId="62BF671A"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(-0.87)</w:t>
            </w:r>
          </w:p>
        </w:tc>
      </w:tr>
      <w:tr w:rsidR="00B501FA" w:rsidRPr="00627D7D" w14:paraId="5FF325CE" w14:textId="77777777" w:rsidTr="00C461DC">
        <w:tc>
          <w:tcPr>
            <w:tcW w:w="4075" w:type="dxa"/>
            <w:tcBorders>
              <w:right w:val="nil"/>
            </w:tcBorders>
          </w:tcPr>
          <w:p w14:paraId="45580596" w14:textId="77777777" w:rsidR="00B501FA" w:rsidRPr="00C50894" w:rsidRDefault="00B501FA" w:rsidP="00B501FA">
            <w:pPr>
              <w:spacing w:after="0" w:line="200" w:lineRule="exact"/>
              <w:rPr>
                <w:rFonts w:ascii="Times New Roman" w:hAnsi="Times New Roman"/>
                <w:sz w:val="20"/>
                <w:szCs w:val="20"/>
              </w:rPr>
            </w:pPr>
            <w:r>
              <w:rPr>
                <w:rFonts w:ascii="Times New Roman" w:hAnsi="Times New Roman" w:hint="eastAsia"/>
                <w:sz w:val="16"/>
                <w:szCs w:val="16"/>
                <w:lang w:eastAsia="zh-HK"/>
              </w:rPr>
              <w:t>ROA (%)</w:t>
            </w:r>
          </w:p>
        </w:tc>
        <w:tc>
          <w:tcPr>
            <w:tcW w:w="1223" w:type="dxa"/>
            <w:tcBorders>
              <w:left w:val="nil"/>
              <w:right w:val="nil"/>
            </w:tcBorders>
            <w:vAlign w:val="center"/>
          </w:tcPr>
          <w:p w14:paraId="2EDC5F1F"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-0.013 </w:t>
            </w:r>
          </w:p>
          <w:p w14:paraId="5CC9CFD8" w14:textId="3836F185"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(-0.08)</w:t>
            </w:r>
          </w:p>
        </w:tc>
        <w:tc>
          <w:tcPr>
            <w:tcW w:w="1102" w:type="dxa"/>
            <w:tcBorders>
              <w:left w:val="nil"/>
              <w:right w:val="nil"/>
            </w:tcBorders>
            <w:vAlign w:val="center"/>
          </w:tcPr>
          <w:p w14:paraId="11E0DC62"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0.157 </w:t>
            </w:r>
          </w:p>
          <w:p w14:paraId="7D1EE4B5" w14:textId="67D5D889"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(1.38)</w:t>
            </w:r>
          </w:p>
        </w:tc>
        <w:tc>
          <w:tcPr>
            <w:tcW w:w="1200" w:type="dxa"/>
            <w:tcBorders>
              <w:left w:val="nil"/>
              <w:right w:val="nil"/>
            </w:tcBorders>
            <w:vAlign w:val="center"/>
          </w:tcPr>
          <w:p w14:paraId="78B1486F"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-0.013 </w:t>
            </w:r>
          </w:p>
          <w:p w14:paraId="16190290" w14:textId="0C58934F"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(-0.5</w:t>
            </w:r>
            <w:r w:rsidR="002473CA">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274" w:type="dxa"/>
            <w:tcBorders>
              <w:left w:val="nil"/>
              <w:right w:val="nil"/>
            </w:tcBorders>
            <w:vAlign w:val="center"/>
          </w:tcPr>
          <w:p w14:paraId="15F4ABD0" w14:textId="1E0CD9C1"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0.02</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w:t>
            </w:r>
          </w:p>
          <w:p w14:paraId="5C7EC5F5" w14:textId="779B2558"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(0.38)</w:t>
            </w:r>
          </w:p>
        </w:tc>
        <w:tc>
          <w:tcPr>
            <w:tcW w:w="1104" w:type="dxa"/>
            <w:tcBorders>
              <w:left w:val="nil"/>
              <w:right w:val="nil"/>
            </w:tcBorders>
            <w:vAlign w:val="center"/>
          </w:tcPr>
          <w:p w14:paraId="4CF6C1B2"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0.058 </w:t>
            </w:r>
          </w:p>
          <w:p w14:paraId="0B233AA7" w14:textId="73137830"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(0.58)</w:t>
            </w:r>
          </w:p>
        </w:tc>
        <w:tc>
          <w:tcPr>
            <w:tcW w:w="1221" w:type="dxa"/>
            <w:tcBorders>
              <w:left w:val="nil"/>
              <w:right w:val="nil"/>
            </w:tcBorders>
            <w:vAlign w:val="center"/>
          </w:tcPr>
          <w:p w14:paraId="08B1F987"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-0.017* </w:t>
            </w:r>
          </w:p>
          <w:p w14:paraId="15B871D1" w14:textId="74E4CDA4"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(-1.76)</w:t>
            </w:r>
          </w:p>
        </w:tc>
      </w:tr>
      <w:tr w:rsidR="00B501FA" w:rsidRPr="00627D7D" w14:paraId="446EFA49" w14:textId="77777777" w:rsidTr="00C461DC">
        <w:tc>
          <w:tcPr>
            <w:tcW w:w="4075" w:type="dxa"/>
            <w:tcBorders>
              <w:right w:val="nil"/>
            </w:tcBorders>
          </w:tcPr>
          <w:p w14:paraId="0DFE4999" w14:textId="77777777" w:rsidR="00B501FA" w:rsidRPr="00C50894" w:rsidRDefault="00B501FA" w:rsidP="00B501FA">
            <w:pPr>
              <w:spacing w:after="0" w:line="200" w:lineRule="exact"/>
              <w:rPr>
                <w:rFonts w:ascii="Times New Roman" w:hAnsi="Times New Roman"/>
                <w:sz w:val="20"/>
                <w:szCs w:val="20"/>
              </w:rPr>
            </w:pPr>
            <w:r>
              <w:rPr>
                <w:rFonts w:ascii="Times New Roman" w:hAnsi="Times New Roman" w:hint="eastAsia"/>
                <w:sz w:val="16"/>
                <w:szCs w:val="16"/>
                <w:lang w:eastAsia="zh-HK"/>
              </w:rPr>
              <w:t>Operating expenses</w:t>
            </w:r>
          </w:p>
        </w:tc>
        <w:tc>
          <w:tcPr>
            <w:tcW w:w="1223" w:type="dxa"/>
            <w:tcBorders>
              <w:left w:val="nil"/>
              <w:right w:val="nil"/>
            </w:tcBorders>
            <w:vAlign w:val="center"/>
          </w:tcPr>
          <w:p w14:paraId="45E5456E"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3.637 </w:t>
            </w:r>
          </w:p>
          <w:p w14:paraId="71673420" w14:textId="757934A3"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(1.04)</w:t>
            </w:r>
          </w:p>
        </w:tc>
        <w:tc>
          <w:tcPr>
            <w:tcW w:w="1102" w:type="dxa"/>
            <w:tcBorders>
              <w:left w:val="nil"/>
              <w:right w:val="nil"/>
            </w:tcBorders>
            <w:vAlign w:val="center"/>
          </w:tcPr>
          <w:p w14:paraId="47389B74"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0.979 </w:t>
            </w:r>
          </w:p>
          <w:p w14:paraId="1B623314" w14:textId="7F2EF34C"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(0.16)</w:t>
            </w:r>
          </w:p>
        </w:tc>
        <w:tc>
          <w:tcPr>
            <w:tcW w:w="1200" w:type="dxa"/>
            <w:tcBorders>
              <w:left w:val="nil"/>
              <w:right w:val="nil"/>
            </w:tcBorders>
            <w:vAlign w:val="center"/>
          </w:tcPr>
          <w:p w14:paraId="091C6C8A"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-0.705 </w:t>
            </w:r>
          </w:p>
          <w:p w14:paraId="507D2608" w14:textId="0121CF5A"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(-1.26)</w:t>
            </w:r>
          </w:p>
        </w:tc>
        <w:tc>
          <w:tcPr>
            <w:tcW w:w="1274" w:type="dxa"/>
            <w:tcBorders>
              <w:left w:val="nil"/>
              <w:right w:val="nil"/>
            </w:tcBorders>
            <w:vAlign w:val="center"/>
          </w:tcPr>
          <w:p w14:paraId="16821563"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0.872 </w:t>
            </w:r>
          </w:p>
          <w:p w14:paraId="77CF725F" w14:textId="04D5BB60"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(0.82)</w:t>
            </w:r>
          </w:p>
        </w:tc>
        <w:tc>
          <w:tcPr>
            <w:tcW w:w="1104" w:type="dxa"/>
            <w:tcBorders>
              <w:left w:val="nil"/>
              <w:right w:val="nil"/>
            </w:tcBorders>
            <w:vAlign w:val="center"/>
          </w:tcPr>
          <w:p w14:paraId="15920BD2"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0.862 </w:t>
            </w:r>
          </w:p>
          <w:p w14:paraId="46C3036F" w14:textId="41BD4878"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(0.35)</w:t>
            </w:r>
          </w:p>
        </w:tc>
        <w:tc>
          <w:tcPr>
            <w:tcW w:w="1221" w:type="dxa"/>
            <w:tcBorders>
              <w:left w:val="nil"/>
              <w:right w:val="nil"/>
            </w:tcBorders>
            <w:vAlign w:val="center"/>
          </w:tcPr>
          <w:p w14:paraId="73567045"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-0.156 </w:t>
            </w:r>
          </w:p>
          <w:p w14:paraId="19C20CBA" w14:textId="0A1F719E"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(-0.53)</w:t>
            </w:r>
          </w:p>
        </w:tc>
      </w:tr>
      <w:tr w:rsidR="00B501FA" w:rsidRPr="00627D7D" w14:paraId="0041F26C" w14:textId="77777777" w:rsidTr="00C461DC">
        <w:tc>
          <w:tcPr>
            <w:tcW w:w="4075" w:type="dxa"/>
            <w:tcBorders>
              <w:right w:val="nil"/>
            </w:tcBorders>
          </w:tcPr>
          <w:p w14:paraId="70849DA1" w14:textId="77777777" w:rsidR="00B501FA" w:rsidRPr="00C50894" w:rsidRDefault="00B501FA" w:rsidP="00B501FA">
            <w:pPr>
              <w:spacing w:after="0" w:line="200" w:lineRule="exact"/>
              <w:rPr>
                <w:rFonts w:ascii="Times New Roman" w:hAnsi="Times New Roman"/>
                <w:sz w:val="20"/>
                <w:szCs w:val="20"/>
              </w:rPr>
            </w:pPr>
            <w:r>
              <w:rPr>
                <w:rFonts w:ascii="Times New Roman" w:eastAsiaTheme="minorEastAsia" w:hAnsi="Times New Roman"/>
                <w:sz w:val="16"/>
                <w:szCs w:val="16"/>
                <w:lang w:eastAsia="zh-HK"/>
              </w:rPr>
              <w:t>GDP growth (%)</w:t>
            </w:r>
          </w:p>
        </w:tc>
        <w:tc>
          <w:tcPr>
            <w:tcW w:w="1223" w:type="dxa"/>
            <w:tcBorders>
              <w:left w:val="nil"/>
              <w:right w:val="nil"/>
            </w:tcBorders>
            <w:vAlign w:val="center"/>
          </w:tcPr>
          <w:p w14:paraId="275B2C5F"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67.917 </w:t>
            </w:r>
          </w:p>
          <w:p w14:paraId="5CB44553" w14:textId="51AAFA8F"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(0.64)</w:t>
            </w:r>
          </w:p>
        </w:tc>
        <w:tc>
          <w:tcPr>
            <w:tcW w:w="1102" w:type="dxa"/>
            <w:tcBorders>
              <w:left w:val="nil"/>
              <w:right w:val="nil"/>
            </w:tcBorders>
            <w:vAlign w:val="center"/>
          </w:tcPr>
          <w:p w14:paraId="0C1D9C46"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8.639 </w:t>
            </w:r>
          </w:p>
          <w:p w14:paraId="0FF5B0F9" w14:textId="419BABE1"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(0.02)</w:t>
            </w:r>
          </w:p>
        </w:tc>
        <w:tc>
          <w:tcPr>
            <w:tcW w:w="1200" w:type="dxa"/>
            <w:tcBorders>
              <w:left w:val="nil"/>
              <w:right w:val="nil"/>
            </w:tcBorders>
            <w:vAlign w:val="center"/>
          </w:tcPr>
          <w:p w14:paraId="269EA73A" w14:textId="367D21CC"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81.875** (2.06)</w:t>
            </w:r>
          </w:p>
        </w:tc>
        <w:tc>
          <w:tcPr>
            <w:tcW w:w="1274" w:type="dxa"/>
            <w:tcBorders>
              <w:left w:val="nil"/>
              <w:right w:val="nil"/>
            </w:tcBorders>
            <w:vAlign w:val="center"/>
          </w:tcPr>
          <w:p w14:paraId="748A413F"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0.016 </w:t>
            </w:r>
          </w:p>
          <w:p w14:paraId="2E9ABD01" w14:textId="47EE80C0"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104" w:type="dxa"/>
            <w:tcBorders>
              <w:left w:val="nil"/>
              <w:right w:val="nil"/>
            </w:tcBorders>
            <w:vAlign w:val="center"/>
          </w:tcPr>
          <w:p w14:paraId="154DB401"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0.178 </w:t>
            </w:r>
          </w:p>
          <w:p w14:paraId="30D88F79" w14:textId="352987DB"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(1.47)</w:t>
            </w:r>
          </w:p>
        </w:tc>
        <w:tc>
          <w:tcPr>
            <w:tcW w:w="1221" w:type="dxa"/>
            <w:tcBorders>
              <w:left w:val="nil"/>
              <w:right w:val="nil"/>
            </w:tcBorders>
            <w:vAlign w:val="center"/>
          </w:tcPr>
          <w:p w14:paraId="1072E344"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-0.006 </w:t>
            </w:r>
          </w:p>
          <w:p w14:paraId="7BFEFD22" w14:textId="5B596B36"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(-0.41)</w:t>
            </w:r>
          </w:p>
        </w:tc>
      </w:tr>
      <w:tr w:rsidR="00B501FA" w:rsidRPr="00627D7D" w14:paraId="4AF69FE7" w14:textId="77777777" w:rsidTr="00C461DC">
        <w:tc>
          <w:tcPr>
            <w:tcW w:w="4075" w:type="dxa"/>
            <w:tcBorders>
              <w:right w:val="nil"/>
            </w:tcBorders>
          </w:tcPr>
          <w:p w14:paraId="7CFDD074" w14:textId="77777777" w:rsidR="00B501FA" w:rsidRPr="00C50894" w:rsidRDefault="00B501FA" w:rsidP="00B501FA">
            <w:pPr>
              <w:spacing w:after="0" w:line="200" w:lineRule="exact"/>
              <w:rPr>
                <w:rFonts w:ascii="Times New Roman" w:hAnsi="Times New Roman"/>
                <w:sz w:val="20"/>
                <w:szCs w:val="20"/>
              </w:rPr>
            </w:pPr>
            <w:r>
              <w:rPr>
                <w:rFonts w:ascii="Times New Roman" w:hAnsi="Times New Roman"/>
                <w:sz w:val="16"/>
                <w:szCs w:val="16"/>
                <w:lang w:eastAsia="zh-HK"/>
              </w:rPr>
              <w:t>Inflation (%)</w:t>
            </w:r>
          </w:p>
        </w:tc>
        <w:tc>
          <w:tcPr>
            <w:tcW w:w="1223" w:type="dxa"/>
            <w:tcBorders>
              <w:left w:val="nil"/>
              <w:right w:val="nil"/>
            </w:tcBorders>
            <w:vAlign w:val="center"/>
          </w:tcPr>
          <w:p w14:paraId="2CC762B1" w14:textId="2C16D7C8"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-406.472 (-0.65)</w:t>
            </w:r>
          </w:p>
        </w:tc>
        <w:tc>
          <w:tcPr>
            <w:tcW w:w="1102" w:type="dxa"/>
            <w:tcBorders>
              <w:left w:val="nil"/>
              <w:right w:val="nil"/>
            </w:tcBorders>
            <w:vAlign w:val="center"/>
          </w:tcPr>
          <w:p w14:paraId="4ADF24BE" w14:textId="7BFEEB47" w:rsidR="00B501FA" w:rsidRPr="00DF2EDB"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-41.356 (-0.02)</w:t>
            </w:r>
          </w:p>
        </w:tc>
        <w:tc>
          <w:tcPr>
            <w:tcW w:w="1200" w:type="dxa"/>
            <w:tcBorders>
              <w:left w:val="nil"/>
              <w:right w:val="nil"/>
            </w:tcBorders>
            <w:vAlign w:val="center"/>
          </w:tcPr>
          <w:p w14:paraId="7C2FD475" w14:textId="32C5D759" w:rsidR="00B501FA" w:rsidRPr="006D61A2" w:rsidRDefault="00B501FA" w:rsidP="00B501FA">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-488.012** (-2.06)</w:t>
            </w:r>
          </w:p>
        </w:tc>
        <w:tc>
          <w:tcPr>
            <w:tcW w:w="1274" w:type="dxa"/>
            <w:tcBorders>
              <w:left w:val="nil"/>
              <w:right w:val="nil"/>
            </w:tcBorders>
            <w:vAlign w:val="center"/>
          </w:tcPr>
          <w:p w14:paraId="39F10A13"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0.011 </w:t>
            </w:r>
          </w:p>
          <w:p w14:paraId="78A962B5" w14:textId="3F299976" w:rsidR="00B501FA" w:rsidRPr="004E1219"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(0.19)</w:t>
            </w:r>
          </w:p>
        </w:tc>
        <w:tc>
          <w:tcPr>
            <w:tcW w:w="1104" w:type="dxa"/>
            <w:tcBorders>
              <w:left w:val="nil"/>
              <w:right w:val="nil"/>
            </w:tcBorders>
            <w:vAlign w:val="center"/>
          </w:tcPr>
          <w:p w14:paraId="547D6BEC" w14:textId="4E4F59D1" w:rsidR="00B501FA" w:rsidRPr="00031FDE"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-0.067 (-0.62)</w:t>
            </w:r>
          </w:p>
        </w:tc>
        <w:tc>
          <w:tcPr>
            <w:tcW w:w="1221" w:type="dxa"/>
            <w:tcBorders>
              <w:left w:val="nil"/>
              <w:right w:val="nil"/>
            </w:tcBorders>
            <w:vAlign w:val="center"/>
          </w:tcPr>
          <w:p w14:paraId="385B9ED6" w14:textId="77777777" w:rsidR="00B501FA" w:rsidRDefault="00B501FA" w:rsidP="00B501FA">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 </w:t>
            </w:r>
          </w:p>
          <w:p w14:paraId="67A1F310" w14:textId="2D914047" w:rsidR="00B501FA" w:rsidRPr="000F5D80" w:rsidRDefault="00B501FA" w:rsidP="00B501FA">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(0.59)</w:t>
            </w:r>
          </w:p>
        </w:tc>
      </w:tr>
      <w:tr w:rsidR="000676B7" w:rsidRPr="00B86E32" w14:paraId="40D86322" w14:textId="77777777" w:rsidTr="00BB00D0">
        <w:tc>
          <w:tcPr>
            <w:tcW w:w="4075" w:type="dxa"/>
            <w:tcBorders>
              <w:right w:val="nil"/>
            </w:tcBorders>
          </w:tcPr>
          <w:p w14:paraId="72613AC1" w14:textId="77777777" w:rsidR="00BB00D0" w:rsidRPr="00C50894" w:rsidRDefault="00BB00D0" w:rsidP="00E908D3">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Firm fixed effects</w:t>
            </w:r>
          </w:p>
        </w:tc>
        <w:tc>
          <w:tcPr>
            <w:tcW w:w="1223" w:type="dxa"/>
            <w:tcBorders>
              <w:left w:val="nil"/>
              <w:right w:val="nil"/>
            </w:tcBorders>
          </w:tcPr>
          <w:p w14:paraId="1717F627" w14:textId="77777777" w:rsidR="00BB00D0" w:rsidRPr="00C50894"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102" w:type="dxa"/>
            <w:tcBorders>
              <w:left w:val="nil"/>
              <w:right w:val="nil"/>
            </w:tcBorders>
          </w:tcPr>
          <w:p w14:paraId="0D4AE959" w14:textId="77777777" w:rsidR="00BB00D0" w:rsidRPr="00C50894"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00" w:type="dxa"/>
            <w:tcBorders>
              <w:left w:val="nil"/>
              <w:right w:val="nil"/>
            </w:tcBorders>
          </w:tcPr>
          <w:p w14:paraId="0DE6B122" w14:textId="77777777" w:rsidR="00BB00D0" w:rsidRPr="00C50894"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74" w:type="dxa"/>
            <w:tcBorders>
              <w:left w:val="nil"/>
              <w:right w:val="nil"/>
            </w:tcBorders>
          </w:tcPr>
          <w:p w14:paraId="662628DC" w14:textId="77777777" w:rsidR="00BB00D0" w:rsidRPr="00B86E32"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104" w:type="dxa"/>
            <w:tcBorders>
              <w:left w:val="nil"/>
              <w:right w:val="nil"/>
            </w:tcBorders>
          </w:tcPr>
          <w:p w14:paraId="60FA7303" w14:textId="77777777" w:rsidR="00BB00D0" w:rsidRPr="00B86E32"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21" w:type="dxa"/>
            <w:tcBorders>
              <w:left w:val="nil"/>
              <w:right w:val="nil"/>
            </w:tcBorders>
          </w:tcPr>
          <w:p w14:paraId="031B13EF" w14:textId="77777777" w:rsidR="00BB00D0" w:rsidRPr="00B86E32"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r>
      <w:tr w:rsidR="000676B7" w:rsidRPr="00B86E32" w14:paraId="7A45408B" w14:textId="77777777" w:rsidTr="00BB00D0">
        <w:tc>
          <w:tcPr>
            <w:tcW w:w="4075" w:type="dxa"/>
            <w:tcBorders>
              <w:right w:val="nil"/>
            </w:tcBorders>
          </w:tcPr>
          <w:p w14:paraId="400F0A9C" w14:textId="28867D83" w:rsidR="00BB00D0" w:rsidRPr="00C50894" w:rsidRDefault="00FF37E0" w:rsidP="00E908D3">
            <w:pPr>
              <w:spacing w:after="0" w:line="200" w:lineRule="exact"/>
              <w:rPr>
                <w:rFonts w:ascii="Times New Roman" w:hAnsi="Times New Roman"/>
                <w:sz w:val="16"/>
                <w:szCs w:val="16"/>
                <w:lang w:eastAsia="zh-HK"/>
              </w:rPr>
            </w:pPr>
            <w:r>
              <w:rPr>
                <w:rFonts w:ascii="Times New Roman" w:hAnsi="Times New Roman"/>
                <w:sz w:val="16"/>
                <w:szCs w:val="16"/>
                <w:lang w:eastAsia="zh-HK"/>
              </w:rPr>
              <w:t>Time</w:t>
            </w:r>
            <w:r w:rsidR="00BB00D0" w:rsidRPr="00716971">
              <w:rPr>
                <w:rFonts w:ascii="Times New Roman" w:hAnsi="Times New Roman"/>
                <w:sz w:val="16"/>
                <w:szCs w:val="16"/>
                <w:lang w:eastAsia="zh-HK"/>
              </w:rPr>
              <w:t xml:space="preserve"> fixed effects</w:t>
            </w:r>
          </w:p>
        </w:tc>
        <w:tc>
          <w:tcPr>
            <w:tcW w:w="1223" w:type="dxa"/>
            <w:tcBorders>
              <w:left w:val="nil"/>
              <w:right w:val="nil"/>
            </w:tcBorders>
          </w:tcPr>
          <w:p w14:paraId="1C16CCC7" w14:textId="77777777" w:rsidR="00BB00D0" w:rsidRPr="00C50894"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102" w:type="dxa"/>
            <w:tcBorders>
              <w:left w:val="nil"/>
              <w:right w:val="nil"/>
            </w:tcBorders>
          </w:tcPr>
          <w:p w14:paraId="31BABA6C" w14:textId="77777777" w:rsidR="00BB00D0" w:rsidRPr="00C50894"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00" w:type="dxa"/>
            <w:tcBorders>
              <w:left w:val="nil"/>
              <w:right w:val="nil"/>
            </w:tcBorders>
          </w:tcPr>
          <w:p w14:paraId="638E89B0" w14:textId="77777777" w:rsidR="00BB00D0" w:rsidRPr="00C50894"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74" w:type="dxa"/>
            <w:tcBorders>
              <w:left w:val="nil"/>
              <w:right w:val="nil"/>
            </w:tcBorders>
          </w:tcPr>
          <w:p w14:paraId="6E451793" w14:textId="77777777" w:rsidR="00BB00D0" w:rsidRPr="004B283F"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104" w:type="dxa"/>
            <w:tcBorders>
              <w:left w:val="nil"/>
              <w:right w:val="nil"/>
            </w:tcBorders>
          </w:tcPr>
          <w:p w14:paraId="6BA65F28" w14:textId="77777777" w:rsidR="00BB00D0" w:rsidRPr="00916356"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21" w:type="dxa"/>
            <w:tcBorders>
              <w:left w:val="nil"/>
              <w:right w:val="nil"/>
            </w:tcBorders>
          </w:tcPr>
          <w:p w14:paraId="689D6C01" w14:textId="77777777" w:rsidR="00BB00D0" w:rsidRPr="00B86E32" w:rsidRDefault="00BB00D0"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r>
      <w:tr w:rsidR="000676B7" w:rsidRPr="00B86E32" w14:paraId="7D847158" w14:textId="77777777" w:rsidTr="00BB00D0">
        <w:tc>
          <w:tcPr>
            <w:tcW w:w="4075" w:type="dxa"/>
            <w:tcBorders>
              <w:right w:val="nil"/>
            </w:tcBorders>
          </w:tcPr>
          <w:p w14:paraId="4DCA2110" w14:textId="77777777" w:rsidR="00BB00D0" w:rsidRPr="00C50894" w:rsidRDefault="00BB00D0" w:rsidP="00E908D3">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Observations</w:t>
            </w:r>
          </w:p>
        </w:tc>
        <w:tc>
          <w:tcPr>
            <w:tcW w:w="1223" w:type="dxa"/>
            <w:tcBorders>
              <w:left w:val="nil"/>
              <w:right w:val="nil"/>
            </w:tcBorders>
          </w:tcPr>
          <w:p w14:paraId="5E63335C" w14:textId="38CC0F58" w:rsidR="00BB00D0" w:rsidRPr="00C50894" w:rsidRDefault="00DF2EDB" w:rsidP="00FF37E0">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w:t>
            </w:r>
            <w:r>
              <w:rPr>
                <w:rFonts w:ascii="Times New Roman" w:hAnsi="Times New Roman"/>
                <w:sz w:val="16"/>
                <w:szCs w:val="16"/>
                <w:lang w:eastAsia="zh-HK"/>
              </w:rPr>
              <w:t>00</w:t>
            </w:r>
            <w:r w:rsidR="00FF37E0">
              <w:rPr>
                <w:rFonts w:ascii="Times New Roman" w:hAnsi="Times New Roman"/>
                <w:sz w:val="16"/>
                <w:szCs w:val="16"/>
                <w:lang w:eastAsia="zh-HK"/>
              </w:rPr>
              <w:t>9</w:t>
            </w:r>
          </w:p>
        </w:tc>
        <w:tc>
          <w:tcPr>
            <w:tcW w:w="1102" w:type="dxa"/>
            <w:tcBorders>
              <w:left w:val="nil"/>
              <w:right w:val="nil"/>
            </w:tcBorders>
          </w:tcPr>
          <w:p w14:paraId="1EB63461" w14:textId="0A71AB4C" w:rsidR="00BB00D0" w:rsidRPr="00C50894" w:rsidRDefault="00DF2EDB" w:rsidP="00FF37E0">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w:t>
            </w:r>
            <w:r>
              <w:rPr>
                <w:rFonts w:ascii="Times New Roman" w:hAnsi="Times New Roman"/>
                <w:sz w:val="16"/>
                <w:szCs w:val="16"/>
                <w:lang w:eastAsia="zh-HK"/>
              </w:rPr>
              <w:t>00</w:t>
            </w:r>
            <w:r w:rsidR="00FF37E0">
              <w:rPr>
                <w:rFonts w:ascii="Times New Roman" w:hAnsi="Times New Roman"/>
                <w:sz w:val="16"/>
                <w:szCs w:val="16"/>
                <w:lang w:eastAsia="zh-HK"/>
              </w:rPr>
              <w:t>9</w:t>
            </w:r>
          </w:p>
        </w:tc>
        <w:tc>
          <w:tcPr>
            <w:tcW w:w="1200" w:type="dxa"/>
            <w:tcBorders>
              <w:left w:val="nil"/>
              <w:right w:val="nil"/>
            </w:tcBorders>
          </w:tcPr>
          <w:p w14:paraId="4F042C8D" w14:textId="67DEC8CE" w:rsidR="00BB00D0" w:rsidRPr="00C50894" w:rsidRDefault="006D61A2" w:rsidP="00B501FA">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10</w:t>
            </w:r>
            <w:r>
              <w:rPr>
                <w:rFonts w:ascii="Times New Roman" w:hAnsi="Times New Roman"/>
                <w:sz w:val="16"/>
                <w:szCs w:val="16"/>
                <w:lang w:eastAsia="zh-HK"/>
              </w:rPr>
              <w:t>0</w:t>
            </w:r>
            <w:r w:rsidR="00B501FA">
              <w:rPr>
                <w:rFonts w:ascii="Times New Roman" w:hAnsi="Times New Roman"/>
                <w:sz w:val="16"/>
                <w:szCs w:val="16"/>
                <w:lang w:eastAsia="zh-HK"/>
              </w:rPr>
              <w:t>9</w:t>
            </w:r>
          </w:p>
        </w:tc>
        <w:tc>
          <w:tcPr>
            <w:tcW w:w="1274" w:type="dxa"/>
            <w:tcBorders>
              <w:left w:val="nil"/>
              <w:right w:val="nil"/>
            </w:tcBorders>
          </w:tcPr>
          <w:p w14:paraId="6E2E09B7" w14:textId="503B95EB" w:rsidR="00BB00D0" w:rsidRPr="00B86E32" w:rsidRDefault="004E1219"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24</w:t>
            </w:r>
            <w:r>
              <w:rPr>
                <w:rFonts w:ascii="Times New Roman" w:hAnsi="Times New Roman"/>
                <w:sz w:val="16"/>
                <w:szCs w:val="16"/>
                <w:lang w:eastAsia="zh-HK"/>
              </w:rPr>
              <w:t>30</w:t>
            </w:r>
          </w:p>
        </w:tc>
        <w:tc>
          <w:tcPr>
            <w:tcW w:w="1104" w:type="dxa"/>
            <w:tcBorders>
              <w:left w:val="nil"/>
              <w:right w:val="nil"/>
            </w:tcBorders>
          </w:tcPr>
          <w:p w14:paraId="7737B247" w14:textId="184269CA" w:rsidR="00BB00D0" w:rsidRPr="00B86E32" w:rsidRDefault="00031FDE"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24</w:t>
            </w:r>
            <w:r>
              <w:rPr>
                <w:rFonts w:ascii="Times New Roman" w:hAnsi="Times New Roman"/>
                <w:sz w:val="16"/>
                <w:szCs w:val="16"/>
                <w:lang w:eastAsia="zh-HK"/>
              </w:rPr>
              <w:t>30</w:t>
            </w:r>
          </w:p>
        </w:tc>
        <w:tc>
          <w:tcPr>
            <w:tcW w:w="1221" w:type="dxa"/>
            <w:tcBorders>
              <w:left w:val="nil"/>
              <w:right w:val="nil"/>
            </w:tcBorders>
          </w:tcPr>
          <w:p w14:paraId="2EBF574A" w14:textId="14717B7E" w:rsidR="00BB00D0" w:rsidRPr="00B86E32" w:rsidRDefault="000676B7"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24</w:t>
            </w:r>
            <w:r>
              <w:rPr>
                <w:rFonts w:ascii="Times New Roman" w:hAnsi="Times New Roman"/>
                <w:sz w:val="16"/>
                <w:szCs w:val="16"/>
                <w:lang w:eastAsia="zh-HK"/>
              </w:rPr>
              <w:t>30</w:t>
            </w:r>
          </w:p>
        </w:tc>
      </w:tr>
      <w:tr w:rsidR="000676B7" w:rsidRPr="00F510DD" w14:paraId="324AF1FC" w14:textId="77777777" w:rsidTr="00BB00D0">
        <w:tc>
          <w:tcPr>
            <w:tcW w:w="4075" w:type="dxa"/>
            <w:tcBorders>
              <w:bottom w:val="single" w:sz="4" w:space="0" w:color="auto"/>
              <w:right w:val="nil"/>
            </w:tcBorders>
          </w:tcPr>
          <w:p w14:paraId="5CFD3766" w14:textId="77777777" w:rsidR="00BB00D0" w:rsidRPr="00C50894" w:rsidRDefault="00BB00D0" w:rsidP="00E908D3">
            <w:pPr>
              <w:spacing w:after="0" w:line="200" w:lineRule="exact"/>
              <w:rPr>
                <w:rFonts w:ascii="Times New Roman" w:hAnsi="Times New Roman"/>
                <w:sz w:val="16"/>
                <w:szCs w:val="16"/>
                <w:lang w:eastAsia="zh-HK"/>
              </w:rPr>
            </w:pPr>
            <w:r>
              <w:rPr>
                <w:rFonts w:ascii="Times New Roman" w:hAnsi="Times New Roman"/>
                <w:sz w:val="16"/>
                <w:szCs w:val="16"/>
                <w:lang w:eastAsia="zh-HK"/>
              </w:rPr>
              <w:t>R</w:t>
            </w:r>
            <w:r w:rsidRPr="003E7C25">
              <w:rPr>
                <w:rFonts w:ascii="Times New Roman" w:hAnsi="Times New Roman"/>
                <w:sz w:val="16"/>
                <w:szCs w:val="16"/>
                <w:vertAlign w:val="superscript"/>
                <w:lang w:eastAsia="zh-HK"/>
              </w:rPr>
              <w:t>2</w:t>
            </w:r>
          </w:p>
        </w:tc>
        <w:tc>
          <w:tcPr>
            <w:tcW w:w="1223" w:type="dxa"/>
            <w:tcBorders>
              <w:left w:val="nil"/>
              <w:bottom w:val="single" w:sz="4" w:space="0" w:color="auto"/>
              <w:right w:val="nil"/>
            </w:tcBorders>
          </w:tcPr>
          <w:p w14:paraId="79433CC3" w14:textId="056D9252" w:rsidR="00BB00D0" w:rsidRPr="00C50894" w:rsidRDefault="00DF2EDB" w:rsidP="00FF37E0">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FF37E0">
              <w:rPr>
                <w:rFonts w:ascii="Times New Roman" w:hAnsi="Times New Roman"/>
                <w:sz w:val="16"/>
                <w:szCs w:val="16"/>
                <w:lang w:eastAsia="zh-HK"/>
              </w:rPr>
              <w:t>684</w:t>
            </w:r>
          </w:p>
        </w:tc>
        <w:tc>
          <w:tcPr>
            <w:tcW w:w="1102" w:type="dxa"/>
            <w:tcBorders>
              <w:left w:val="nil"/>
              <w:bottom w:val="single" w:sz="4" w:space="0" w:color="auto"/>
              <w:right w:val="nil"/>
            </w:tcBorders>
          </w:tcPr>
          <w:p w14:paraId="237EF695" w14:textId="1A180E3A" w:rsidR="00BB00D0" w:rsidRPr="00C50894" w:rsidRDefault="00DF2EDB" w:rsidP="00FF37E0">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0.8</w:t>
            </w:r>
            <w:r w:rsidR="00FF37E0">
              <w:rPr>
                <w:rFonts w:ascii="Times New Roman" w:hAnsi="Times New Roman"/>
                <w:sz w:val="16"/>
                <w:szCs w:val="16"/>
                <w:lang w:eastAsia="zh-HK"/>
              </w:rPr>
              <w:t>82</w:t>
            </w:r>
          </w:p>
        </w:tc>
        <w:tc>
          <w:tcPr>
            <w:tcW w:w="1200" w:type="dxa"/>
            <w:tcBorders>
              <w:left w:val="nil"/>
              <w:bottom w:val="single" w:sz="4" w:space="0" w:color="auto"/>
              <w:right w:val="nil"/>
            </w:tcBorders>
          </w:tcPr>
          <w:p w14:paraId="58C681C7" w14:textId="554B0724" w:rsidR="00BB00D0" w:rsidRPr="00C50894" w:rsidRDefault="006D61A2" w:rsidP="00B501FA">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B501FA">
              <w:rPr>
                <w:rFonts w:ascii="Times New Roman" w:hAnsi="Times New Roman"/>
                <w:sz w:val="16"/>
                <w:szCs w:val="16"/>
                <w:lang w:eastAsia="zh-HK"/>
              </w:rPr>
              <w:t>657</w:t>
            </w:r>
          </w:p>
        </w:tc>
        <w:tc>
          <w:tcPr>
            <w:tcW w:w="1274" w:type="dxa"/>
            <w:tcBorders>
              <w:left w:val="nil"/>
              <w:bottom w:val="single" w:sz="4" w:space="0" w:color="auto"/>
              <w:right w:val="nil"/>
            </w:tcBorders>
          </w:tcPr>
          <w:p w14:paraId="526D8C5A" w14:textId="15A235DB" w:rsidR="00BB00D0" w:rsidRPr="004B283F" w:rsidRDefault="004E1219" w:rsidP="00BB5EB8">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BB5EB8">
              <w:rPr>
                <w:rFonts w:ascii="Times New Roman" w:hAnsi="Times New Roman"/>
                <w:sz w:val="16"/>
                <w:szCs w:val="16"/>
                <w:lang w:eastAsia="zh-HK"/>
              </w:rPr>
              <w:t>616</w:t>
            </w:r>
          </w:p>
        </w:tc>
        <w:tc>
          <w:tcPr>
            <w:tcW w:w="1104" w:type="dxa"/>
            <w:tcBorders>
              <w:left w:val="nil"/>
              <w:bottom w:val="single" w:sz="4" w:space="0" w:color="auto"/>
              <w:right w:val="nil"/>
            </w:tcBorders>
          </w:tcPr>
          <w:p w14:paraId="4FAE4976" w14:textId="7BB4E2C8" w:rsidR="00BB00D0" w:rsidRPr="00916356" w:rsidRDefault="00BB5EB8" w:rsidP="00BB5EB8">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0.901</w:t>
            </w:r>
          </w:p>
        </w:tc>
        <w:tc>
          <w:tcPr>
            <w:tcW w:w="1221" w:type="dxa"/>
            <w:tcBorders>
              <w:left w:val="nil"/>
              <w:bottom w:val="single" w:sz="4" w:space="0" w:color="auto"/>
              <w:right w:val="nil"/>
            </w:tcBorders>
          </w:tcPr>
          <w:p w14:paraId="6C451BDE" w14:textId="08F471B9" w:rsidR="00BB00D0" w:rsidRPr="00F510DD" w:rsidRDefault="00BF4410" w:rsidP="00BF4410">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0.727</w:t>
            </w:r>
          </w:p>
        </w:tc>
      </w:tr>
      <w:tr w:rsidR="00BB00D0" w:rsidRPr="00F510DD" w14:paraId="77551B1C" w14:textId="77777777" w:rsidTr="00E908D3">
        <w:tc>
          <w:tcPr>
            <w:tcW w:w="11199" w:type="dxa"/>
            <w:gridSpan w:val="7"/>
            <w:tcBorders>
              <w:top w:val="single" w:sz="4" w:space="0" w:color="auto"/>
              <w:bottom w:val="single" w:sz="4" w:space="0" w:color="auto"/>
              <w:right w:val="nil"/>
            </w:tcBorders>
          </w:tcPr>
          <w:p w14:paraId="4B3F0D31" w14:textId="492FF65E" w:rsidR="00BB00D0" w:rsidRPr="00B86E32" w:rsidRDefault="00BB00D0" w:rsidP="00BB00D0">
            <w:pPr>
              <w:spacing w:after="0" w:line="200" w:lineRule="exact"/>
              <w:rPr>
                <w:rFonts w:ascii="Times New Roman" w:eastAsiaTheme="minorEastAsia" w:hAnsi="Times New Roman"/>
                <w:sz w:val="16"/>
                <w:szCs w:val="16"/>
                <w:lang w:eastAsia="zh-HK"/>
              </w:rPr>
            </w:pPr>
            <w:r>
              <w:rPr>
                <w:rFonts w:ascii="Times New Roman" w:hAnsi="Times New Roman"/>
                <w:sz w:val="16"/>
                <w:szCs w:val="16"/>
                <w:lang w:eastAsia="zh-HK"/>
              </w:rPr>
              <w:t xml:space="preserve">The table above reports the result of running the baseline regression on U.S. insurers and non U.S. insurers separately. MES, SRISK and </w:t>
            </w: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are computed with the World </w:t>
            </w:r>
            <w:proofErr w:type="spellStart"/>
            <w:r>
              <w:rPr>
                <w:rFonts w:ascii="Times New Roman" w:hAnsi="Times New Roman"/>
                <w:sz w:val="16"/>
                <w:szCs w:val="16"/>
                <w:lang w:eastAsia="zh-HK"/>
              </w:rPr>
              <w:t>Datastream</w:t>
            </w:r>
            <w:proofErr w:type="spellEnd"/>
            <w:r>
              <w:rPr>
                <w:rFonts w:ascii="Times New Roman" w:hAnsi="Times New Roman"/>
                <w:sz w:val="16"/>
                <w:szCs w:val="16"/>
                <w:lang w:eastAsia="zh-HK"/>
              </w:rPr>
              <w:t xml:space="preserve"> Financial Index as proxy for market index. </w:t>
            </w:r>
            <w:r w:rsidR="00DF2EDB">
              <w:rPr>
                <w:rFonts w:ascii="Times New Roman" w:hAnsi="Times New Roman"/>
                <w:sz w:val="16"/>
                <w:szCs w:val="16"/>
                <w:lang w:eastAsia="zh-HK"/>
              </w:rPr>
              <w:t>Firm fixed effects</w:t>
            </w:r>
            <w:r>
              <w:rPr>
                <w:rFonts w:ascii="Times New Roman" w:hAnsi="Times New Roman"/>
                <w:sz w:val="16"/>
                <w:szCs w:val="16"/>
                <w:lang w:eastAsia="zh-HK"/>
              </w:rPr>
              <w:t xml:space="preserve"> and time</w:t>
            </w:r>
            <w:r w:rsidRPr="00716971">
              <w:rPr>
                <w:rFonts w:ascii="Times New Roman" w:hAnsi="Times New Roman"/>
                <w:sz w:val="16"/>
                <w:szCs w:val="16"/>
                <w:lang w:eastAsia="zh-HK"/>
              </w:rPr>
              <w:t xml:space="preserve"> fixed effects are included</w:t>
            </w:r>
            <w:r>
              <w:rPr>
                <w:rFonts w:ascii="Times New Roman" w:hAnsi="Times New Roman"/>
                <w:sz w:val="16"/>
                <w:szCs w:val="16"/>
                <w:lang w:eastAsia="zh-HK"/>
              </w:rPr>
              <w:t>. Standard errors are clustered at the country level</w:t>
            </w:r>
            <w:r w:rsidRPr="00716971">
              <w:rPr>
                <w:rFonts w:ascii="Times New Roman" w:hAnsi="Times New Roman"/>
                <w:sz w:val="16"/>
                <w:szCs w:val="16"/>
                <w:lang w:eastAsia="zh-HK"/>
              </w:rPr>
              <w:t xml:space="preserve"> </w:t>
            </w:r>
            <w:r>
              <w:rPr>
                <w:rFonts w:ascii="Times New Roman" w:hAnsi="Times New Roman"/>
                <w:sz w:val="16"/>
                <w:szCs w:val="16"/>
                <w:lang w:eastAsia="zh-HK"/>
              </w:rPr>
              <w:t xml:space="preserve">for regressions on non U.S. insurers and at the insurer level for regressions on U.S. insurers. </w:t>
            </w:r>
            <w:r w:rsidRPr="00716971">
              <w:rPr>
                <w:rFonts w:ascii="Times New Roman" w:hAnsi="Times New Roman"/>
                <w:sz w:val="16"/>
                <w:szCs w:val="16"/>
                <w:lang w:eastAsia="zh-HK"/>
              </w:rPr>
              <w:t>t-statistics are reported in parentheses; *, **, and *** indicate significance at the 10%, 5% and 1% levels respectively.</w:t>
            </w:r>
            <w:r>
              <w:rPr>
                <w:rFonts w:ascii="Times New Roman" w:hAnsi="Times New Roman"/>
                <w:sz w:val="16"/>
                <w:szCs w:val="16"/>
                <w:lang w:eastAsia="zh-HK"/>
              </w:rPr>
              <w:t xml:space="preserve"> </w:t>
            </w:r>
            <w:r w:rsidRPr="00B86E32">
              <w:rPr>
                <w:rFonts w:ascii="Times New Roman" w:hAnsi="Times New Roman"/>
                <w:sz w:val="16"/>
                <w:szCs w:val="16"/>
                <w:lang w:eastAsia="zh-HK"/>
              </w:rPr>
              <w:t>The</w:t>
            </w:r>
            <w:r>
              <w:rPr>
                <w:rFonts w:ascii="Times New Roman" w:hAnsi="Times New Roman"/>
                <w:sz w:val="16"/>
                <w:szCs w:val="16"/>
                <w:lang w:eastAsia="zh-HK"/>
              </w:rPr>
              <w:t xml:space="preserve"> </w:t>
            </w:r>
            <w:r w:rsidRPr="00B86E32">
              <w:rPr>
                <w:rFonts w:ascii="Times New Roman" w:hAnsi="Times New Roman"/>
                <w:sz w:val="16"/>
                <w:szCs w:val="16"/>
                <w:lang w:eastAsia="zh-HK"/>
              </w:rPr>
              <w:t xml:space="preserve">variables are </w:t>
            </w:r>
            <w:r>
              <w:rPr>
                <w:rFonts w:ascii="Times New Roman" w:hAnsi="Times New Roman"/>
                <w:sz w:val="16"/>
                <w:szCs w:val="16"/>
                <w:lang w:eastAsia="zh-HK"/>
              </w:rPr>
              <w:t>defined</w:t>
            </w:r>
            <w:r w:rsidRPr="00B86E32">
              <w:rPr>
                <w:rFonts w:ascii="Times New Roman" w:hAnsi="Times New Roman"/>
                <w:sz w:val="16"/>
                <w:szCs w:val="16"/>
                <w:lang w:eastAsia="zh-HK"/>
              </w:rPr>
              <w:t xml:space="preserve"> in Table </w:t>
            </w:r>
            <w:r>
              <w:rPr>
                <w:rFonts w:ascii="Times New Roman" w:eastAsiaTheme="minorEastAsia" w:hAnsi="Times New Roman" w:hint="eastAsia"/>
                <w:sz w:val="16"/>
                <w:szCs w:val="16"/>
                <w:lang w:eastAsia="zh-HK"/>
              </w:rPr>
              <w:t>II</w:t>
            </w:r>
            <w:r w:rsidRPr="00B86E32">
              <w:rPr>
                <w:rFonts w:ascii="Times New Roman" w:hAnsi="Times New Roman"/>
                <w:sz w:val="16"/>
                <w:szCs w:val="16"/>
                <w:lang w:eastAsia="zh-HK"/>
              </w:rPr>
              <w:t>.</w:t>
            </w:r>
          </w:p>
          <w:p w14:paraId="70AB5126" w14:textId="77777777" w:rsidR="00BB00D0" w:rsidRDefault="00BB00D0" w:rsidP="00E908D3">
            <w:pPr>
              <w:spacing w:after="0" w:line="200" w:lineRule="exact"/>
              <w:jc w:val="center"/>
              <w:rPr>
                <w:rFonts w:ascii="Times New Roman" w:hAnsi="Times New Roman"/>
                <w:sz w:val="16"/>
                <w:szCs w:val="16"/>
                <w:lang w:eastAsia="zh-HK"/>
              </w:rPr>
            </w:pPr>
          </w:p>
        </w:tc>
      </w:tr>
    </w:tbl>
    <w:p w14:paraId="123608D6" w14:textId="77777777" w:rsidR="00BA6FB5" w:rsidRDefault="00BA6FB5">
      <w:pPr>
        <w:spacing w:after="0" w:line="240" w:lineRule="auto"/>
        <w:rPr>
          <w:rFonts w:ascii="Times New Roman" w:eastAsiaTheme="minorEastAsia" w:hAnsi="Times New Roman"/>
          <w:b/>
          <w:sz w:val="16"/>
          <w:szCs w:val="16"/>
          <w:lang w:eastAsia="zh-HK"/>
        </w:rPr>
      </w:pPr>
    </w:p>
    <w:p w14:paraId="690630D9" w14:textId="77777777" w:rsidR="00BA6FB5" w:rsidRDefault="00BA6FB5">
      <w:pPr>
        <w:spacing w:after="0" w:line="240" w:lineRule="auto"/>
        <w:rPr>
          <w:rFonts w:ascii="Times New Roman" w:eastAsiaTheme="minorEastAsia" w:hAnsi="Times New Roman"/>
          <w:b/>
          <w:sz w:val="16"/>
          <w:szCs w:val="16"/>
          <w:lang w:eastAsia="zh-HK"/>
        </w:rPr>
      </w:pPr>
    </w:p>
    <w:p w14:paraId="0B066D63" w14:textId="77777777" w:rsidR="00BA6FB5" w:rsidRDefault="00BA6FB5">
      <w:pPr>
        <w:spacing w:after="0" w:line="240" w:lineRule="auto"/>
        <w:rPr>
          <w:rFonts w:ascii="Times New Roman" w:eastAsiaTheme="minorEastAsia" w:hAnsi="Times New Roman"/>
          <w:b/>
          <w:sz w:val="16"/>
          <w:szCs w:val="16"/>
          <w:lang w:eastAsia="zh-HK"/>
        </w:rPr>
      </w:pPr>
    </w:p>
    <w:p w14:paraId="4BD41D8B" w14:textId="77777777" w:rsidR="00BA6FB5" w:rsidRDefault="00BA6FB5">
      <w:pPr>
        <w:spacing w:after="0" w:line="240" w:lineRule="auto"/>
        <w:rPr>
          <w:rFonts w:ascii="Times New Roman" w:eastAsiaTheme="minorEastAsia" w:hAnsi="Times New Roman"/>
          <w:b/>
          <w:sz w:val="16"/>
          <w:szCs w:val="16"/>
          <w:lang w:eastAsia="zh-HK"/>
        </w:rPr>
      </w:pPr>
    </w:p>
    <w:p w14:paraId="14151A96" w14:textId="77777777" w:rsidR="00BA6FB5" w:rsidRDefault="00BA6FB5">
      <w:pPr>
        <w:spacing w:after="0" w:line="240" w:lineRule="auto"/>
        <w:rPr>
          <w:rFonts w:ascii="Times New Roman" w:eastAsiaTheme="minorEastAsia" w:hAnsi="Times New Roman"/>
          <w:b/>
          <w:sz w:val="16"/>
          <w:szCs w:val="16"/>
          <w:lang w:eastAsia="zh-HK"/>
        </w:rPr>
      </w:pPr>
    </w:p>
    <w:p w14:paraId="79CE3F42" w14:textId="77777777" w:rsidR="00BA6FB5" w:rsidRDefault="00BA6FB5">
      <w:pPr>
        <w:spacing w:after="0" w:line="240" w:lineRule="auto"/>
        <w:rPr>
          <w:rFonts w:ascii="Times New Roman" w:eastAsiaTheme="minorEastAsia" w:hAnsi="Times New Roman"/>
          <w:b/>
          <w:sz w:val="16"/>
          <w:szCs w:val="16"/>
          <w:lang w:eastAsia="zh-HK"/>
        </w:rPr>
      </w:pPr>
    </w:p>
    <w:p w14:paraId="1E7734D7" w14:textId="3E678C92" w:rsidR="00BA6FB5" w:rsidRDefault="00BA6FB5" w:rsidP="00BA6FB5">
      <w:pPr>
        <w:spacing w:after="0" w:line="200" w:lineRule="exact"/>
        <w:jc w:val="center"/>
        <w:rPr>
          <w:rFonts w:ascii="Times New Roman" w:hAnsi="Times New Roman"/>
          <w:b/>
          <w:sz w:val="16"/>
          <w:szCs w:val="16"/>
          <w:lang w:eastAsia="zh-HK"/>
        </w:rPr>
      </w:pPr>
      <w:r w:rsidRPr="00716971">
        <w:rPr>
          <w:rFonts w:ascii="Times New Roman" w:hAnsi="Times New Roman"/>
          <w:b/>
          <w:sz w:val="16"/>
          <w:szCs w:val="16"/>
          <w:lang w:eastAsia="zh-HK"/>
        </w:rPr>
        <w:lastRenderedPageBreak/>
        <w:t xml:space="preserve">Table </w:t>
      </w:r>
      <w:r>
        <w:rPr>
          <w:rFonts w:ascii="Times New Roman" w:hAnsi="Times New Roman"/>
          <w:b/>
          <w:sz w:val="16"/>
          <w:szCs w:val="16"/>
          <w:lang w:eastAsia="zh-HK"/>
        </w:rPr>
        <w:t>X</w:t>
      </w:r>
      <w:r>
        <w:rPr>
          <w:rFonts w:ascii="Times New Roman" w:eastAsiaTheme="minorEastAsia" w:hAnsi="Times New Roman" w:hint="eastAsia"/>
          <w:b/>
          <w:sz w:val="16"/>
          <w:szCs w:val="16"/>
          <w:lang w:eastAsia="zh-HK"/>
        </w:rPr>
        <w:t xml:space="preserve">. </w:t>
      </w:r>
      <w:r>
        <w:rPr>
          <w:rFonts w:ascii="Times New Roman" w:hAnsi="Times New Roman"/>
          <w:b/>
          <w:sz w:val="16"/>
          <w:szCs w:val="16"/>
          <w:lang w:eastAsia="zh-HK"/>
        </w:rPr>
        <w:t>Regression of systemic risks</w:t>
      </w:r>
      <w:r w:rsidR="00C31D1F">
        <w:rPr>
          <w:rFonts w:ascii="Times New Roman" w:hAnsi="Times New Roman"/>
          <w:b/>
          <w:sz w:val="16"/>
          <w:szCs w:val="16"/>
          <w:lang w:eastAsia="zh-HK"/>
        </w:rPr>
        <w:t xml:space="preserve"> </w:t>
      </w:r>
      <w:r>
        <w:rPr>
          <w:rFonts w:ascii="Times New Roman" w:hAnsi="Times New Roman"/>
          <w:b/>
          <w:sz w:val="16"/>
          <w:szCs w:val="16"/>
          <w:lang w:eastAsia="zh-HK"/>
        </w:rPr>
        <w:t>with focus on large insurers instead of G-SIIs</w:t>
      </w:r>
    </w:p>
    <w:p w14:paraId="27642809" w14:textId="77777777" w:rsidR="00BB316F" w:rsidRDefault="00BB316F" w:rsidP="00BA6FB5">
      <w:pPr>
        <w:spacing w:after="0" w:line="200" w:lineRule="exact"/>
        <w:jc w:val="center"/>
        <w:rPr>
          <w:rFonts w:ascii="Times New Roman" w:hAnsi="Times New Roman"/>
          <w:b/>
          <w:sz w:val="16"/>
          <w:szCs w:val="16"/>
          <w:lang w:eastAsia="zh-HK"/>
        </w:rPr>
      </w:pPr>
    </w:p>
    <w:tbl>
      <w:tblPr>
        <w:tblStyle w:val="TableGrid"/>
        <w:tblW w:w="11199" w:type="dxa"/>
        <w:tblInd w:w="-19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1223"/>
        <w:gridCol w:w="1102"/>
        <w:gridCol w:w="1200"/>
        <w:gridCol w:w="1274"/>
        <w:gridCol w:w="1104"/>
        <w:gridCol w:w="1221"/>
      </w:tblGrid>
      <w:tr w:rsidR="00E27841" w:rsidRPr="00C50894" w14:paraId="6AC2D898" w14:textId="77777777" w:rsidTr="006211F5">
        <w:tc>
          <w:tcPr>
            <w:tcW w:w="4075" w:type="dxa"/>
            <w:tcBorders>
              <w:top w:val="single" w:sz="4" w:space="0" w:color="auto"/>
              <w:bottom w:val="nil"/>
              <w:right w:val="nil"/>
            </w:tcBorders>
          </w:tcPr>
          <w:p w14:paraId="456F4CE4" w14:textId="1AB2337A" w:rsidR="00BB316F" w:rsidRPr="00C50894" w:rsidRDefault="00BD467D" w:rsidP="00E908D3">
            <w:pPr>
              <w:spacing w:after="0" w:line="200" w:lineRule="exact"/>
              <w:jc w:val="center"/>
              <w:rPr>
                <w:rFonts w:ascii="Times New Roman" w:hAnsi="Times New Roman"/>
                <w:sz w:val="20"/>
                <w:szCs w:val="20"/>
              </w:rPr>
            </w:pPr>
            <w:r w:rsidRPr="00B86E32">
              <w:rPr>
                <w:rFonts w:ascii="Times New Roman" w:hAnsi="Times New Roman"/>
                <w:b/>
                <w:sz w:val="16"/>
                <w:szCs w:val="16"/>
                <w:lang w:eastAsia="zh-HK"/>
              </w:rPr>
              <w:br w:type="page"/>
            </w:r>
          </w:p>
        </w:tc>
        <w:tc>
          <w:tcPr>
            <w:tcW w:w="3525" w:type="dxa"/>
            <w:gridSpan w:val="3"/>
            <w:tcBorders>
              <w:top w:val="single" w:sz="4" w:space="0" w:color="auto"/>
              <w:left w:val="nil"/>
              <w:bottom w:val="single" w:sz="4" w:space="0" w:color="auto"/>
              <w:right w:val="nil"/>
            </w:tcBorders>
          </w:tcPr>
          <w:p w14:paraId="59E58E89" w14:textId="5AB9A30A" w:rsidR="00BB316F" w:rsidRPr="00886D94" w:rsidRDefault="00BB316F" w:rsidP="00E908D3">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Define large insurers based on total assets</w:t>
            </w:r>
          </w:p>
        </w:tc>
        <w:tc>
          <w:tcPr>
            <w:tcW w:w="3599" w:type="dxa"/>
            <w:gridSpan w:val="3"/>
            <w:tcBorders>
              <w:top w:val="single" w:sz="4" w:space="0" w:color="auto"/>
              <w:left w:val="nil"/>
              <w:bottom w:val="single" w:sz="4" w:space="0" w:color="auto"/>
              <w:right w:val="nil"/>
            </w:tcBorders>
          </w:tcPr>
          <w:p w14:paraId="5699F117" w14:textId="4D51D4ED" w:rsidR="00BB316F" w:rsidRPr="00C50894" w:rsidRDefault="00BB316F" w:rsidP="009C053E">
            <w:pPr>
              <w:spacing w:after="0" w:line="200" w:lineRule="exact"/>
              <w:jc w:val="center"/>
              <w:rPr>
                <w:rFonts w:ascii="Times New Roman" w:hAnsi="Times New Roman"/>
                <w:sz w:val="16"/>
                <w:szCs w:val="16"/>
              </w:rPr>
            </w:pPr>
            <w:r>
              <w:rPr>
                <w:rFonts w:ascii="Times New Roman" w:hAnsi="Times New Roman"/>
                <w:sz w:val="16"/>
                <w:szCs w:val="16"/>
              </w:rPr>
              <w:t xml:space="preserve">Define large insurers based on </w:t>
            </w:r>
            <w:r w:rsidR="009C053E">
              <w:rPr>
                <w:rFonts w:ascii="Times New Roman" w:hAnsi="Times New Roman"/>
                <w:sz w:val="16"/>
                <w:szCs w:val="16"/>
              </w:rPr>
              <w:t>insurance reserves</w:t>
            </w:r>
          </w:p>
        </w:tc>
      </w:tr>
      <w:tr w:rsidR="006211F5" w:rsidRPr="00C50894" w14:paraId="08242D9F" w14:textId="77777777" w:rsidTr="006211F5">
        <w:tc>
          <w:tcPr>
            <w:tcW w:w="4075" w:type="dxa"/>
            <w:tcBorders>
              <w:top w:val="nil"/>
              <w:bottom w:val="nil"/>
              <w:right w:val="nil"/>
            </w:tcBorders>
          </w:tcPr>
          <w:p w14:paraId="0556CC9B" w14:textId="77777777" w:rsidR="006211F5" w:rsidRPr="00B86E32" w:rsidRDefault="006211F5" w:rsidP="00E908D3">
            <w:pPr>
              <w:spacing w:after="0" w:line="200" w:lineRule="exact"/>
              <w:jc w:val="center"/>
              <w:rPr>
                <w:rFonts w:ascii="Times New Roman" w:hAnsi="Times New Roman"/>
                <w:b/>
                <w:sz w:val="16"/>
                <w:szCs w:val="16"/>
                <w:lang w:eastAsia="zh-HK"/>
              </w:rPr>
            </w:pPr>
          </w:p>
        </w:tc>
        <w:tc>
          <w:tcPr>
            <w:tcW w:w="7124" w:type="dxa"/>
            <w:gridSpan w:val="6"/>
            <w:tcBorders>
              <w:top w:val="single" w:sz="4" w:space="0" w:color="auto"/>
              <w:left w:val="nil"/>
              <w:bottom w:val="single" w:sz="4" w:space="0" w:color="auto"/>
              <w:right w:val="nil"/>
            </w:tcBorders>
          </w:tcPr>
          <w:p w14:paraId="43CF70B8" w14:textId="74A3BAA2" w:rsidR="006211F5" w:rsidRPr="006211F5" w:rsidRDefault="006211F5" w:rsidP="00E908D3">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Dependent variable</w:t>
            </w:r>
          </w:p>
        </w:tc>
      </w:tr>
      <w:tr w:rsidR="00303946" w:rsidRPr="00C50894" w14:paraId="47525E7D" w14:textId="77777777" w:rsidTr="006211F5">
        <w:tc>
          <w:tcPr>
            <w:tcW w:w="4075" w:type="dxa"/>
            <w:tcBorders>
              <w:top w:val="nil"/>
              <w:bottom w:val="nil"/>
              <w:right w:val="nil"/>
            </w:tcBorders>
          </w:tcPr>
          <w:p w14:paraId="4FFC25DF" w14:textId="77777777" w:rsidR="00BB316F" w:rsidRPr="00C50894" w:rsidRDefault="00BB316F" w:rsidP="00E908D3">
            <w:pPr>
              <w:spacing w:after="0" w:line="200" w:lineRule="exact"/>
              <w:jc w:val="center"/>
              <w:rPr>
                <w:rFonts w:ascii="Times New Roman" w:hAnsi="Times New Roman"/>
                <w:sz w:val="20"/>
                <w:szCs w:val="20"/>
              </w:rPr>
            </w:pPr>
          </w:p>
        </w:tc>
        <w:tc>
          <w:tcPr>
            <w:tcW w:w="1223" w:type="dxa"/>
            <w:tcBorders>
              <w:top w:val="single" w:sz="4" w:space="0" w:color="auto"/>
              <w:left w:val="nil"/>
              <w:bottom w:val="nil"/>
              <w:right w:val="nil"/>
            </w:tcBorders>
          </w:tcPr>
          <w:p w14:paraId="1745B002" w14:textId="77777777" w:rsidR="00BB316F" w:rsidRPr="00C50894" w:rsidRDefault="00BB316F" w:rsidP="00E908D3">
            <w:pPr>
              <w:spacing w:after="0" w:line="200" w:lineRule="exact"/>
              <w:jc w:val="center"/>
              <w:rPr>
                <w:rFonts w:ascii="Times New Roman" w:hAnsi="Times New Roman"/>
                <w:sz w:val="20"/>
                <w:szCs w:val="20"/>
              </w:rPr>
            </w:pPr>
            <w:r>
              <w:rPr>
                <w:rFonts w:ascii="Times New Roman" w:hAnsi="Times New Roman"/>
                <w:sz w:val="16"/>
                <w:szCs w:val="16"/>
              </w:rPr>
              <w:t>MES (%)</w:t>
            </w:r>
          </w:p>
        </w:tc>
        <w:tc>
          <w:tcPr>
            <w:tcW w:w="1102" w:type="dxa"/>
            <w:tcBorders>
              <w:top w:val="single" w:sz="4" w:space="0" w:color="auto"/>
              <w:left w:val="nil"/>
              <w:bottom w:val="nil"/>
              <w:right w:val="nil"/>
            </w:tcBorders>
          </w:tcPr>
          <w:p w14:paraId="677E07F4" w14:textId="77777777" w:rsidR="00BB316F" w:rsidRPr="00C50894" w:rsidRDefault="00BB316F" w:rsidP="00E908D3">
            <w:pPr>
              <w:spacing w:after="0" w:line="200" w:lineRule="exact"/>
              <w:jc w:val="center"/>
              <w:rPr>
                <w:rFonts w:ascii="Times New Roman" w:hAnsi="Times New Roman"/>
                <w:sz w:val="20"/>
                <w:szCs w:val="20"/>
              </w:rPr>
            </w:pPr>
            <w:r>
              <w:rPr>
                <w:rFonts w:ascii="Times New Roman" w:eastAsiaTheme="minorEastAsia" w:hAnsi="Times New Roman" w:hint="eastAsia"/>
                <w:sz w:val="16"/>
                <w:szCs w:val="16"/>
                <w:lang w:eastAsia="zh-TW"/>
              </w:rPr>
              <w:t>SRISK</w:t>
            </w:r>
            <w:r>
              <w:rPr>
                <w:rFonts w:ascii="Times New Roman" w:eastAsiaTheme="minorEastAsia" w:hAnsi="Times New Roman"/>
                <w:sz w:val="16"/>
                <w:szCs w:val="16"/>
                <w:lang w:eastAsia="zh-TW"/>
              </w:rPr>
              <w:t>(in billions)</w:t>
            </w:r>
          </w:p>
        </w:tc>
        <w:tc>
          <w:tcPr>
            <w:tcW w:w="1200" w:type="dxa"/>
            <w:tcBorders>
              <w:top w:val="single" w:sz="4" w:space="0" w:color="auto"/>
              <w:left w:val="nil"/>
              <w:bottom w:val="nil"/>
              <w:right w:val="nil"/>
            </w:tcBorders>
          </w:tcPr>
          <w:p w14:paraId="69040390" w14:textId="77777777" w:rsidR="00BB316F" w:rsidRPr="00C50894" w:rsidRDefault="00BB316F" w:rsidP="00E908D3">
            <w:pPr>
              <w:spacing w:after="0" w:line="200" w:lineRule="exact"/>
              <w:jc w:val="center"/>
              <w:rPr>
                <w:rFonts w:ascii="Times New Roman" w:hAnsi="Times New Roman"/>
                <w:sz w:val="20"/>
                <w:szCs w:val="20"/>
              </w:rPr>
            </w:pP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w:t>
            </w:r>
          </w:p>
        </w:tc>
        <w:tc>
          <w:tcPr>
            <w:tcW w:w="1274" w:type="dxa"/>
            <w:tcBorders>
              <w:top w:val="single" w:sz="4" w:space="0" w:color="auto"/>
              <w:left w:val="nil"/>
              <w:bottom w:val="nil"/>
              <w:right w:val="nil"/>
            </w:tcBorders>
          </w:tcPr>
          <w:p w14:paraId="5A09A90A" w14:textId="77777777" w:rsidR="00BB316F" w:rsidRPr="00C50894" w:rsidRDefault="00BB316F" w:rsidP="00E908D3">
            <w:pPr>
              <w:spacing w:after="0" w:line="200" w:lineRule="exact"/>
              <w:jc w:val="center"/>
              <w:rPr>
                <w:rFonts w:ascii="Times New Roman" w:hAnsi="Times New Roman"/>
                <w:sz w:val="12"/>
                <w:szCs w:val="12"/>
              </w:rPr>
            </w:pPr>
            <w:r>
              <w:rPr>
                <w:rFonts w:ascii="Times New Roman" w:hAnsi="Times New Roman"/>
                <w:sz w:val="16"/>
                <w:szCs w:val="16"/>
              </w:rPr>
              <w:t>MES (%)</w:t>
            </w:r>
          </w:p>
        </w:tc>
        <w:tc>
          <w:tcPr>
            <w:tcW w:w="1104" w:type="dxa"/>
            <w:tcBorders>
              <w:top w:val="single" w:sz="4" w:space="0" w:color="auto"/>
              <w:left w:val="nil"/>
              <w:bottom w:val="nil"/>
              <w:right w:val="nil"/>
            </w:tcBorders>
          </w:tcPr>
          <w:p w14:paraId="3FA6DCE5" w14:textId="77777777" w:rsidR="00BB316F" w:rsidRPr="00C50894" w:rsidRDefault="00BB316F" w:rsidP="00E908D3">
            <w:pPr>
              <w:spacing w:after="0" w:line="200" w:lineRule="exact"/>
              <w:jc w:val="center"/>
              <w:rPr>
                <w:rFonts w:ascii="Times New Roman" w:hAnsi="Times New Roman"/>
                <w:sz w:val="12"/>
                <w:szCs w:val="12"/>
              </w:rPr>
            </w:pPr>
            <w:r>
              <w:rPr>
                <w:rFonts w:ascii="Times New Roman" w:eastAsiaTheme="minorEastAsia" w:hAnsi="Times New Roman" w:hint="eastAsia"/>
                <w:sz w:val="16"/>
                <w:szCs w:val="16"/>
                <w:lang w:eastAsia="zh-TW"/>
              </w:rPr>
              <w:t>SRISK</w:t>
            </w:r>
            <w:r>
              <w:rPr>
                <w:rFonts w:ascii="Times New Roman" w:eastAsiaTheme="minorEastAsia" w:hAnsi="Times New Roman"/>
                <w:sz w:val="16"/>
                <w:szCs w:val="16"/>
                <w:lang w:eastAsia="zh-TW"/>
              </w:rPr>
              <w:t>(in billions)</w:t>
            </w:r>
          </w:p>
        </w:tc>
        <w:tc>
          <w:tcPr>
            <w:tcW w:w="1221" w:type="dxa"/>
            <w:tcBorders>
              <w:top w:val="single" w:sz="4" w:space="0" w:color="auto"/>
              <w:left w:val="nil"/>
              <w:bottom w:val="nil"/>
              <w:right w:val="nil"/>
            </w:tcBorders>
          </w:tcPr>
          <w:p w14:paraId="7F75051E" w14:textId="77777777" w:rsidR="00BB316F" w:rsidRPr="00C50894" w:rsidRDefault="00BB316F" w:rsidP="00E908D3">
            <w:pPr>
              <w:spacing w:after="0" w:line="200" w:lineRule="exact"/>
              <w:jc w:val="center"/>
              <w:rPr>
                <w:rFonts w:ascii="Times New Roman" w:hAnsi="Times New Roman"/>
                <w:sz w:val="16"/>
                <w:szCs w:val="16"/>
              </w:rPr>
            </w:pP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w:t>
            </w:r>
          </w:p>
        </w:tc>
      </w:tr>
      <w:tr w:rsidR="00303946" w:rsidRPr="00C50894" w14:paraId="3A7184EC" w14:textId="77777777" w:rsidTr="00E908D3">
        <w:tc>
          <w:tcPr>
            <w:tcW w:w="4075" w:type="dxa"/>
            <w:tcBorders>
              <w:top w:val="nil"/>
              <w:bottom w:val="single" w:sz="4" w:space="0" w:color="auto"/>
              <w:right w:val="nil"/>
            </w:tcBorders>
          </w:tcPr>
          <w:p w14:paraId="3DFFAE5D" w14:textId="77777777" w:rsidR="00BB316F" w:rsidRPr="00C50894" w:rsidRDefault="00BB316F" w:rsidP="00E908D3">
            <w:pPr>
              <w:spacing w:after="0" w:line="200" w:lineRule="exact"/>
              <w:jc w:val="center"/>
              <w:rPr>
                <w:rFonts w:ascii="Times New Roman" w:hAnsi="Times New Roman"/>
                <w:sz w:val="20"/>
                <w:szCs w:val="20"/>
              </w:rPr>
            </w:pPr>
          </w:p>
        </w:tc>
        <w:tc>
          <w:tcPr>
            <w:tcW w:w="1223" w:type="dxa"/>
            <w:tcBorders>
              <w:top w:val="nil"/>
              <w:left w:val="nil"/>
              <w:bottom w:val="single" w:sz="4" w:space="0" w:color="auto"/>
              <w:right w:val="nil"/>
            </w:tcBorders>
          </w:tcPr>
          <w:p w14:paraId="14D0EE2B" w14:textId="77777777" w:rsidR="00BB316F" w:rsidRPr="00C50894" w:rsidRDefault="00BB316F" w:rsidP="00E908D3">
            <w:pPr>
              <w:spacing w:after="0" w:line="200" w:lineRule="exact"/>
              <w:jc w:val="center"/>
              <w:rPr>
                <w:rFonts w:ascii="Times New Roman" w:hAnsi="Times New Roman"/>
                <w:sz w:val="20"/>
                <w:szCs w:val="20"/>
              </w:rPr>
            </w:pPr>
            <w:r w:rsidRPr="00716971">
              <w:rPr>
                <w:rFonts w:ascii="Times New Roman" w:hAnsi="Times New Roman"/>
                <w:sz w:val="16"/>
                <w:szCs w:val="16"/>
              </w:rPr>
              <w:t>(1)</w:t>
            </w:r>
          </w:p>
        </w:tc>
        <w:tc>
          <w:tcPr>
            <w:tcW w:w="1102" w:type="dxa"/>
            <w:tcBorders>
              <w:top w:val="nil"/>
              <w:left w:val="nil"/>
              <w:bottom w:val="single" w:sz="4" w:space="0" w:color="auto"/>
              <w:right w:val="nil"/>
            </w:tcBorders>
          </w:tcPr>
          <w:p w14:paraId="2E4DACEE" w14:textId="77777777" w:rsidR="00BB316F" w:rsidRPr="00C50894" w:rsidRDefault="00BB316F" w:rsidP="00E908D3">
            <w:pPr>
              <w:spacing w:after="0" w:line="200" w:lineRule="exact"/>
              <w:jc w:val="center"/>
              <w:rPr>
                <w:rFonts w:ascii="Times New Roman" w:hAnsi="Times New Roman"/>
                <w:sz w:val="20"/>
                <w:szCs w:val="20"/>
              </w:rPr>
            </w:pPr>
            <w:r w:rsidRPr="00716971">
              <w:rPr>
                <w:rFonts w:ascii="Times New Roman" w:hAnsi="Times New Roman"/>
                <w:sz w:val="16"/>
                <w:szCs w:val="16"/>
              </w:rPr>
              <w:t>(</w:t>
            </w:r>
            <w:r>
              <w:rPr>
                <w:rFonts w:ascii="Times New Roman" w:hAnsi="Times New Roman"/>
                <w:sz w:val="16"/>
                <w:szCs w:val="16"/>
              </w:rPr>
              <w:t>2</w:t>
            </w:r>
            <w:r w:rsidRPr="00716971">
              <w:rPr>
                <w:rFonts w:ascii="Times New Roman" w:hAnsi="Times New Roman"/>
                <w:sz w:val="16"/>
                <w:szCs w:val="16"/>
              </w:rPr>
              <w:t>)</w:t>
            </w:r>
          </w:p>
        </w:tc>
        <w:tc>
          <w:tcPr>
            <w:tcW w:w="1200" w:type="dxa"/>
            <w:tcBorders>
              <w:top w:val="nil"/>
              <w:left w:val="nil"/>
              <w:bottom w:val="single" w:sz="4" w:space="0" w:color="auto"/>
              <w:right w:val="nil"/>
            </w:tcBorders>
          </w:tcPr>
          <w:p w14:paraId="74F000F9" w14:textId="77777777" w:rsidR="00BB316F" w:rsidRPr="00C50894" w:rsidRDefault="00BB316F" w:rsidP="00E908D3">
            <w:pPr>
              <w:spacing w:after="0" w:line="200" w:lineRule="exact"/>
              <w:jc w:val="center"/>
              <w:rPr>
                <w:rFonts w:ascii="Times New Roman" w:hAnsi="Times New Roman"/>
                <w:sz w:val="20"/>
                <w:szCs w:val="20"/>
              </w:rPr>
            </w:pPr>
            <w:r w:rsidRPr="00716971">
              <w:rPr>
                <w:rFonts w:ascii="Times New Roman" w:hAnsi="Times New Roman"/>
                <w:sz w:val="16"/>
                <w:szCs w:val="16"/>
              </w:rPr>
              <w:t>(3)</w:t>
            </w:r>
          </w:p>
        </w:tc>
        <w:tc>
          <w:tcPr>
            <w:tcW w:w="1274" w:type="dxa"/>
            <w:tcBorders>
              <w:top w:val="nil"/>
              <w:left w:val="nil"/>
              <w:bottom w:val="single" w:sz="4" w:space="0" w:color="auto"/>
              <w:right w:val="nil"/>
            </w:tcBorders>
          </w:tcPr>
          <w:p w14:paraId="36623A7B" w14:textId="77777777" w:rsidR="00BB316F" w:rsidRPr="00C50894" w:rsidRDefault="00BB316F" w:rsidP="00E908D3">
            <w:pPr>
              <w:spacing w:after="0" w:line="200" w:lineRule="exact"/>
              <w:jc w:val="center"/>
              <w:rPr>
                <w:rFonts w:ascii="Times New Roman" w:hAnsi="Times New Roman"/>
                <w:sz w:val="16"/>
                <w:szCs w:val="16"/>
              </w:rPr>
            </w:pPr>
            <w:r w:rsidRPr="00716971">
              <w:rPr>
                <w:rFonts w:ascii="Times New Roman" w:hAnsi="Times New Roman"/>
                <w:sz w:val="16"/>
                <w:szCs w:val="16"/>
              </w:rPr>
              <w:t>(</w:t>
            </w:r>
            <w:r>
              <w:rPr>
                <w:rFonts w:ascii="Times New Roman" w:hAnsi="Times New Roman"/>
                <w:sz w:val="16"/>
                <w:szCs w:val="16"/>
              </w:rPr>
              <w:t>4</w:t>
            </w:r>
            <w:r w:rsidRPr="00716971">
              <w:rPr>
                <w:rFonts w:ascii="Times New Roman" w:hAnsi="Times New Roman"/>
                <w:sz w:val="16"/>
                <w:szCs w:val="16"/>
              </w:rPr>
              <w:t>)</w:t>
            </w:r>
          </w:p>
        </w:tc>
        <w:tc>
          <w:tcPr>
            <w:tcW w:w="1104" w:type="dxa"/>
            <w:tcBorders>
              <w:top w:val="nil"/>
              <w:left w:val="nil"/>
              <w:bottom w:val="single" w:sz="4" w:space="0" w:color="auto"/>
              <w:right w:val="nil"/>
            </w:tcBorders>
          </w:tcPr>
          <w:p w14:paraId="716A5B6B" w14:textId="77777777" w:rsidR="00BB316F" w:rsidRPr="00C50894" w:rsidRDefault="00BB316F" w:rsidP="00E908D3">
            <w:pPr>
              <w:spacing w:after="0" w:line="200" w:lineRule="exact"/>
              <w:jc w:val="center"/>
              <w:rPr>
                <w:rFonts w:ascii="Times New Roman" w:hAnsi="Times New Roman"/>
                <w:sz w:val="16"/>
                <w:szCs w:val="16"/>
              </w:rPr>
            </w:pPr>
            <w:r w:rsidRPr="00716971">
              <w:rPr>
                <w:rFonts w:ascii="Times New Roman" w:hAnsi="Times New Roman"/>
                <w:sz w:val="16"/>
                <w:szCs w:val="16"/>
              </w:rPr>
              <w:t>(</w:t>
            </w:r>
            <w:r>
              <w:rPr>
                <w:rFonts w:ascii="Times New Roman" w:hAnsi="Times New Roman"/>
                <w:sz w:val="16"/>
                <w:szCs w:val="16"/>
              </w:rPr>
              <w:t>5</w:t>
            </w:r>
            <w:r w:rsidRPr="00716971">
              <w:rPr>
                <w:rFonts w:ascii="Times New Roman" w:hAnsi="Times New Roman"/>
                <w:sz w:val="16"/>
                <w:szCs w:val="16"/>
              </w:rPr>
              <w:t>)</w:t>
            </w:r>
          </w:p>
        </w:tc>
        <w:tc>
          <w:tcPr>
            <w:tcW w:w="1221" w:type="dxa"/>
            <w:tcBorders>
              <w:top w:val="nil"/>
              <w:left w:val="nil"/>
              <w:bottom w:val="single" w:sz="4" w:space="0" w:color="auto"/>
              <w:right w:val="nil"/>
            </w:tcBorders>
          </w:tcPr>
          <w:p w14:paraId="184216CD" w14:textId="77777777" w:rsidR="00BB316F" w:rsidRPr="00C50894" w:rsidRDefault="00BB316F" w:rsidP="00E908D3">
            <w:pPr>
              <w:spacing w:after="0" w:line="200" w:lineRule="exact"/>
              <w:jc w:val="center"/>
              <w:rPr>
                <w:rFonts w:ascii="Times New Roman" w:hAnsi="Times New Roman"/>
                <w:sz w:val="16"/>
                <w:szCs w:val="16"/>
              </w:rPr>
            </w:pPr>
            <w:r w:rsidRPr="00716971">
              <w:rPr>
                <w:rFonts w:ascii="Times New Roman" w:hAnsi="Times New Roman"/>
                <w:sz w:val="16"/>
                <w:szCs w:val="16"/>
              </w:rPr>
              <w:t>(</w:t>
            </w:r>
            <w:r>
              <w:rPr>
                <w:rFonts w:ascii="Times New Roman" w:hAnsi="Times New Roman"/>
                <w:sz w:val="16"/>
                <w:szCs w:val="16"/>
              </w:rPr>
              <w:t>6</w:t>
            </w:r>
            <w:r w:rsidRPr="00716971">
              <w:rPr>
                <w:rFonts w:ascii="Times New Roman" w:hAnsi="Times New Roman"/>
                <w:sz w:val="16"/>
                <w:szCs w:val="16"/>
              </w:rPr>
              <w:t>)</w:t>
            </w:r>
          </w:p>
        </w:tc>
      </w:tr>
      <w:tr w:rsidR="00FC267B" w:rsidRPr="00627D7D" w14:paraId="1D6CC336" w14:textId="77777777" w:rsidTr="00FC7A46">
        <w:tc>
          <w:tcPr>
            <w:tcW w:w="4075" w:type="dxa"/>
            <w:tcBorders>
              <w:top w:val="single" w:sz="4" w:space="0" w:color="auto"/>
              <w:right w:val="nil"/>
            </w:tcBorders>
          </w:tcPr>
          <w:p w14:paraId="30053265" w14:textId="030274BD" w:rsidR="00FC267B" w:rsidRPr="00C50894" w:rsidRDefault="00FC267B" w:rsidP="00FC267B">
            <w:pPr>
              <w:spacing w:after="0" w:line="200" w:lineRule="exact"/>
              <w:rPr>
                <w:rFonts w:ascii="Times New Roman" w:hAnsi="Times New Roman"/>
                <w:sz w:val="20"/>
                <w:szCs w:val="20"/>
              </w:rPr>
            </w:pPr>
            <w:r>
              <w:rPr>
                <w:rFonts w:ascii="Times New Roman" w:eastAsiaTheme="minorEastAsia" w:hAnsi="Times New Roman" w:hint="eastAsia"/>
                <w:sz w:val="16"/>
                <w:szCs w:val="16"/>
                <w:lang w:eastAsia="zh-TW"/>
              </w:rPr>
              <w:t xml:space="preserve">Policy </w:t>
            </w:r>
            <w:r>
              <w:rPr>
                <w:rFonts w:ascii="Times New Roman" w:eastAsiaTheme="minorEastAsia" w:hAnsi="Times New Roman"/>
                <w:sz w:val="16"/>
                <w:szCs w:val="16"/>
                <w:lang w:eastAsia="zh-TW"/>
              </w:rPr>
              <w:t>x Large</w:t>
            </w:r>
          </w:p>
        </w:tc>
        <w:tc>
          <w:tcPr>
            <w:tcW w:w="1223" w:type="dxa"/>
            <w:tcBorders>
              <w:top w:val="single" w:sz="4" w:space="0" w:color="auto"/>
              <w:left w:val="nil"/>
              <w:right w:val="nil"/>
            </w:tcBorders>
            <w:vAlign w:val="center"/>
          </w:tcPr>
          <w:p w14:paraId="34F2BDE8"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-0.532*** </w:t>
            </w:r>
          </w:p>
          <w:p w14:paraId="6FC3EE57" w14:textId="429D5F69"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(-3</w:t>
            </w:r>
            <w:r>
              <w:rPr>
                <w:rFonts w:ascii="Times New Roman Uni" w:eastAsia="Times New Roman Uni" w:hAnsi="Times New Roman Uni" w:cs="Times New Roman Uni"/>
                <w:color w:val="000000"/>
                <w:sz w:val="16"/>
                <w:szCs w:val="16"/>
              </w:rPr>
              <w:t>.00</w:t>
            </w:r>
            <w:r>
              <w:rPr>
                <w:rFonts w:ascii="Times New Roman Uni" w:eastAsia="Times New Roman Uni" w:hAnsi="Times New Roman Uni" w:cs="Times New Roman Uni" w:hint="eastAsia"/>
                <w:color w:val="000000"/>
                <w:sz w:val="16"/>
                <w:szCs w:val="16"/>
              </w:rPr>
              <w:t>)</w:t>
            </w:r>
          </w:p>
        </w:tc>
        <w:tc>
          <w:tcPr>
            <w:tcW w:w="1102" w:type="dxa"/>
            <w:tcBorders>
              <w:top w:val="single" w:sz="4" w:space="0" w:color="auto"/>
              <w:left w:val="nil"/>
              <w:right w:val="nil"/>
            </w:tcBorders>
            <w:vAlign w:val="center"/>
          </w:tcPr>
          <w:p w14:paraId="4821955D" w14:textId="6FA757E4"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-2.133* (-1.75)</w:t>
            </w:r>
          </w:p>
        </w:tc>
        <w:tc>
          <w:tcPr>
            <w:tcW w:w="1200" w:type="dxa"/>
            <w:tcBorders>
              <w:top w:val="single" w:sz="4" w:space="0" w:color="auto"/>
              <w:left w:val="nil"/>
              <w:right w:val="nil"/>
            </w:tcBorders>
            <w:vAlign w:val="center"/>
          </w:tcPr>
          <w:p w14:paraId="49875EF2"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0.172** </w:t>
            </w:r>
          </w:p>
          <w:p w14:paraId="05C1718D" w14:textId="3A46CF31"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(2.57)</w:t>
            </w:r>
          </w:p>
        </w:tc>
        <w:tc>
          <w:tcPr>
            <w:tcW w:w="1274" w:type="dxa"/>
            <w:tcBorders>
              <w:top w:val="single" w:sz="4" w:space="0" w:color="auto"/>
              <w:left w:val="nil"/>
              <w:right w:val="nil"/>
            </w:tcBorders>
            <w:vAlign w:val="center"/>
          </w:tcPr>
          <w:p w14:paraId="0396E9CB"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-0.425** </w:t>
            </w:r>
          </w:p>
          <w:p w14:paraId="20D0BAD9" w14:textId="1E88DD1A"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(-2.56)</w:t>
            </w:r>
          </w:p>
        </w:tc>
        <w:tc>
          <w:tcPr>
            <w:tcW w:w="1104" w:type="dxa"/>
            <w:tcBorders>
              <w:top w:val="single" w:sz="4" w:space="0" w:color="auto"/>
              <w:left w:val="nil"/>
              <w:right w:val="nil"/>
            </w:tcBorders>
            <w:vAlign w:val="center"/>
          </w:tcPr>
          <w:p w14:paraId="55BC16D8" w14:textId="1E699D9B"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-1.883* (-1.73)</w:t>
            </w:r>
          </w:p>
        </w:tc>
        <w:tc>
          <w:tcPr>
            <w:tcW w:w="1221" w:type="dxa"/>
            <w:tcBorders>
              <w:top w:val="single" w:sz="4" w:space="0" w:color="auto"/>
              <w:left w:val="nil"/>
              <w:right w:val="nil"/>
            </w:tcBorders>
            <w:vAlign w:val="center"/>
          </w:tcPr>
          <w:p w14:paraId="328BECAC"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0.179** </w:t>
            </w:r>
          </w:p>
          <w:p w14:paraId="466B4CC4" w14:textId="7D409B1F"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(2.58)</w:t>
            </w:r>
          </w:p>
        </w:tc>
      </w:tr>
      <w:tr w:rsidR="00FC267B" w:rsidRPr="00627D7D" w14:paraId="77FFB7F5" w14:textId="77777777" w:rsidTr="00FC7A46">
        <w:tc>
          <w:tcPr>
            <w:tcW w:w="4075" w:type="dxa"/>
            <w:tcBorders>
              <w:right w:val="nil"/>
            </w:tcBorders>
          </w:tcPr>
          <w:p w14:paraId="7089B772" w14:textId="77777777" w:rsidR="00FC267B" w:rsidRPr="00C50894" w:rsidRDefault="00FC267B" w:rsidP="00FC267B">
            <w:pPr>
              <w:spacing w:after="0" w:line="200" w:lineRule="exact"/>
              <w:rPr>
                <w:rFonts w:ascii="Times New Roman" w:hAnsi="Times New Roman"/>
                <w:sz w:val="16"/>
                <w:szCs w:val="16"/>
                <w:lang w:eastAsia="zh-HK"/>
              </w:rPr>
            </w:pPr>
            <w:r w:rsidRPr="003E7C25">
              <w:rPr>
                <w:rFonts w:ascii="Times New Roman" w:hAnsi="Times New Roman"/>
                <w:sz w:val="16"/>
                <w:szCs w:val="16"/>
                <w:lang w:eastAsia="zh-HK"/>
              </w:rPr>
              <w:t>Log (Assets in billions)</w:t>
            </w:r>
          </w:p>
        </w:tc>
        <w:tc>
          <w:tcPr>
            <w:tcW w:w="1223" w:type="dxa"/>
            <w:tcBorders>
              <w:left w:val="nil"/>
              <w:right w:val="nil"/>
            </w:tcBorders>
            <w:vAlign w:val="center"/>
          </w:tcPr>
          <w:p w14:paraId="0E79CC1E"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0.217 </w:t>
            </w:r>
          </w:p>
          <w:p w14:paraId="7ADC6CA1" w14:textId="420AB292" w:rsidR="00FC267B" w:rsidRPr="002130BB"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102" w:type="dxa"/>
            <w:tcBorders>
              <w:left w:val="nil"/>
              <w:right w:val="nil"/>
            </w:tcBorders>
            <w:vAlign w:val="center"/>
          </w:tcPr>
          <w:p w14:paraId="3F425A4B" w14:textId="1ADD6AE5" w:rsidR="00FC267B" w:rsidRPr="00202215"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4.554** (2.34)</w:t>
            </w:r>
          </w:p>
        </w:tc>
        <w:tc>
          <w:tcPr>
            <w:tcW w:w="1200" w:type="dxa"/>
            <w:tcBorders>
              <w:left w:val="nil"/>
              <w:right w:val="nil"/>
            </w:tcBorders>
            <w:vAlign w:val="center"/>
          </w:tcPr>
          <w:p w14:paraId="51BFB9F1" w14:textId="097E32D5" w:rsidR="00FC267B" w:rsidRPr="00DE7955"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-0.176*** (-2.96)</w:t>
            </w:r>
          </w:p>
        </w:tc>
        <w:tc>
          <w:tcPr>
            <w:tcW w:w="1274" w:type="dxa"/>
            <w:tcBorders>
              <w:left w:val="nil"/>
              <w:right w:val="nil"/>
            </w:tcBorders>
            <w:vAlign w:val="center"/>
          </w:tcPr>
          <w:p w14:paraId="0A092D70"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0.226 </w:t>
            </w:r>
          </w:p>
          <w:p w14:paraId="048FB447" w14:textId="3F506395"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(1.35)</w:t>
            </w:r>
          </w:p>
        </w:tc>
        <w:tc>
          <w:tcPr>
            <w:tcW w:w="1104" w:type="dxa"/>
            <w:tcBorders>
              <w:left w:val="nil"/>
              <w:right w:val="nil"/>
            </w:tcBorders>
            <w:vAlign w:val="center"/>
          </w:tcPr>
          <w:p w14:paraId="764640AA"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4.59** </w:t>
            </w:r>
          </w:p>
          <w:p w14:paraId="61DDDB9E" w14:textId="4C8DC834"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(2.33)</w:t>
            </w:r>
          </w:p>
        </w:tc>
        <w:tc>
          <w:tcPr>
            <w:tcW w:w="1221" w:type="dxa"/>
            <w:tcBorders>
              <w:left w:val="nil"/>
              <w:right w:val="nil"/>
            </w:tcBorders>
            <w:vAlign w:val="center"/>
          </w:tcPr>
          <w:p w14:paraId="6B7B65DD" w14:textId="0A1A4FD1"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-0.179*** (-3.08)</w:t>
            </w:r>
          </w:p>
        </w:tc>
      </w:tr>
      <w:tr w:rsidR="00FC267B" w:rsidRPr="00627D7D" w14:paraId="14281445" w14:textId="77777777" w:rsidTr="00FC7A46">
        <w:tc>
          <w:tcPr>
            <w:tcW w:w="4075" w:type="dxa"/>
            <w:tcBorders>
              <w:right w:val="nil"/>
            </w:tcBorders>
          </w:tcPr>
          <w:p w14:paraId="284128C4" w14:textId="77777777" w:rsidR="00FC267B" w:rsidRPr="00C50894" w:rsidRDefault="00FC267B" w:rsidP="00FC267B">
            <w:pPr>
              <w:spacing w:after="0" w:line="200" w:lineRule="exact"/>
              <w:rPr>
                <w:rFonts w:ascii="Times New Roman" w:hAnsi="Times New Roman"/>
                <w:sz w:val="20"/>
                <w:szCs w:val="20"/>
              </w:rPr>
            </w:pPr>
            <w:r w:rsidRPr="003E7C25">
              <w:rPr>
                <w:rFonts w:ascii="Times New Roman" w:hAnsi="Times New Roman"/>
                <w:sz w:val="16"/>
                <w:szCs w:val="16"/>
              </w:rPr>
              <w:t>Leverage</w:t>
            </w:r>
          </w:p>
        </w:tc>
        <w:tc>
          <w:tcPr>
            <w:tcW w:w="1223" w:type="dxa"/>
            <w:tcBorders>
              <w:left w:val="nil"/>
              <w:right w:val="nil"/>
            </w:tcBorders>
            <w:vAlign w:val="center"/>
          </w:tcPr>
          <w:p w14:paraId="4AFBDB22" w14:textId="629FD5FE"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0.029*** (10.48)</w:t>
            </w:r>
          </w:p>
        </w:tc>
        <w:tc>
          <w:tcPr>
            <w:tcW w:w="1102" w:type="dxa"/>
            <w:tcBorders>
              <w:left w:val="nil"/>
              <w:right w:val="nil"/>
            </w:tcBorders>
            <w:vAlign w:val="center"/>
          </w:tcPr>
          <w:p w14:paraId="5203EEAD" w14:textId="1F17A6D1"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0.207*** (4.49)</w:t>
            </w:r>
          </w:p>
        </w:tc>
        <w:tc>
          <w:tcPr>
            <w:tcW w:w="1200" w:type="dxa"/>
            <w:tcBorders>
              <w:left w:val="nil"/>
              <w:right w:val="nil"/>
            </w:tcBorders>
            <w:vAlign w:val="center"/>
          </w:tcPr>
          <w:p w14:paraId="3DBDF82E"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0.002** </w:t>
            </w:r>
          </w:p>
          <w:p w14:paraId="18B4AEDE" w14:textId="2F507C51"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(2.08)</w:t>
            </w:r>
          </w:p>
        </w:tc>
        <w:tc>
          <w:tcPr>
            <w:tcW w:w="1274" w:type="dxa"/>
            <w:tcBorders>
              <w:left w:val="nil"/>
              <w:right w:val="nil"/>
            </w:tcBorders>
            <w:vAlign w:val="center"/>
          </w:tcPr>
          <w:p w14:paraId="6E2BA227" w14:textId="1BA5A910"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0.029*** (10.18)</w:t>
            </w:r>
          </w:p>
        </w:tc>
        <w:tc>
          <w:tcPr>
            <w:tcW w:w="1104" w:type="dxa"/>
            <w:tcBorders>
              <w:left w:val="nil"/>
              <w:right w:val="nil"/>
            </w:tcBorders>
            <w:vAlign w:val="center"/>
          </w:tcPr>
          <w:p w14:paraId="4D172F5A" w14:textId="54E3CCB7"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0.206*** (4.42)</w:t>
            </w:r>
          </w:p>
        </w:tc>
        <w:tc>
          <w:tcPr>
            <w:tcW w:w="1221" w:type="dxa"/>
            <w:tcBorders>
              <w:left w:val="nil"/>
              <w:right w:val="nil"/>
            </w:tcBorders>
            <w:vAlign w:val="center"/>
          </w:tcPr>
          <w:p w14:paraId="6307DD26"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0.002** </w:t>
            </w:r>
          </w:p>
          <w:p w14:paraId="11F8E2F9" w14:textId="30D7D4B4"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(2.24)</w:t>
            </w:r>
          </w:p>
        </w:tc>
      </w:tr>
      <w:tr w:rsidR="00FC267B" w:rsidRPr="00627D7D" w14:paraId="01129D19" w14:textId="77777777" w:rsidTr="00FC7A46">
        <w:tc>
          <w:tcPr>
            <w:tcW w:w="4075" w:type="dxa"/>
            <w:tcBorders>
              <w:right w:val="nil"/>
            </w:tcBorders>
          </w:tcPr>
          <w:p w14:paraId="609E5C2D" w14:textId="77777777" w:rsidR="00FC267B" w:rsidRPr="00C50894" w:rsidRDefault="00FC267B" w:rsidP="00FC267B">
            <w:pPr>
              <w:spacing w:after="0" w:line="200" w:lineRule="exact"/>
              <w:rPr>
                <w:rFonts w:ascii="Times New Roman" w:hAnsi="Times New Roman"/>
                <w:sz w:val="20"/>
                <w:szCs w:val="20"/>
              </w:rPr>
            </w:pPr>
            <w:r w:rsidRPr="003E7C25">
              <w:rPr>
                <w:rFonts w:ascii="Times New Roman" w:hAnsi="Times New Roman"/>
                <w:sz w:val="16"/>
                <w:szCs w:val="16"/>
              </w:rPr>
              <w:t>Non-insurance activities</w:t>
            </w:r>
          </w:p>
        </w:tc>
        <w:tc>
          <w:tcPr>
            <w:tcW w:w="1223" w:type="dxa"/>
            <w:tcBorders>
              <w:left w:val="nil"/>
              <w:right w:val="nil"/>
            </w:tcBorders>
            <w:vAlign w:val="center"/>
          </w:tcPr>
          <w:p w14:paraId="2945E73D"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-0.024 </w:t>
            </w:r>
          </w:p>
          <w:p w14:paraId="48E11F1C" w14:textId="7FAD6A0D"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(-0.2</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102" w:type="dxa"/>
            <w:tcBorders>
              <w:left w:val="nil"/>
              <w:right w:val="nil"/>
            </w:tcBorders>
            <w:vAlign w:val="center"/>
          </w:tcPr>
          <w:p w14:paraId="7C3BBA46"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2.432* </w:t>
            </w:r>
          </w:p>
          <w:p w14:paraId="08657857" w14:textId="7F65B773"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(1.75)</w:t>
            </w:r>
          </w:p>
        </w:tc>
        <w:tc>
          <w:tcPr>
            <w:tcW w:w="1200" w:type="dxa"/>
            <w:tcBorders>
              <w:left w:val="nil"/>
              <w:right w:val="nil"/>
            </w:tcBorders>
            <w:vAlign w:val="center"/>
          </w:tcPr>
          <w:p w14:paraId="4E8BD5F6"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-0.019 </w:t>
            </w:r>
          </w:p>
          <w:p w14:paraId="4E141FCD" w14:textId="0DDF6755"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(-0.52)</w:t>
            </w:r>
          </w:p>
        </w:tc>
        <w:tc>
          <w:tcPr>
            <w:tcW w:w="1274" w:type="dxa"/>
            <w:tcBorders>
              <w:left w:val="nil"/>
              <w:right w:val="nil"/>
            </w:tcBorders>
            <w:vAlign w:val="center"/>
          </w:tcPr>
          <w:p w14:paraId="468679B9"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-0.044 </w:t>
            </w:r>
          </w:p>
          <w:p w14:paraId="3C8A2140" w14:textId="24114B67"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(-0.35)</w:t>
            </w:r>
          </w:p>
        </w:tc>
        <w:tc>
          <w:tcPr>
            <w:tcW w:w="1104" w:type="dxa"/>
            <w:tcBorders>
              <w:left w:val="nil"/>
              <w:right w:val="nil"/>
            </w:tcBorders>
            <w:vAlign w:val="center"/>
          </w:tcPr>
          <w:p w14:paraId="5A487758"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2.353* </w:t>
            </w:r>
          </w:p>
          <w:p w14:paraId="6894BC9D" w14:textId="2883906D"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(1.75)</w:t>
            </w:r>
          </w:p>
        </w:tc>
        <w:tc>
          <w:tcPr>
            <w:tcW w:w="1221" w:type="dxa"/>
            <w:tcBorders>
              <w:left w:val="nil"/>
              <w:right w:val="nil"/>
            </w:tcBorders>
            <w:vAlign w:val="center"/>
          </w:tcPr>
          <w:p w14:paraId="39D63904"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-0.013 </w:t>
            </w:r>
          </w:p>
          <w:p w14:paraId="0E0215FF" w14:textId="13A847C6"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(-0.36)</w:t>
            </w:r>
          </w:p>
        </w:tc>
      </w:tr>
      <w:tr w:rsidR="00FC267B" w:rsidRPr="00627D7D" w14:paraId="69059A18" w14:textId="77777777" w:rsidTr="00FC7A46">
        <w:tc>
          <w:tcPr>
            <w:tcW w:w="4075" w:type="dxa"/>
            <w:tcBorders>
              <w:right w:val="nil"/>
            </w:tcBorders>
          </w:tcPr>
          <w:p w14:paraId="42218A2B" w14:textId="77777777" w:rsidR="00FC267B" w:rsidRPr="00C50894" w:rsidRDefault="00FC267B" w:rsidP="00FC267B">
            <w:pPr>
              <w:spacing w:after="0" w:line="200" w:lineRule="exact"/>
              <w:rPr>
                <w:rFonts w:ascii="Times New Roman" w:hAnsi="Times New Roman"/>
                <w:sz w:val="20"/>
                <w:szCs w:val="20"/>
              </w:rPr>
            </w:pPr>
            <w:r w:rsidRPr="003E7C25">
              <w:rPr>
                <w:rFonts w:ascii="Times New Roman" w:hAnsi="Times New Roman"/>
                <w:sz w:val="16"/>
                <w:szCs w:val="16"/>
              </w:rPr>
              <w:t>Other incomes</w:t>
            </w:r>
          </w:p>
        </w:tc>
        <w:tc>
          <w:tcPr>
            <w:tcW w:w="1223" w:type="dxa"/>
            <w:tcBorders>
              <w:left w:val="nil"/>
              <w:right w:val="nil"/>
            </w:tcBorders>
            <w:vAlign w:val="center"/>
          </w:tcPr>
          <w:p w14:paraId="365D2507"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-1.473 </w:t>
            </w:r>
          </w:p>
          <w:p w14:paraId="74AAD74B" w14:textId="12CBFAB1"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(-0.82)</w:t>
            </w:r>
          </w:p>
        </w:tc>
        <w:tc>
          <w:tcPr>
            <w:tcW w:w="1102" w:type="dxa"/>
            <w:tcBorders>
              <w:left w:val="nil"/>
              <w:right w:val="nil"/>
            </w:tcBorders>
            <w:vAlign w:val="center"/>
          </w:tcPr>
          <w:p w14:paraId="7354E3F4"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5.568 </w:t>
            </w:r>
          </w:p>
          <w:p w14:paraId="2C5A0DAC" w14:textId="207994F9"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(1.04)</w:t>
            </w:r>
          </w:p>
        </w:tc>
        <w:tc>
          <w:tcPr>
            <w:tcW w:w="1200" w:type="dxa"/>
            <w:tcBorders>
              <w:left w:val="nil"/>
              <w:right w:val="nil"/>
            </w:tcBorders>
            <w:vAlign w:val="center"/>
          </w:tcPr>
          <w:p w14:paraId="3205F576"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0.751** </w:t>
            </w:r>
          </w:p>
          <w:p w14:paraId="31B65EC9" w14:textId="113ED1DE"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(2.73)</w:t>
            </w:r>
          </w:p>
        </w:tc>
        <w:tc>
          <w:tcPr>
            <w:tcW w:w="1274" w:type="dxa"/>
            <w:tcBorders>
              <w:left w:val="nil"/>
              <w:right w:val="nil"/>
            </w:tcBorders>
            <w:vAlign w:val="center"/>
          </w:tcPr>
          <w:p w14:paraId="1A8DB12B"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-1.516 </w:t>
            </w:r>
          </w:p>
          <w:p w14:paraId="293B0391" w14:textId="2950C476"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(-0.85)</w:t>
            </w:r>
          </w:p>
        </w:tc>
        <w:tc>
          <w:tcPr>
            <w:tcW w:w="1104" w:type="dxa"/>
            <w:tcBorders>
              <w:left w:val="nil"/>
              <w:right w:val="nil"/>
            </w:tcBorders>
            <w:vAlign w:val="center"/>
          </w:tcPr>
          <w:p w14:paraId="5B7F6502"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5.357 </w:t>
            </w:r>
          </w:p>
          <w:p w14:paraId="4631D8C1" w14:textId="403273A0"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w:t>
            </w:r>
            <w:r>
              <w:rPr>
                <w:rFonts w:ascii="Times New Roman Uni" w:eastAsia="Times New Roman Uni" w:hAnsi="Times New Roman Uni" w:cs="Times New Roman Uni"/>
                <w:color w:val="000000"/>
                <w:sz w:val="16"/>
                <w:szCs w:val="16"/>
              </w:rPr>
              <w:t>.00</w:t>
            </w:r>
            <w:r>
              <w:rPr>
                <w:rFonts w:ascii="Times New Roman Uni" w:eastAsia="Times New Roman Uni" w:hAnsi="Times New Roman Uni" w:cs="Times New Roman Uni" w:hint="eastAsia"/>
                <w:color w:val="000000"/>
                <w:sz w:val="16"/>
                <w:szCs w:val="16"/>
              </w:rPr>
              <w:t>)</w:t>
            </w:r>
          </w:p>
        </w:tc>
        <w:tc>
          <w:tcPr>
            <w:tcW w:w="1221" w:type="dxa"/>
            <w:tcBorders>
              <w:left w:val="nil"/>
              <w:right w:val="nil"/>
            </w:tcBorders>
            <w:vAlign w:val="center"/>
          </w:tcPr>
          <w:p w14:paraId="2FDE9D95"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0.773*** </w:t>
            </w:r>
          </w:p>
          <w:p w14:paraId="3EC364FA" w14:textId="5BD00126"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(2.8</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r>
      <w:tr w:rsidR="00FC267B" w:rsidRPr="00627D7D" w14:paraId="2FFFE4C7" w14:textId="77777777" w:rsidTr="00FC7A46">
        <w:tc>
          <w:tcPr>
            <w:tcW w:w="4075" w:type="dxa"/>
            <w:tcBorders>
              <w:right w:val="nil"/>
            </w:tcBorders>
          </w:tcPr>
          <w:p w14:paraId="16F576C5" w14:textId="77777777" w:rsidR="00FC267B" w:rsidRPr="00C50894" w:rsidRDefault="00FC267B" w:rsidP="00FC267B">
            <w:pPr>
              <w:spacing w:after="0" w:line="200" w:lineRule="exact"/>
              <w:rPr>
                <w:rFonts w:ascii="Times New Roman" w:hAnsi="Times New Roman"/>
                <w:sz w:val="20"/>
                <w:szCs w:val="20"/>
              </w:rPr>
            </w:pPr>
            <w:r>
              <w:rPr>
                <w:rFonts w:ascii="Times New Roman" w:hAnsi="Times New Roman" w:hint="eastAsia"/>
                <w:sz w:val="16"/>
                <w:szCs w:val="16"/>
                <w:lang w:eastAsia="zh-HK"/>
              </w:rPr>
              <w:t>Global activities</w:t>
            </w:r>
          </w:p>
        </w:tc>
        <w:tc>
          <w:tcPr>
            <w:tcW w:w="1223" w:type="dxa"/>
            <w:tcBorders>
              <w:left w:val="nil"/>
              <w:right w:val="nil"/>
            </w:tcBorders>
            <w:vAlign w:val="center"/>
          </w:tcPr>
          <w:p w14:paraId="443585ED"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0.418 </w:t>
            </w:r>
          </w:p>
          <w:p w14:paraId="06459796" w14:textId="4D580145"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(1.36)</w:t>
            </w:r>
          </w:p>
        </w:tc>
        <w:tc>
          <w:tcPr>
            <w:tcW w:w="1102" w:type="dxa"/>
            <w:tcBorders>
              <w:left w:val="nil"/>
              <w:right w:val="nil"/>
            </w:tcBorders>
            <w:vAlign w:val="center"/>
          </w:tcPr>
          <w:p w14:paraId="7B886034"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1.126 </w:t>
            </w:r>
          </w:p>
          <w:p w14:paraId="262D5F1D" w14:textId="1140BC66"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(0.74)</w:t>
            </w:r>
          </w:p>
        </w:tc>
        <w:tc>
          <w:tcPr>
            <w:tcW w:w="1200" w:type="dxa"/>
            <w:tcBorders>
              <w:left w:val="nil"/>
              <w:right w:val="nil"/>
            </w:tcBorders>
            <w:vAlign w:val="center"/>
          </w:tcPr>
          <w:p w14:paraId="2F4BA46A"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0.077 </w:t>
            </w:r>
          </w:p>
          <w:p w14:paraId="527B6FBE" w14:textId="13A8016E"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(0.79)</w:t>
            </w:r>
          </w:p>
        </w:tc>
        <w:tc>
          <w:tcPr>
            <w:tcW w:w="1274" w:type="dxa"/>
            <w:tcBorders>
              <w:left w:val="nil"/>
              <w:right w:val="nil"/>
            </w:tcBorders>
            <w:vAlign w:val="center"/>
          </w:tcPr>
          <w:p w14:paraId="247CD500"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0.442 </w:t>
            </w:r>
          </w:p>
          <w:p w14:paraId="521CCB3B" w14:textId="2BACEFEB"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(1.42)</w:t>
            </w:r>
          </w:p>
        </w:tc>
        <w:tc>
          <w:tcPr>
            <w:tcW w:w="1104" w:type="dxa"/>
            <w:tcBorders>
              <w:left w:val="nil"/>
              <w:right w:val="nil"/>
            </w:tcBorders>
            <w:vAlign w:val="center"/>
          </w:tcPr>
          <w:p w14:paraId="62D4ACFB"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1.202 </w:t>
            </w:r>
          </w:p>
          <w:p w14:paraId="5962C2FB" w14:textId="77646DC9"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(0.81)</w:t>
            </w:r>
          </w:p>
        </w:tc>
        <w:tc>
          <w:tcPr>
            <w:tcW w:w="1221" w:type="dxa"/>
            <w:tcBorders>
              <w:left w:val="nil"/>
              <w:right w:val="nil"/>
            </w:tcBorders>
            <w:vAlign w:val="center"/>
          </w:tcPr>
          <w:p w14:paraId="3084B789"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0.074 </w:t>
            </w:r>
          </w:p>
          <w:p w14:paraId="5107B6E2" w14:textId="16E6D4F7"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(0.77)</w:t>
            </w:r>
          </w:p>
        </w:tc>
      </w:tr>
      <w:tr w:rsidR="00FC267B" w:rsidRPr="00627D7D" w14:paraId="40333E39" w14:textId="77777777" w:rsidTr="00FC7A46">
        <w:tc>
          <w:tcPr>
            <w:tcW w:w="4075" w:type="dxa"/>
            <w:tcBorders>
              <w:right w:val="nil"/>
            </w:tcBorders>
          </w:tcPr>
          <w:p w14:paraId="06F8769F" w14:textId="77777777" w:rsidR="00FC267B" w:rsidRPr="00C50894" w:rsidRDefault="00FC267B" w:rsidP="00FC267B">
            <w:pPr>
              <w:spacing w:after="0" w:line="200" w:lineRule="exact"/>
              <w:rPr>
                <w:rFonts w:ascii="Times New Roman" w:hAnsi="Times New Roman"/>
                <w:sz w:val="20"/>
                <w:szCs w:val="20"/>
              </w:rPr>
            </w:pPr>
            <w:r w:rsidRPr="003E7C25">
              <w:rPr>
                <w:rFonts w:ascii="Times New Roman" w:hAnsi="Times New Roman"/>
                <w:sz w:val="16"/>
                <w:szCs w:val="16"/>
                <w:lang w:eastAsia="zh-HK"/>
              </w:rPr>
              <w:t>Liquidity</w:t>
            </w:r>
          </w:p>
        </w:tc>
        <w:tc>
          <w:tcPr>
            <w:tcW w:w="1223" w:type="dxa"/>
            <w:tcBorders>
              <w:left w:val="nil"/>
              <w:right w:val="nil"/>
            </w:tcBorders>
            <w:vAlign w:val="center"/>
          </w:tcPr>
          <w:p w14:paraId="118558FC"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-0.054 </w:t>
            </w:r>
          </w:p>
          <w:p w14:paraId="53F9B974" w14:textId="5F5D1898"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(-0.25)</w:t>
            </w:r>
          </w:p>
        </w:tc>
        <w:tc>
          <w:tcPr>
            <w:tcW w:w="1102" w:type="dxa"/>
            <w:tcBorders>
              <w:left w:val="nil"/>
              <w:right w:val="nil"/>
            </w:tcBorders>
            <w:vAlign w:val="center"/>
          </w:tcPr>
          <w:p w14:paraId="4837C098" w14:textId="74D74639"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-0.085 (-0.09)</w:t>
            </w:r>
          </w:p>
        </w:tc>
        <w:tc>
          <w:tcPr>
            <w:tcW w:w="1200" w:type="dxa"/>
            <w:tcBorders>
              <w:left w:val="nil"/>
              <w:right w:val="nil"/>
            </w:tcBorders>
            <w:vAlign w:val="center"/>
          </w:tcPr>
          <w:p w14:paraId="31903C37"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-0.012 </w:t>
            </w:r>
          </w:p>
          <w:p w14:paraId="5C91D7F3" w14:textId="6812BAAC"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(-0.19)</w:t>
            </w:r>
          </w:p>
        </w:tc>
        <w:tc>
          <w:tcPr>
            <w:tcW w:w="1274" w:type="dxa"/>
            <w:tcBorders>
              <w:left w:val="nil"/>
              <w:right w:val="nil"/>
            </w:tcBorders>
            <w:vAlign w:val="center"/>
          </w:tcPr>
          <w:p w14:paraId="64D492BC"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-0.066 </w:t>
            </w:r>
          </w:p>
          <w:p w14:paraId="102C097C" w14:textId="7DD61118"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104" w:type="dxa"/>
            <w:tcBorders>
              <w:left w:val="nil"/>
              <w:right w:val="nil"/>
            </w:tcBorders>
            <w:vAlign w:val="center"/>
          </w:tcPr>
          <w:p w14:paraId="09E6F701" w14:textId="61FAC732"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-0.115 (-0.11)</w:t>
            </w:r>
          </w:p>
        </w:tc>
        <w:tc>
          <w:tcPr>
            <w:tcW w:w="1221" w:type="dxa"/>
            <w:tcBorders>
              <w:left w:val="nil"/>
              <w:right w:val="nil"/>
            </w:tcBorders>
            <w:vAlign w:val="center"/>
          </w:tcPr>
          <w:p w14:paraId="17996E4B"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-0.012 </w:t>
            </w:r>
          </w:p>
          <w:p w14:paraId="6D786E7A" w14:textId="0D3DD177"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(-0.19)</w:t>
            </w:r>
          </w:p>
        </w:tc>
      </w:tr>
      <w:tr w:rsidR="00FC267B" w:rsidRPr="00627D7D" w14:paraId="73283D46" w14:textId="77777777" w:rsidTr="00FC7A46">
        <w:tc>
          <w:tcPr>
            <w:tcW w:w="4075" w:type="dxa"/>
            <w:tcBorders>
              <w:right w:val="nil"/>
            </w:tcBorders>
          </w:tcPr>
          <w:p w14:paraId="08E6ECF3" w14:textId="77777777" w:rsidR="00FC267B" w:rsidRPr="00C50894" w:rsidRDefault="00FC267B" w:rsidP="00FC267B">
            <w:pPr>
              <w:spacing w:after="0" w:line="200" w:lineRule="exact"/>
              <w:rPr>
                <w:rFonts w:ascii="Times New Roman" w:hAnsi="Times New Roman"/>
                <w:sz w:val="20"/>
                <w:szCs w:val="20"/>
              </w:rPr>
            </w:pPr>
            <w:r>
              <w:rPr>
                <w:rFonts w:ascii="Times New Roman" w:eastAsiaTheme="minorEastAsia" w:hAnsi="Times New Roman" w:hint="eastAsia"/>
                <w:sz w:val="16"/>
                <w:szCs w:val="16"/>
                <w:lang w:eastAsia="zh-TW"/>
              </w:rPr>
              <w:t>M</w:t>
            </w:r>
            <w:r>
              <w:rPr>
                <w:rFonts w:ascii="Times New Roman" w:eastAsiaTheme="minorEastAsia" w:hAnsi="Times New Roman"/>
                <w:sz w:val="16"/>
                <w:szCs w:val="16"/>
                <w:lang w:eastAsia="zh-TW"/>
              </w:rPr>
              <w:t>arket-to-book ratio</w:t>
            </w:r>
          </w:p>
        </w:tc>
        <w:tc>
          <w:tcPr>
            <w:tcW w:w="1223" w:type="dxa"/>
            <w:tcBorders>
              <w:left w:val="nil"/>
              <w:right w:val="nil"/>
            </w:tcBorders>
            <w:vAlign w:val="center"/>
          </w:tcPr>
          <w:p w14:paraId="11A8858F"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-0.028 </w:t>
            </w:r>
          </w:p>
          <w:p w14:paraId="518D4D4C" w14:textId="272B2DB7"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(-0.3</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102" w:type="dxa"/>
            <w:tcBorders>
              <w:left w:val="nil"/>
              <w:right w:val="nil"/>
            </w:tcBorders>
            <w:vAlign w:val="center"/>
          </w:tcPr>
          <w:p w14:paraId="6E9ADC38"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0.049 </w:t>
            </w:r>
          </w:p>
          <w:p w14:paraId="58D30ACD" w14:textId="2DD20F1F"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(0.23)</w:t>
            </w:r>
          </w:p>
        </w:tc>
        <w:tc>
          <w:tcPr>
            <w:tcW w:w="1200" w:type="dxa"/>
            <w:tcBorders>
              <w:left w:val="nil"/>
              <w:right w:val="nil"/>
            </w:tcBorders>
            <w:vAlign w:val="center"/>
          </w:tcPr>
          <w:p w14:paraId="7CA58C90"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0.028 </w:t>
            </w:r>
          </w:p>
          <w:p w14:paraId="7645B4DB" w14:textId="17AF00D4"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(1.2</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274" w:type="dxa"/>
            <w:tcBorders>
              <w:left w:val="nil"/>
              <w:right w:val="nil"/>
            </w:tcBorders>
            <w:vAlign w:val="center"/>
          </w:tcPr>
          <w:p w14:paraId="3B27C1BC"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-0.024 </w:t>
            </w:r>
          </w:p>
          <w:p w14:paraId="67732000" w14:textId="7A877F33"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(-0.24)</w:t>
            </w:r>
          </w:p>
        </w:tc>
        <w:tc>
          <w:tcPr>
            <w:tcW w:w="1104" w:type="dxa"/>
            <w:tcBorders>
              <w:left w:val="nil"/>
              <w:right w:val="nil"/>
            </w:tcBorders>
            <w:vAlign w:val="center"/>
          </w:tcPr>
          <w:p w14:paraId="20AE385A"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0.058 </w:t>
            </w:r>
          </w:p>
          <w:p w14:paraId="718A6253" w14:textId="52DA6DAC"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(0.26)</w:t>
            </w:r>
          </w:p>
        </w:tc>
        <w:tc>
          <w:tcPr>
            <w:tcW w:w="1221" w:type="dxa"/>
            <w:tcBorders>
              <w:left w:val="nil"/>
              <w:right w:val="nil"/>
            </w:tcBorders>
            <w:vAlign w:val="center"/>
          </w:tcPr>
          <w:p w14:paraId="5751D035"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0.029 </w:t>
            </w:r>
          </w:p>
          <w:p w14:paraId="2444817C" w14:textId="0DA3932D"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(1.21)</w:t>
            </w:r>
          </w:p>
        </w:tc>
      </w:tr>
      <w:tr w:rsidR="00FC267B" w:rsidRPr="00627D7D" w14:paraId="0DC2BBCE" w14:textId="77777777" w:rsidTr="00FC7A46">
        <w:tc>
          <w:tcPr>
            <w:tcW w:w="4075" w:type="dxa"/>
            <w:tcBorders>
              <w:right w:val="nil"/>
            </w:tcBorders>
          </w:tcPr>
          <w:p w14:paraId="69C38E5A" w14:textId="77777777" w:rsidR="00FC267B" w:rsidRPr="00C50894" w:rsidRDefault="00FC267B" w:rsidP="00FC267B">
            <w:pPr>
              <w:spacing w:after="0" w:line="200" w:lineRule="exact"/>
              <w:rPr>
                <w:rFonts w:ascii="Times New Roman" w:hAnsi="Times New Roman"/>
                <w:sz w:val="20"/>
                <w:szCs w:val="20"/>
              </w:rPr>
            </w:pPr>
            <w:r w:rsidRPr="003E7C25">
              <w:rPr>
                <w:rFonts w:ascii="Times New Roman" w:eastAsiaTheme="minorEastAsia" w:hAnsi="Times New Roman"/>
                <w:sz w:val="16"/>
                <w:szCs w:val="16"/>
                <w:lang w:eastAsia="zh-TW"/>
              </w:rPr>
              <w:t>Life</w:t>
            </w:r>
          </w:p>
        </w:tc>
        <w:tc>
          <w:tcPr>
            <w:tcW w:w="1223" w:type="dxa"/>
            <w:tcBorders>
              <w:left w:val="nil"/>
              <w:right w:val="nil"/>
            </w:tcBorders>
            <w:vAlign w:val="center"/>
          </w:tcPr>
          <w:p w14:paraId="61BC944B"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-0.067 </w:t>
            </w:r>
          </w:p>
          <w:p w14:paraId="3E3AD75E" w14:textId="1EF2C000"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(-0.07)</w:t>
            </w:r>
          </w:p>
        </w:tc>
        <w:tc>
          <w:tcPr>
            <w:tcW w:w="1102" w:type="dxa"/>
            <w:tcBorders>
              <w:left w:val="nil"/>
              <w:right w:val="nil"/>
            </w:tcBorders>
            <w:vAlign w:val="center"/>
          </w:tcPr>
          <w:p w14:paraId="2616439B" w14:textId="5CCEDB48"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17.66** (2.05)</w:t>
            </w:r>
          </w:p>
        </w:tc>
        <w:tc>
          <w:tcPr>
            <w:tcW w:w="1200" w:type="dxa"/>
            <w:tcBorders>
              <w:left w:val="nil"/>
              <w:right w:val="nil"/>
            </w:tcBorders>
            <w:vAlign w:val="center"/>
          </w:tcPr>
          <w:p w14:paraId="3E1628DB"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 </w:t>
            </w:r>
          </w:p>
          <w:p w14:paraId="239EFEEE" w14:textId="7E026CD5"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(-0.03)</w:t>
            </w:r>
          </w:p>
        </w:tc>
        <w:tc>
          <w:tcPr>
            <w:tcW w:w="1274" w:type="dxa"/>
            <w:tcBorders>
              <w:left w:val="nil"/>
              <w:right w:val="nil"/>
            </w:tcBorders>
            <w:vAlign w:val="center"/>
          </w:tcPr>
          <w:p w14:paraId="20820D5E"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0.041 </w:t>
            </w:r>
          </w:p>
          <w:p w14:paraId="087E16BD" w14:textId="0D416310"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(0.05)</w:t>
            </w:r>
          </w:p>
        </w:tc>
        <w:tc>
          <w:tcPr>
            <w:tcW w:w="1104" w:type="dxa"/>
            <w:tcBorders>
              <w:left w:val="nil"/>
              <w:right w:val="nil"/>
            </w:tcBorders>
            <w:vAlign w:val="center"/>
          </w:tcPr>
          <w:p w14:paraId="3A1D8FC5" w14:textId="052150E5"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17.973** (2.05)</w:t>
            </w:r>
          </w:p>
        </w:tc>
        <w:tc>
          <w:tcPr>
            <w:tcW w:w="1221" w:type="dxa"/>
            <w:tcBorders>
              <w:left w:val="nil"/>
              <w:right w:val="nil"/>
            </w:tcBorders>
            <w:vAlign w:val="center"/>
          </w:tcPr>
          <w:p w14:paraId="2A083845"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-0.018 </w:t>
            </w:r>
          </w:p>
          <w:p w14:paraId="652D1670" w14:textId="1ACC488E"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(-0.06)</w:t>
            </w:r>
          </w:p>
        </w:tc>
      </w:tr>
      <w:tr w:rsidR="00FC267B" w:rsidRPr="00627D7D" w14:paraId="3B39AA55" w14:textId="77777777" w:rsidTr="00FC7A46">
        <w:tc>
          <w:tcPr>
            <w:tcW w:w="4075" w:type="dxa"/>
            <w:tcBorders>
              <w:right w:val="nil"/>
            </w:tcBorders>
          </w:tcPr>
          <w:p w14:paraId="02AB7DA5" w14:textId="77777777" w:rsidR="00FC267B" w:rsidRPr="00C50894" w:rsidRDefault="00FC267B" w:rsidP="00FC267B">
            <w:pPr>
              <w:spacing w:after="0" w:line="200" w:lineRule="exact"/>
              <w:rPr>
                <w:rFonts w:ascii="Times New Roman" w:hAnsi="Times New Roman"/>
                <w:sz w:val="20"/>
                <w:szCs w:val="20"/>
              </w:rPr>
            </w:pPr>
            <w:r>
              <w:rPr>
                <w:rFonts w:ascii="Times New Roman" w:hAnsi="Times New Roman" w:hint="eastAsia"/>
                <w:sz w:val="16"/>
                <w:szCs w:val="16"/>
                <w:lang w:eastAsia="zh-HK"/>
              </w:rPr>
              <w:t>Loss ratio</w:t>
            </w:r>
          </w:p>
        </w:tc>
        <w:tc>
          <w:tcPr>
            <w:tcW w:w="1223" w:type="dxa"/>
            <w:tcBorders>
              <w:left w:val="nil"/>
              <w:right w:val="nil"/>
            </w:tcBorders>
            <w:vAlign w:val="center"/>
          </w:tcPr>
          <w:p w14:paraId="7C2AE00B" w14:textId="03E7B8CA"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-0.002*** (-5.85)</w:t>
            </w:r>
          </w:p>
        </w:tc>
        <w:tc>
          <w:tcPr>
            <w:tcW w:w="1102" w:type="dxa"/>
            <w:tcBorders>
              <w:left w:val="nil"/>
              <w:right w:val="nil"/>
            </w:tcBorders>
            <w:vAlign w:val="center"/>
          </w:tcPr>
          <w:p w14:paraId="0ED224E8"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0.001 </w:t>
            </w:r>
          </w:p>
          <w:p w14:paraId="6008F45D" w14:textId="126D869E"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(0.69)</w:t>
            </w:r>
          </w:p>
        </w:tc>
        <w:tc>
          <w:tcPr>
            <w:tcW w:w="1200" w:type="dxa"/>
            <w:tcBorders>
              <w:left w:val="nil"/>
              <w:right w:val="nil"/>
            </w:tcBorders>
            <w:vAlign w:val="center"/>
          </w:tcPr>
          <w:p w14:paraId="3D9A275E"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color w:val="000000"/>
                <w:sz w:val="16"/>
                <w:szCs w:val="16"/>
              </w:rPr>
              <w:t>-</w:t>
            </w: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.000</w:t>
            </w:r>
            <w:r>
              <w:rPr>
                <w:rFonts w:ascii="Times New Roman Uni" w:eastAsia="Times New Roman Uni" w:hAnsi="Times New Roman Uni" w:cs="Times New Roman Uni" w:hint="eastAsia"/>
                <w:color w:val="000000"/>
                <w:sz w:val="16"/>
                <w:szCs w:val="16"/>
              </w:rPr>
              <w:t xml:space="preserve"> </w:t>
            </w:r>
          </w:p>
          <w:p w14:paraId="7E87F1C8" w14:textId="4E94CD70"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(-0.06)</w:t>
            </w:r>
          </w:p>
        </w:tc>
        <w:tc>
          <w:tcPr>
            <w:tcW w:w="1274" w:type="dxa"/>
            <w:tcBorders>
              <w:left w:val="nil"/>
              <w:right w:val="nil"/>
            </w:tcBorders>
            <w:vAlign w:val="center"/>
          </w:tcPr>
          <w:p w14:paraId="60656D88" w14:textId="5A6A50DD"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-0.002*** (-6.18)</w:t>
            </w:r>
          </w:p>
        </w:tc>
        <w:tc>
          <w:tcPr>
            <w:tcW w:w="1104" w:type="dxa"/>
            <w:tcBorders>
              <w:left w:val="nil"/>
              <w:right w:val="nil"/>
            </w:tcBorders>
            <w:vAlign w:val="center"/>
          </w:tcPr>
          <w:p w14:paraId="1E6EBE57"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0.001 </w:t>
            </w:r>
          </w:p>
          <w:p w14:paraId="49D25D60" w14:textId="44CD98E1"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(0.63)</w:t>
            </w:r>
          </w:p>
        </w:tc>
        <w:tc>
          <w:tcPr>
            <w:tcW w:w="1221" w:type="dxa"/>
            <w:tcBorders>
              <w:left w:val="nil"/>
              <w:right w:val="nil"/>
            </w:tcBorders>
            <w:vAlign w:val="center"/>
          </w:tcPr>
          <w:p w14:paraId="2E62EEF9"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.000</w:t>
            </w:r>
            <w:r>
              <w:rPr>
                <w:rFonts w:ascii="Times New Roman Uni" w:eastAsia="Times New Roman Uni" w:hAnsi="Times New Roman Uni" w:cs="Times New Roman Uni" w:hint="eastAsia"/>
                <w:color w:val="000000"/>
                <w:sz w:val="16"/>
                <w:szCs w:val="16"/>
              </w:rPr>
              <w:t xml:space="preserve"> </w:t>
            </w:r>
          </w:p>
          <w:p w14:paraId="28DCD73B" w14:textId="4318EDAD"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(0.03)</w:t>
            </w:r>
          </w:p>
        </w:tc>
      </w:tr>
      <w:tr w:rsidR="00FC267B" w:rsidRPr="00627D7D" w14:paraId="27D4D5EC" w14:textId="77777777" w:rsidTr="00FC7A46">
        <w:tc>
          <w:tcPr>
            <w:tcW w:w="4075" w:type="dxa"/>
            <w:tcBorders>
              <w:right w:val="nil"/>
            </w:tcBorders>
          </w:tcPr>
          <w:p w14:paraId="2E4845B0" w14:textId="77777777" w:rsidR="00FC267B" w:rsidRPr="00C50894" w:rsidRDefault="00FC267B" w:rsidP="00FC267B">
            <w:pPr>
              <w:spacing w:after="0" w:line="200" w:lineRule="exact"/>
              <w:rPr>
                <w:rFonts w:ascii="Times New Roman" w:hAnsi="Times New Roman"/>
                <w:sz w:val="20"/>
                <w:szCs w:val="20"/>
              </w:rPr>
            </w:pPr>
            <w:r>
              <w:rPr>
                <w:rFonts w:ascii="Times New Roman" w:hAnsi="Times New Roman" w:hint="eastAsia"/>
                <w:sz w:val="16"/>
                <w:szCs w:val="16"/>
                <w:lang w:eastAsia="zh-HK"/>
              </w:rPr>
              <w:t>Investment income</w:t>
            </w:r>
            <w:r>
              <w:rPr>
                <w:rFonts w:ascii="Times New Roman" w:hAnsi="Times New Roman"/>
                <w:sz w:val="16"/>
                <w:szCs w:val="16"/>
                <w:lang w:eastAsia="zh-HK"/>
              </w:rPr>
              <w:t>s</w:t>
            </w:r>
          </w:p>
        </w:tc>
        <w:tc>
          <w:tcPr>
            <w:tcW w:w="1223" w:type="dxa"/>
            <w:tcBorders>
              <w:left w:val="nil"/>
              <w:right w:val="nil"/>
            </w:tcBorders>
            <w:vAlign w:val="center"/>
          </w:tcPr>
          <w:p w14:paraId="758CFD1C" w14:textId="4910662E"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7.571*** (2.97)</w:t>
            </w:r>
          </w:p>
        </w:tc>
        <w:tc>
          <w:tcPr>
            <w:tcW w:w="1102" w:type="dxa"/>
            <w:tcBorders>
              <w:left w:val="nil"/>
              <w:right w:val="nil"/>
            </w:tcBorders>
            <w:vAlign w:val="center"/>
          </w:tcPr>
          <w:p w14:paraId="522E8CB8"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-5.81 </w:t>
            </w:r>
          </w:p>
          <w:p w14:paraId="24811558" w14:textId="6BD7D5B6"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(-0.52)</w:t>
            </w:r>
          </w:p>
        </w:tc>
        <w:tc>
          <w:tcPr>
            <w:tcW w:w="1200" w:type="dxa"/>
            <w:tcBorders>
              <w:left w:val="nil"/>
              <w:right w:val="nil"/>
            </w:tcBorders>
            <w:vAlign w:val="center"/>
          </w:tcPr>
          <w:p w14:paraId="3FEB4294"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-0.964 </w:t>
            </w:r>
          </w:p>
          <w:p w14:paraId="6E875EC3" w14:textId="6B7D45CA"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(-0.95)</w:t>
            </w:r>
          </w:p>
        </w:tc>
        <w:tc>
          <w:tcPr>
            <w:tcW w:w="1274" w:type="dxa"/>
            <w:tcBorders>
              <w:left w:val="nil"/>
              <w:right w:val="nil"/>
            </w:tcBorders>
            <w:vAlign w:val="center"/>
          </w:tcPr>
          <w:p w14:paraId="5B088A2E"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7.707*** </w:t>
            </w:r>
          </w:p>
          <w:p w14:paraId="15737E3C" w14:textId="4561FBE0"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(3.12)</w:t>
            </w:r>
          </w:p>
        </w:tc>
        <w:tc>
          <w:tcPr>
            <w:tcW w:w="1104" w:type="dxa"/>
            <w:tcBorders>
              <w:left w:val="nil"/>
              <w:right w:val="nil"/>
            </w:tcBorders>
            <w:vAlign w:val="center"/>
          </w:tcPr>
          <w:p w14:paraId="4AFD870E" w14:textId="7726422E"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-5.095 (-0.44)</w:t>
            </w:r>
          </w:p>
        </w:tc>
        <w:tc>
          <w:tcPr>
            <w:tcW w:w="1221" w:type="dxa"/>
            <w:tcBorders>
              <w:left w:val="nil"/>
              <w:right w:val="nil"/>
            </w:tcBorders>
            <w:vAlign w:val="center"/>
          </w:tcPr>
          <w:p w14:paraId="416BE3C0"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-1.047 </w:t>
            </w:r>
          </w:p>
          <w:p w14:paraId="6D8F26EA" w14:textId="7F823659"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(-1.08)</w:t>
            </w:r>
          </w:p>
        </w:tc>
      </w:tr>
      <w:tr w:rsidR="00FC267B" w:rsidRPr="00627D7D" w14:paraId="5BBCFFA8" w14:textId="77777777" w:rsidTr="00FC7A46">
        <w:tc>
          <w:tcPr>
            <w:tcW w:w="4075" w:type="dxa"/>
            <w:tcBorders>
              <w:right w:val="nil"/>
            </w:tcBorders>
          </w:tcPr>
          <w:p w14:paraId="2B1F7C67" w14:textId="77777777" w:rsidR="00FC267B" w:rsidRPr="00C50894" w:rsidRDefault="00FC267B" w:rsidP="00FC267B">
            <w:pPr>
              <w:spacing w:after="0" w:line="200" w:lineRule="exact"/>
              <w:rPr>
                <w:rFonts w:ascii="Times New Roman" w:hAnsi="Times New Roman"/>
                <w:sz w:val="20"/>
                <w:szCs w:val="20"/>
              </w:rPr>
            </w:pPr>
            <w:r>
              <w:rPr>
                <w:rFonts w:ascii="Times New Roman" w:hAnsi="Times New Roman" w:hint="eastAsia"/>
                <w:sz w:val="16"/>
                <w:szCs w:val="16"/>
                <w:lang w:eastAsia="zh-HK"/>
              </w:rPr>
              <w:t>ROA (%)</w:t>
            </w:r>
          </w:p>
        </w:tc>
        <w:tc>
          <w:tcPr>
            <w:tcW w:w="1223" w:type="dxa"/>
            <w:tcBorders>
              <w:left w:val="nil"/>
              <w:right w:val="nil"/>
            </w:tcBorders>
            <w:vAlign w:val="center"/>
          </w:tcPr>
          <w:p w14:paraId="3F5F2BEC"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-0.029 </w:t>
            </w:r>
          </w:p>
          <w:p w14:paraId="42895867" w14:textId="6307DABB"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(-0.76)</w:t>
            </w:r>
          </w:p>
        </w:tc>
        <w:tc>
          <w:tcPr>
            <w:tcW w:w="1102" w:type="dxa"/>
            <w:tcBorders>
              <w:left w:val="nil"/>
              <w:right w:val="nil"/>
            </w:tcBorders>
            <w:vAlign w:val="center"/>
          </w:tcPr>
          <w:p w14:paraId="6F01E58D"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0.036 </w:t>
            </w:r>
          </w:p>
          <w:p w14:paraId="732990D6" w14:textId="5CF99CD1"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(0.61)</w:t>
            </w:r>
          </w:p>
        </w:tc>
        <w:tc>
          <w:tcPr>
            <w:tcW w:w="1200" w:type="dxa"/>
            <w:tcBorders>
              <w:left w:val="nil"/>
              <w:right w:val="nil"/>
            </w:tcBorders>
            <w:vAlign w:val="center"/>
          </w:tcPr>
          <w:p w14:paraId="331174CE" w14:textId="57026B10"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-0.025*** (-3.04)</w:t>
            </w:r>
          </w:p>
        </w:tc>
        <w:tc>
          <w:tcPr>
            <w:tcW w:w="1274" w:type="dxa"/>
            <w:tcBorders>
              <w:left w:val="nil"/>
              <w:right w:val="nil"/>
            </w:tcBorders>
            <w:vAlign w:val="center"/>
          </w:tcPr>
          <w:p w14:paraId="0BD0BA90"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-0.027 </w:t>
            </w:r>
          </w:p>
          <w:p w14:paraId="7BFBE9AF" w14:textId="45C403C0"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(-0.71)</w:t>
            </w:r>
          </w:p>
        </w:tc>
        <w:tc>
          <w:tcPr>
            <w:tcW w:w="1104" w:type="dxa"/>
            <w:tcBorders>
              <w:left w:val="nil"/>
              <w:right w:val="nil"/>
            </w:tcBorders>
            <w:vAlign w:val="center"/>
          </w:tcPr>
          <w:p w14:paraId="16E39E70"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0.046 </w:t>
            </w:r>
          </w:p>
          <w:p w14:paraId="74FA321C" w14:textId="0316A5CF"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(0.78)</w:t>
            </w:r>
          </w:p>
        </w:tc>
        <w:tc>
          <w:tcPr>
            <w:tcW w:w="1221" w:type="dxa"/>
            <w:tcBorders>
              <w:left w:val="nil"/>
              <w:right w:val="nil"/>
            </w:tcBorders>
            <w:vAlign w:val="center"/>
          </w:tcPr>
          <w:p w14:paraId="59BA50DC" w14:textId="3933275E"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-0.026*** (-3.05)</w:t>
            </w:r>
          </w:p>
        </w:tc>
      </w:tr>
      <w:tr w:rsidR="00FC267B" w:rsidRPr="00627D7D" w14:paraId="6444A99B" w14:textId="77777777" w:rsidTr="00FC7A46">
        <w:tc>
          <w:tcPr>
            <w:tcW w:w="4075" w:type="dxa"/>
            <w:tcBorders>
              <w:right w:val="nil"/>
            </w:tcBorders>
          </w:tcPr>
          <w:p w14:paraId="7CA8B3E8" w14:textId="77777777" w:rsidR="00FC267B" w:rsidRPr="00C50894" w:rsidRDefault="00FC267B" w:rsidP="00FC267B">
            <w:pPr>
              <w:spacing w:after="0" w:line="200" w:lineRule="exact"/>
              <w:rPr>
                <w:rFonts w:ascii="Times New Roman" w:hAnsi="Times New Roman"/>
                <w:sz w:val="20"/>
                <w:szCs w:val="20"/>
              </w:rPr>
            </w:pPr>
            <w:r>
              <w:rPr>
                <w:rFonts w:ascii="Times New Roman" w:hAnsi="Times New Roman" w:hint="eastAsia"/>
                <w:sz w:val="16"/>
                <w:szCs w:val="16"/>
                <w:lang w:eastAsia="zh-HK"/>
              </w:rPr>
              <w:t>Operating expenses</w:t>
            </w:r>
          </w:p>
        </w:tc>
        <w:tc>
          <w:tcPr>
            <w:tcW w:w="1223" w:type="dxa"/>
            <w:tcBorders>
              <w:left w:val="nil"/>
              <w:right w:val="nil"/>
            </w:tcBorders>
            <w:vAlign w:val="center"/>
          </w:tcPr>
          <w:p w14:paraId="116D9C9B"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0.454 </w:t>
            </w:r>
          </w:p>
          <w:p w14:paraId="0CE7FD51" w14:textId="7C317BF7"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(0.76)</w:t>
            </w:r>
          </w:p>
        </w:tc>
        <w:tc>
          <w:tcPr>
            <w:tcW w:w="1102" w:type="dxa"/>
            <w:tcBorders>
              <w:left w:val="nil"/>
              <w:right w:val="nil"/>
            </w:tcBorders>
            <w:vAlign w:val="center"/>
          </w:tcPr>
          <w:p w14:paraId="33AB6B77"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-0.516 </w:t>
            </w:r>
          </w:p>
          <w:p w14:paraId="4DF35212" w14:textId="1090ABBB"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(-0.3</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200" w:type="dxa"/>
            <w:tcBorders>
              <w:left w:val="nil"/>
              <w:right w:val="nil"/>
            </w:tcBorders>
            <w:vAlign w:val="center"/>
          </w:tcPr>
          <w:p w14:paraId="45348077"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-0.158 </w:t>
            </w:r>
          </w:p>
          <w:p w14:paraId="4754B3EC" w14:textId="1F16B543"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(-0.69)</w:t>
            </w:r>
          </w:p>
        </w:tc>
        <w:tc>
          <w:tcPr>
            <w:tcW w:w="1274" w:type="dxa"/>
            <w:tcBorders>
              <w:left w:val="nil"/>
              <w:right w:val="nil"/>
            </w:tcBorders>
            <w:vAlign w:val="center"/>
          </w:tcPr>
          <w:p w14:paraId="64EE12A4" w14:textId="1B482573"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0.540</w:t>
            </w:r>
          </w:p>
          <w:p w14:paraId="3BFF4D7D" w14:textId="32F0641C"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(0.9</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104" w:type="dxa"/>
            <w:tcBorders>
              <w:left w:val="nil"/>
              <w:right w:val="nil"/>
            </w:tcBorders>
            <w:vAlign w:val="center"/>
          </w:tcPr>
          <w:p w14:paraId="2C67E80D" w14:textId="626DB2D2"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-0.156 (-0.09)</w:t>
            </w:r>
          </w:p>
        </w:tc>
        <w:tc>
          <w:tcPr>
            <w:tcW w:w="1221" w:type="dxa"/>
            <w:tcBorders>
              <w:left w:val="nil"/>
              <w:right w:val="nil"/>
            </w:tcBorders>
            <w:vAlign w:val="center"/>
          </w:tcPr>
          <w:p w14:paraId="1A272567"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-0.19 </w:t>
            </w:r>
          </w:p>
          <w:p w14:paraId="48C2625F" w14:textId="2D9DCF51"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(-0.83)</w:t>
            </w:r>
          </w:p>
        </w:tc>
      </w:tr>
      <w:tr w:rsidR="00FC267B" w:rsidRPr="00627D7D" w14:paraId="1FDA4E89" w14:textId="77777777" w:rsidTr="00FC7A46">
        <w:tc>
          <w:tcPr>
            <w:tcW w:w="4075" w:type="dxa"/>
            <w:tcBorders>
              <w:right w:val="nil"/>
            </w:tcBorders>
          </w:tcPr>
          <w:p w14:paraId="392B8A02" w14:textId="77777777" w:rsidR="00FC267B" w:rsidRPr="00C50894" w:rsidRDefault="00FC267B" w:rsidP="00FC267B">
            <w:pPr>
              <w:spacing w:after="0" w:line="200" w:lineRule="exact"/>
              <w:rPr>
                <w:rFonts w:ascii="Times New Roman" w:hAnsi="Times New Roman"/>
                <w:sz w:val="20"/>
                <w:szCs w:val="20"/>
              </w:rPr>
            </w:pPr>
            <w:r>
              <w:rPr>
                <w:rFonts w:ascii="Times New Roman" w:eastAsiaTheme="minorEastAsia" w:hAnsi="Times New Roman"/>
                <w:sz w:val="16"/>
                <w:szCs w:val="16"/>
                <w:lang w:eastAsia="zh-HK"/>
              </w:rPr>
              <w:t>GDP growth (%)</w:t>
            </w:r>
          </w:p>
        </w:tc>
        <w:tc>
          <w:tcPr>
            <w:tcW w:w="1223" w:type="dxa"/>
            <w:tcBorders>
              <w:left w:val="nil"/>
              <w:right w:val="nil"/>
            </w:tcBorders>
            <w:vAlign w:val="center"/>
          </w:tcPr>
          <w:p w14:paraId="229AAFAE"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-0.039 </w:t>
            </w:r>
          </w:p>
          <w:p w14:paraId="5EA4CB1C" w14:textId="38EACBD6"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(-0.68)</w:t>
            </w:r>
          </w:p>
        </w:tc>
        <w:tc>
          <w:tcPr>
            <w:tcW w:w="1102" w:type="dxa"/>
            <w:tcBorders>
              <w:left w:val="nil"/>
              <w:right w:val="nil"/>
            </w:tcBorders>
            <w:vAlign w:val="center"/>
          </w:tcPr>
          <w:p w14:paraId="48AC9F63"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0.187 </w:t>
            </w:r>
          </w:p>
          <w:p w14:paraId="65ADCABE" w14:textId="079A61F5"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(1.58)</w:t>
            </w:r>
          </w:p>
        </w:tc>
        <w:tc>
          <w:tcPr>
            <w:tcW w:w="1200" w:type="dxa"/>
            <w:tcBorders>
              <w:left w:val="nil"/>
              <w:right w:val="nil"/>
            </w:tcBorders>
            <w:vAlign w:val="center"/>
          </w:tcPr>
          <w:p w14:paraId="30556C29"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-0.021 </w:t>
            </w:r>
          </w:p>
          <w:p w14:paraId="797B9FB5" w14:textId="414FE01C"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(-1.51)</w:t>
            </w:r>
          </w:p>
        </w:tc>
        <w:tc>
          <w:tcPr>
            <w:tcW w:w="1274" w:type="dxa"/>
            <w:tcBorders>
              <w:left w:val="nil"/>
              <w:right w:val="nil"/>
            </w:tcBorders>
            <w:vAlign w:val="center"/>
          </w:tcPr>
          <w:p w14:paraId="2D2898FE"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-0.04</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w:t>
            </w:r>
          </w:p>
          <w:p w14:paraId="3275FDE9" w14:textId="31B4C341"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104" w:type="dxa"/>
            <w:tcBorders>
              <w:left w:val="nil"/>
              <w:right w:val="nil"/>
            </w:tcBorders>
            <w:vAlign w:val="center"/>
          </w:tcPr>
          <w:p w14:paraId="0479DA6C"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0.18</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 xml:space="preserve"> </w:t>
            </w:r>
          </w:p>
          <w:p w14:paraId="0E6EB1B3" w14:textId="1FE08C7A"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(1.52)</w:t>
            </w:r>
          </w:p>
        </w:tc>
        <w:tc>
          <w:tcPr>
            <w:tcW w:w="1221" w:type="dxa"/>
            <w:tcBorders>
              <w:left w:val="nil"/>
              <w:right w:val="nil"/>
            </w:tcBorders>
            <w:vAlign w:val="center"/>
          </w:tcPr>
          <w:p w14:paraId="082415B6"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 </w:t>
            </w:r>
          </w:p>
          <w:p w14:paraId="7282D2B5" w14:textId="1078DF88"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(-1.49)</w:t>
            </w:r>
          </w:p>
        </w:tc>
      </w:tr>
      <w:tr w:rsidR="00FC267B" w:rsidRPr="00627D7D" w14:paraId="71929829" w14:textId="77777777" w:rsidTr="00FC7A46">
        <w:tc>
          <w:tcPr>
            <w:tcW w:w="4075" w:type="dxa"/>
            <w:tcBorders>
              <w:right w:val="nil"/>
            </w:tcBorders>
          </w:tcPr>
          <w:p w14:paraId="15039D16" w14:textId="77777777" w:rsidR="00FC267B" w:rsidRPr="00C50894" w:rsidRDefault="00FC267B" w:rsidP="00FC267B">
            <w:pPr>
              <w:spacing w:after="0" w:line="200" w:lineRule="exact"/>
              <w:rPr>
                <w:rFonts w:ascii="Times New Roman" w:hAnsi="Times New Roman"/>
                <w:sz w:val="20"/>
                <w:szCs w:val="20"/>
              </w:rPr>
            </w:pPr>
            <w:r>
              <w:rPr>
                <w:rFonts w:ascii="Times New Roman" w:hAnsi="Times New Roman"/>
                <w:sz w:val="16"/>
                <w:szCs w:val="16"/>
                <w:lang w:eastAsia="zh-HK"/>
              </w:rPr>
              <w:t>Inflation (%)</w:t>
            </w:r>
          </w:p>
        </w:tc>
        <w:tc>
          <w:tcPr>
            <w:tcW w:w="1223" w:type="dxa"/>
            <w:tcBorders>
              <w:left w:val="nil"/>
              <w:right w:val="nil"/>
            </w:tcBorders>
            <w:vAlign w:val="center"/>
          </w:tcPr>
          <w:p w14:paraId="23A86B50"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-0.028 </w:t>
            </w:r>
          </w:p>
          <w:p w14:paraId="20537511" w14:textId="5554720E" w:rsidR="00FC267B" w:rsidRPr="002130BB"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(-0.37)</w:t>
            </w:r>
          </w:p>
        </w:tc>
        <w:tc>
          <w:tcPr>
            <w:tcW w:w="1102" w:type="dxa"/>
            <w:tcBorders>
              <w:left w:val="nil"/>
              <w:right w:val="nil"/>
            </w:tcBorders>
            <w:vAlign w:val="center"/>
          </w:tcPr>
          <w:p w14:paraId="7E53286E" w14:textId="0CDC7C58" w:rsidR="00FC267B" w:rsidRPr="0020221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-0.098 (-0.74)</w:t>
            </w:r>
          </w:p>
        </w:tc>
        <w:tc>
          <w:tcPr>
            <w:tcW w:w="1200" w:type="dxa"/>
            <w:tcBorders>
              <w:left w:val="nil"/>
              <w:right w:val="nil"/>
            </w:tcBorders>
            <w:vAlign w:val="center"/>
          </w:tcPr>
          <w:p w14:paraId="5A622315"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0.018 </w:t>
            </w:r>
          </w:p>
          <w:p w14:paraId="3FB8FFCD" w14:textId="190E7318" w:rsidR="00FC267B" w:rsidRPr="00DE7955" w:rsidRDefault="00FC267B" w:rsidP="00FC267B">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(1.05)</w:t>
            </w:r>
          </w:p>
        </w:tc>
        <w:tc>
          <w:tcPr>
            <w:tcW w:w="1274" w:type="dxa"/>
            <w:tcBorders>
              <w:left w:val="nil"/>
              <w:right w:val="nil"/>
            </w:tcBorders>
            <w:vAlign w:val="center"/>
          </w:tcPr>
          <w:p w14:paraId="6B212423"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-0.031 </w:t>
            </w:r>
          </w:p>
          <w:p w14:paraId="5113191A" w14:textId="38428626" w:rsidR="00FC267B" w:rsidRPr="00207A8D"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(-0.42)</w:t>
            </w:r>
          </w:p>
        </w:tc>
        <w:tc>
          <w:tcPr>
            <w:tcW w:w="1104" w:type="dxa"/>
            <w:tcBorders>
              <w:left w:val="nil"/>
              <w:right w:val="nil"/>
            </w:tcBorders>
            <w:vAlign w:val="center"/>
          </w:tcPr>
          <w:p w14:paraId="561199A5" w14:textId="6D02E757" w:rsidR="00FC267B" w:rsidRPr="00E27841"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-0.109 (-0.82)</w:t>
            </w:r>
          </w:p>
        </w:tc>
        <w:tc>
          <w:tcPr>
            <w:tcW w:w="1221" w:type="dxa"/>
            <w:tcBorders>
              <w:left w:val="nil"/>
              <w:right w:val="nil"/>
            </w:tcBorders>
            <w:vAlign w:val="center"/>
          </w:tcPr>
          <w:p w14:paraId="286F5682" w14:textId="77777777" w:rsidR="00FC267B" w:rsidRDefault="00FC267B" w:rsidP="00FC267B">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0.019 </w:t>
            </w:r>
          </w:p>
          <w:p w14:paraId="47ADCCB2" w14:textId="192B2D23" w:rsidR="00FC267B" w:rsidRPr="00EE677E" w:rsidRDefault="00FC267B" w:rsidP="00FC267B">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(1.07)</w:t>
            </w:r>
          </w:p>
        </w:tc>
      </w:tr>
      <w:tr w:rsidR="00303946" w:rsidRPr="00B86E32" w14:paraId="1024EF75" w14:textId="77777777" w:rsidTr="00E908D3">
        <w:tc>
          <w:tcPr>
            <w:tcW w:w="4075" w:type="dxa"/>
            <w:tcBorders>
              <w:right w:val="nil"/>
            </w:tcBorders>
          </w:tcPr>
          <w:p w14:paraId="1FE45262" w14:textId="77777777" w:rsidR="00BB316F" w:rsidRPr="00C50894" w:rsidRDefault="00BB316F" w:rsidP="00E908D3">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Firm fixed effects</w:t>
            </w:r>
          </w:p>
        </w:tc>
        <w:tc>
          <w:tcPr>
            <w:tcW w:w="1223" w:type="dxa"/>
            <w:tcBorders>
              <w:left w:val="nil"/>
              <w:right w:val="nil"/>
            </w:tcBorders>
          </w:tcPr>
          <w:p w14:paraId="15394C40" w14:textId="77777777" w:rsidR="00BB316F" w:rsidRPr="00C50894"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102" w:type="dxa"/>
            <w:tcBorders>
              <w:left w:val="nil"/>
              <w:right w:val="nil"/>
            </w:tcBorders>
          </w:tcPr>
          <w:p w14:paraId="522EF423" w14:textId="77777777" w:rsidR="00BB316F" w:rsidRPr="00C50894"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00" w:type="dxa"/>
            <w:tcBorders>
              <w:left w:val="nil"/>
              <w:right w:val="nil"/>
            </w:tcBorders>
          </w:tcPr>
          <w:p w14:paraId="6E58C817" w14:textId="77777777" w:rsidR="00BB316F" w:rsidRPr="00C50894"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74" w:type="dxa"/>
            <w:tcBorders>
              <w:left w:val="nil"/>
              <w:right w:val="nil"/>
            </w:tcBorders>
          </w:tcPr>
          <w:p w14:paraId="5F011157" w14:textId="77777777" w:rsidR="00BB316F" w:rsidRPr="00B86E32"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104" w:type="dxa"/>
            <w:tcBorders>
              <w:left w:val="nil"/>
              <w:right w:val="nil"/>
            </w:tcBorders>
          </w:tcPr>
          <w:p w14:paraId="47032187" w14:textId="77777777" w:rsidR="00BB316F" w:rsidRPr="00B86E32"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21" w:type="dxa"/>
            <w:tcBorders>
              <w:left w:val="nil"/>
              <w:right w:val="nil"/>
            </w:tcBorders>
          </w:tcPr>
          <w:p w14:paraId="5E2A1999" w14:textId="77777777" w:rsidR="00BB316F" w:rsidRPr="00B86E32"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r>
      <w:tr w:rsidR="00303946" w:rsidRPr="00B86E32" w14:paraId="6F5206B7" w14:textId="77777777" w:rsidTr="00E908D3">
        <w:tc>
          <w:tcPr>
            <w:tcW w:w="4075" w:type="dxa"/>
            <w:tcBorders>
              <w:right w:val="nil"/>
            </w:tcBorders>
          </w:tcPr>
          <w:p w14:paraId="650D650E" w14:textId="282718A5" w:rsidR="00BB316F" w:rsidRPr="00C50894" w:rsidRDefault="00DD7D6D" w:rsidP="00E908D3">
            <w:pPr>
              <w:spacing w:after="0" w:line="200" w:lineRule="exact"/>
              <w:rPr>
                <w:rFonts w:ascii="Times New Roman" w:hAnsi="Times New Roman"/>
                <w:sz w:val="16"/>
                <w:szCs w:val="16"/>
                <w:lang w:eastAsia="zh-HK"/>
              </w:rPr>
            </w:pPr>
            <w:r>
              <w:rPr>
                <w:rFonts w:ascii="Times New Roman" w:hAnsi="Times New Roman"/>
                <w:sz w:val="16"/>
                <w:szCs w:val="16"/>
                <w:lang w:eastAsia="zh-HK"/>
              </w:rPr>
              <w:t>Time</w:t>
            </w:r>
            <w:r w:rsidR="00BB316F" w:rsidRPr="00716971">
              <w:rPr>
                <w:rFonts w:ascii="Times New Roman" w:hAnsi="Times New Roman"/>
                <w:sz w:val="16"/>
                <w:szCs w:val="16"/>
                <w:lang w:eastAsia="zh-HK"/>
              </w:rPr>
              <w:t xml:space="preserve"> fixed effects</w:t>
            </w:r>
          </w:p>
        </w:tc>
        <w:tc>
          <w:tcPr>
            <w:tcW w:w="1223" w:type="dxa"/>
            <w:tcBorders>
              <w:left w:val="nil"/>
              <w:right w:val="nil"/>
            </w:tcBorders>
          </w:tcPr>
          <w:p w14:paraId="4DEAB96E" w14:textId="77777777" w:rsidR="00BB316F" w:rsidRPr="00C50894"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102" w:type="dxa"/>
            <w:tcBorders>
              <w:left w:val="nil"/>
              <w:right w:val="nil"/>
            </w:tcBorders>
          </w:tcPr>
          <w:p w14:paraId="40D887A7" w14:textId="77777777" w:rsidR="00BB316F" w:rsidRPr="00C50894"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00" w:type="dxa"/>
            <w:tcBorders>
              <w:left w:val="nil"/>
              <w:right w:val="nil"/>
            </w:tcBorders>
          </w:tcPr>
          <w:p w14:paraId="4DD8F193" w14:textId="77777777" w:rsidR="00BB316F" w:rsidRPr="00C50894"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74" w:type="dxa"/>
            <w:tcBorders>
              <w:left w:val="nil"/>
              <w:right w:val="nil"/>
            </w:tcBorders>
          </w:tcPr>
          <w:p w14:paraId="16B8816D" w14:textId="77777777" w:rsidR="00BB316F" w:rsidRPr="004B283F"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104" w:type="dxa"/>
            <w:tcBorders>
              <w:left w:val="nil"/>
              <w:right w:val="nil"/>
            </w:tcBorders>
          </w:tcPr>
          <w:p w14:paraId="3F49F117" w14:textId="77777777" w:rsidR="00BB316F" w:rsidRPr="00916356"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c>
          <w:tcPr>
            <w:tcW w:w="1221" w:type="dxa"/>
            <w:tcBorders>
              <w:left w:val="nil"/>
              <w:right w:val="nil"/>
            </w:tcBorders>
          </w:tcPr>
          <w:p w14:paraId="12B2C591" w14:textId="77777777" w:rsidR="00BB316F" w:rsidRPr="00B86E32" w:rsidRDefault="00BB316F" w:rsidP="00E908D3">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Yes</w:t>
            </w:r>
          </w:p>
        </w:tc>
      </w:tr>
      <w:tr w:rsidR="00303946" w:rsidRPr="00B86E32" w14:paraId="59FEF8B1" w14:textId="77777777" w:rsidTr="00E908D3">
        <w:tc>
          <w:tcPr>
            <w:tcW w:w="4075" w:type="dxa"/>
            <w:tcBorders>
              <w:right w:val="nil"/>
            </w:tcBorders>
          </w:tcPr>
          <w:p w14:paraId="38D89FC7" w14:textId="77777777" w:rsidR="00BB316F" w:rsidRPr="00C50894" w:rsidRDefault="00BB316F" w:rsidP="00E908D3">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Observations</w:t>
            </w:r>
          </w:p>
        </w:tc>
        <w:tc>
          <w:tcPr>
            <w:tcW w:w="1223" w:type="dxa"/>
            <w:tcBorders>
              <w:left w:val="nil"/>
              <w:right w:val="nil"/>
            </w:tcBorders>
          </w:tcPr>
          <w:p w14:paraId="69767486" w14:textId="00A8312C" w:rsidR="00BB316F" w:rsidRPr="00C50894" w:rsidRDefault="002130BB" w:rsidP="00DD7D6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34</w:t>
            </w:r>
            <w:r>
              <w:rPr>
                <w:rFonts w:ascii="Times New Roman" w:hAnsi="Times New Roman"/>
                <w:sz w:val="16"/>
                <w:szCs w:val="16"/>
                <w:lang w:eastAsia="zh-HK"/>
              </w:rPr>
              <w:t>3</w:t>
            </w:r>
            <w:r w:rsidR="00DD7D6D">
              <w:rPr>
                <w:rFonts w:ascii="Times New Roman" w:hAnsi="Times New Roman"/>
                <w:sz w:val="16"/>
                <w:szCs w:val="16"/>
                <w:lang w:eastAsia="zh-HK"/>
              </w:rPr>
              <w:t>9</w:t>
            </w:r>
          </w:p>
        </w:tc>
        <w:tc>
          <w:tcPr>
            <w:tcW w:w="1102" w:type="dxa"/>
            <w:tcBorders>
              <w:left w:val="nil"/>
              <w:right w:val="nil"/>
            </w:tcBorders>
          </w:tcPr>
          <w:p w14:paraId="006133B7" w14:textId="56162EEE" w:rsidR="00BB316F" w:rsidRPr="00C50894" w:rsidRDefault="00202215" w:rsidP="00C461DC">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w:t>
            </w:r>
            <w:r>
              <w:rPr>
                <w:rFonts w:ascii="Times New Roman" w:hAnsi="Times New Roman"/>
                <w:sz w:val="16"/>
                <w:szCs w:val="16"/>
                <w:lang w:eastAsia="zh-HK"/>
              </w:rPr>
              <w:t>43</w:t>
            </w:r>
            <w:r w:rsidR="00C461DC">
              <w:rPr>
                <w:rFonts w:ascii="Times New Roman" w:hAnsi="Times New Roman"/>
                <w:sz w:val="16"/>
                <w:szCs w:val="16"/>
                <w:lang w:eastAsia="zh-HK"/>
              </w:rPr>
              <w:t>9</w:t>
            </w:r>
          </w:p>
        </w:tc>
        <w:tc>
          <w:tcPr>
            <w:tcW w:w="1200" w:type="dxa"/>
            <w:tcBorders>
              <w:left w:val="nil"/>
              <w:right w:val="nil"/>
            </w:tcBorders>
          </w:tcPr>
          <w:p w14:paraId="2C09B0B3" w14:textId="1355499E" w:rsidR="00BB316F" w:rsidRPr="00C50894" w:rsidRDefault="00DE7955" w:rsidP="0025477F">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34</w:t>
            </w:r>
            <w:r>
              <w:rPr>
                <w:rFonts w:ascii="Times New Roman" w:hAnsi="Times New Roman"/>
                <w:sz w:val="16"/>
                <w:szCs w:val="16"/>
                <w:lang w:eastAsia="zh-HK"/>
              </w:rPr>
              <w:t>3</w:t>
            </w:r>
            <w:r w:rsidR="0025477F">
              <w:rPr>
                <w:rFonts w:ascii="Times New Roman" w:hAnsi="Times New Roman"/>
                <w:sz w:val="16"/>
                <w:szCs w:val="16"/>
                <w:lang w:eastAsia="zh-HK"/>
              </w:rPr>
              <w:t>9</w:t>
            </w:r>
          </w:p>
        </w:tc>
        <w:tc>
          <w:tcPr>
            <w:tcW w:w="1274" w:type="dxa"/>
            <w:tcBorders>
              <w:left w:val="nil"/>
              <w:right w:val="nil"/>
            </w:tcBorders>
          </w:tcPr>
          <w:p w14:paraId="0ACC85DE" w14:textId="2E6D4B18" w:rsidR="00BB316F" w:rsidRPr="00B86E32" w:rsidRDefault="00207A8D" w:rsidP="00AE11D1">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34</w:t>
            </w:r>
            <w:r>
              <w:rPr>
                <w:rFonts w:ascii="Times New Roman" w:hAnsi="Times New Roman"/>
                <w:sz w:val="16"/>
                <w:szCs w:val="16"/>
                <w:lang w:eastAsia="zh-HK"/>
              </w:rPr>
              <w:t>3</w:t>
            </w:r>
            <w:r w:rsidR="00AE11D1">
              <w:rPr>
                <w:rFonts w:ascii="Times New Roman" w:hAnsi="Times New Roman"/>
                <w:sz w:val="16"/>
                <w:szCs w:val="16"/>
                <w:lang w:eastAsia="zh-HK"/>
              </w:rPr>
              <w:t>9</w:t>
            </w:r>
          </w:p>
        </w:tc>
        <w:tc>
          <w:tcPr>
            <w:tcW w:w="1104" w:type="dxa"/>
            <w:tcBorders>
              <w:left w:val="nil"/>
              <w:right w:val="nil"/>
            </w:tcBorders>
          </w:tcPr>
          <w:p w14:paraId="63385868" w14:textId="7F96AB22" w:rsidR="00BB316F" w:rsidRPr="00B86E32" w:rsidRDefault="00E27841" w:rsidP="00F70075">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34</w:t>
            </w:r>
            <w:r>
              <w:rPr>
                <w:rFonts w:ascii="Times New Roman" w:hAnsi="Times New Roman"/>
                <w:sz w:val="16"/>
                <w:szCs w:val="16"/>
                <w:lang w:eastAsia="zh-HK"/>
              </w:rPr>
              <w:t>3</w:t>
            </w:r>
            <w:r w:rsidR="00F70075">
              <w:rPr>
                <w:rFonts w:ascii="Times New Roman" w:hAnsi="Times New Roman"/>
                <w:sz w:val="16"/>
                <w:szCs w:val="16"/>
                <w:lang w:eastAsia="zh-HK"/>
              </w:rPr>
              <w:t>9</w:t>
            </w:r>
          </w:p>
        </w:tc>
        <w:tc>
          <w:tcPr>
            <w:tcW w:w="1221" w:type="dxa"/>
            <w:tcBorders>
              <w:left w:val="nil"/>
              <w:right w:val="nil"/>
            </w:tcBorders>
          </w:tcPr>
          <w:p w14:paraId="03A487EB" w14:textId="0F832EE5" w:rsidR="00BB316F" w:rsidRPr="00B86E32" w:rsidRDefault="00303946" w:rsidP="00FC267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343</w:t>
            </w:r>
            <w:r w:rsidR="00FC267B">
              <w:rPr>
                <w:rFonts w:ascii="Times New Roman" w:hAnsi="Times New Roman"/>
                <w:sz w:val="16"/>
                <w:szCs w:val="16"/>
                <w:lang w:eastAsia="zh-HK"/>
              </w:rPr>
              <w:t>9</w:t>
            </w:r>
          </w:p>
        </w:tc>
      </w:tr>
      <w:tr w:rsidR="00303946" w:rsidRPr="00F510DD" w14:paraId="040D9638" w14:textId="77777777" w:rsidTr="00E908D3">
        <w:tc>
          <w:tcPr>
            <w:tcW w:w="4075" w:type="dxa"/>
            <w:tcBorders>
              <w:bottom w:val="single" w:sz="4" w:space="0" w:color="auto"/>
              <w:right w:val="nil"/>
            </w:tcBorders>
          </w:tcPr>
          <w:p w14:paraId="25979297" w14:textId="77777777" w:rsidR="00BB316F" w:rsidRPr="00C50894" w:rsidRDefault="00BB316F" w:rsidP="00E908D3">
            <w:pPr>
              <w:spacing w:after="0" w:line="200" w:lineRule="exact"/>
              <w:rPr>
                <w:rFonts w:ascii="Times New Roman" w:hAnsi="Times New Roman"/>
                <w:sz w:val="16"/>
                <w:szCs w:val="16"/>
                <w:lang w:eastAsia="zh-HK"/>
              </w:rPr>
            </w:pPr>
            <w:r>
              <w:rPr>
                <w:rFonts w:ascii="Times New Roman" w:hAnsi="Times New Roman"/>
                <w:sz w:val="16"/>
                <w:szCs w:val="16"/>
                <w:lang w:eastAsia="zh-HK"/>
              </w:rPr>
              <w:t>R</w:t>
            </w:r>
            <w:r w:rsidRPr="003E7C25">
              <w:rPr>
                <w:rFonts w:ascii="Times New Roman" w:hAnsi="Times New Roman"/>
                <w:sz w:val="16"/>
                <w:szCs w:val="16"/>
                <w:vertAlign w:val="superscript"/>
                <w:lang w:eastAsia="zh-HK"/>
              </w:rPr>
              <w:t>2</w:t>
            </w:r>
          </w:p>
        </w:tc>
        <w:tc>
          <w:tcPr>
            <w:tcW w:w="1223" w:type="dxa"/>
            <w:tcBorders>
              <w:left w:val="nil"/>
              <w:bottom w:val="single" w:sz="4" w:space="0" w:color="auto"/>
              <w:right w:val="nil"/>
            </w:tcBorders>
          </w:tcPr>
          <w:p w14:paraId="42DF8119" w14:textId="31B2E047" w:rsidR="00BB316F" w:rsidRPr="00C50894" w:rsidRDefault="002130BB" w:rsidP="00DD7D6D">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DD7D6D">
              <w:rPr>
                <w:rFonts w:ascii="Times New Roman" w:hAnsi="Times New Roman"/>
                <w:sz w:val="16"/>
                <w:szCs w:val="16"/>
                <w:lang w:eastAsia="zh-HK"/>
              </w:rPr>
              <w:t>.572</w:t>
            </w:r>
          </w:p>
        </w:tc>
        <w:tc>
          <w:tcPr>
            <w:tcW w:w="1102" w:type="dxa"/>
            <w:tcBorders>
              <w:left w:val="nil"/>
              <w:bottom w:val="single" w:sz="4" w:space="0" w:color="auto"/>
              <w:right w:val="nil"/>
            </w:tcBorders>
          </w:tcPr>
          <w:p w14:paraId="1368788C" w14:textId="299E9CE0" w:rsidR="00BB316F" w:rsidRPr="00C50894" w:rsidRDefault="00202215" w:rsidP="00834630">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0.8</w:t>
            </w:r>
            <w:r w:rsidR="00C461DC">
              <w:rPr>
                <w:rFonts w:ascii="Times New Roman" w:hAnsi="Times New Roman"/>
                <w:sz w:val="16"/>
                <w:szCs w:val="16"/>
                <w:lang w:eastAsia="zh-HK"/>
              </w:rPr>
              <w:t>7</w:t>
            </w:r>
            <w:r w:rsidR="00834630">
              <w:rPr>
                <w:rFonts w:ascii="Times New Roman" w:hAnsi="Times New Roman"/>
                <w:sz w:val="16"/>
                <w:szCs w:val="16"/>
                <w:lang w:eastAsia="zh-HK"/>
              </w:rPr>
              <w:t>7</w:t>
            </w:r>
          </w:p>
        </w:tc>
        <w:tc>
          <w:tcPr>
            <w:tcW w:w="1200" w:type="dxa"/>
            <w:tcBorders>
              <w:left w:val="nil"/>
              <w:bottom w:val="single" w:sz="4" w:space="0" w:color="auto"/>
              <w:right w:val="nil"/>
            </w:tcBorders>
          </w:tcPr>
          <w:p w14:paraId="29E54BE2" w14:textId="50263B33" w:rsidR="00BB316F" w:rsidRPr="00C50894" w:rsidRDefault="00DE7955" w:rsidP="0025477F">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25477F">
              <w:rPr>
                <w:rFonts w:ascii="Times New Roman" w:hAnsi="Times New Roman"/>
                <w:sz w:val="16"/>
                <w:szCs w:val="16"/>
                <w:lang w:eastAsia="zh-HK"/>
              </w:rPr>
              <w:t>691</w:t>
            </w:r>
          </w:p>
        </w:tc>
        <w:tc>
          <w:tcPr>
            <w:tcW w:w="1274" w:type="dxa"/>
            <w:tcBorders>
              <w:left w:val="nil"/>
              <w:bottom w:val="single" w:sz="4" w:space="0" w:color="auto"/>
              <w:right w:val="nil"/>
            </w:tcBorders>
          </w:tcPr>
          <w:p w14:paraId="5C9CD958" w14:textId="7DBEAD03" w:rsidR="00BB316F" w:rsidRPr="004B283F" w:rsidRDefault="00207A8D" w:rsidP="00AE11D1">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AE11D1">
              <w:rPr>
                <w:rFonts w:ascii="Times New Roman" w:hAnsi="Times New Roman"/>
                <w:sz w:val="16"/>
                <w:szCs w:val="16"/>
                <w:lang w:eastAsia="zh-HK"/>
              </w:rPr>
              <w:t>571</w:t>
            </w:r>
          </w:p>
        </w:tc>
        <w:tc>
          <w:tcPr>
            <w:tcW w:w="1104" w:type="dxa"/>
            <w:tcBorders>
              <w:left w:val="nil"/>
              <w:bottom w:val="single" w:sz="4" w:space="0" w:color="auto"/>
              <w:right w:val="nil"/>
            </w:tcBorders>
          </w:tcPr>
          <w:p w14:paraId="084AE04F" w14:textId="2C04BDE8" w:rsidR="00BB316F" w:rsidRPr="00916356" w:rsidRDefault="00E27841" w:rsidP="00F70075">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Pr>
                <w:rFonts w:ascii="Times New Roman" w:hAnsi="Times New Roman"/>
                <w:sz w:val="16"/>
                <w:szCs w:val="16"/>
                <w:lang w:eastAsia="zh-HK"/>
              </w:rPr>
              <w:t>.8</w:t>
            </w:r>
            <w:r w:rsidR="00F70075">
              <w:rPr>
                <w:rFonts w:ascii="Times New Roman" w:hAnsi="Times New Roman"/>
                <w:sz w:val="16"/>
                <w:szCs w:val="16"/>
                <w:lang w:eastAsia="zh-HK"/>
              </w:rPr>
              <w:t>76</w:t>
            </w:r>
          </w:p>
        </w:tc>
        <w:tc>
          <w:tcPr>
            <w:tcW w:w="1221" w:type="dxa"/>
            <w:tcBorders>
              <w:left w:val="nil"/>
              <w:bottom w:val="single" w:sz="4" w:space="0" w:color="auto"/>
              <w:right w:val="nil"/>
            </w:tcBorders>
          </w:tcPr>
          <w:p w14:paraId="3B8BFA49" w14:textId="2CE0BD6F" w:rsidR="00BB316F" w:rsidRPr="00F510DD" w:rsidRDefault="00303946" w:rsidP="00FC267B">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FC267B">
              <w:rPr>
                <w:rFonts w:ascii="Times New Roman" w:hAnsi="Times New Roman"/>
                <w:sz w:val="16"/>
                <w:szCs w:val="16"/>
                <w:lang w:eastAsia="zh-HK"/>
              </w:rPr>
              <w:t>691</w:t>
            </w:r>
          </w:p>
        </w:tc>
      </w:tr>
      <w:tr w:rsidR="00BB316F" w:rsidRPr="00F510DD" w14:paraId="2DFB78C6" w14:textId="77777777" w:rsidTr="00E908D3">
        <w:tc>
          <w:tcPr>
            <w:tcW w:w="11199" w:type="dxa"/>
            <w:gridSpan w:val="7"/>
            <w:tcBorders>
              <w:top w:val="single" w:sz="4" w:space="0" w:color="auto"/>
              <w:bottom w:val="single" w:sz="4" w:space="0" w:color="auto"/>
              <w:right w:val="nil"/>
            </w:tcBorders>
          </w:tcPr>
          <w:p w14:paraId="330A5213" w14:textId="671BE8C7" w:rsidR="00BB316F" w:rsidRDefault="00BB316F" w:rsidP="00F53D51">
            <w:pPr>
              <w:spacing w:after="0" w:line="200" w:lineRule="exact"/>
              <w:jc w:val="both"/>
              <w:rPr>
                <w:rFonts w:ascii="Times New Roman" w:hAnsi="Times New Roman"/>
                <w:sz w:val="16"/>
                <w:szCs w:val="16"/>
                <w:lang w:eastAsia="zh-HK"/>
              </w:rPr>
            </w:pPr>
            <w:r>
              <w:rPr>
                <w:rFonts w:ascii="Times New Roman" w:hAnsi="Times New Roman"/>
                <w:sz w:val="16"/>
                <w:szCs w:val="16"/>
                <w:lang w:eastAsia="zh-HK"/>
              </w:rPr>
              <w:t xml:space="preserve">The table above reports the result of running the regression on </w:t>
            </w:r>
            <w:r w:rsidR="00E908D3">
              <w:rPr>
                <w:rFonts w:ascii="Times New Roman" w:hAnsi="Times New Roman"/>
                <w:sz w:val="16"/>
                <w:szCs w:val="16"/>
                <w:lang w:eastAsia="zh-HK"/>
              </w:rPr>
              <w:t>the whole sample, with the GSII dummy replaced by the Large dummy</w:t>
            </w:r>
            <w:r>
              <w:rPr>
                <w:rFonts w:ascii="Times New Roman" w:hAnsi="Times New Roman"/>
                <w:sz w:val="16"/>
                <w:szCs w:val="16"/>
                <w:lang w:eastAsia="zh-HK"/>
              </w:rPr>
              <w:t xml:space="preserve">. </w:t>
            </w:r>
            <w:r w:rsidR="00E908D3">
              <w:rPr>
                <w:rFonts w:ascii="Times New Roman" w:hAnsi="Times New Roman"/>
                <w:sz w:val="16"/>
                <w:szCs w:val="16"/>
                <w:lang w:eastAsia="zh-HK"/>
              </w:rPr>
              <w:t>An insurer is considered as lar</w:t>
            </w:r>
            <w:r w:rsidR="004302F1">
              <w:rPr>
                <w:rFonts w:ascii="Times New Roman" w:hAnsi="Times New Roman"/>
                <w:sz w:val="16"/>
                <w:szCs w:val="16"/>
                <w:lang w:eastAsia="zh-HK"/>
              </w:rPr>
              <w:t xml:space="preserve">ge if its total assets or </w:t>
            </w:r>
            <w:r w:rsidR="00F53D51">
              <w:rPr>
                <w:rFonts w:ascii="Times New Roman" w:hAnsi="Times New Roman"/>
                <w:sz w:val="16"/>
                <w:szCs w:val="16"/>
                <w:lang w:eastAsia="zh-HK"/>
              </w:rPr>
              <w:t>insurance reserves</w:t>
            </w:r>
            <w:r w:rsidR="00EA021B">
              <w:rPr>
                <w:rFonts w:ascii="Times New Roman" w:hAnsi="Times New Roman"/>
                <w:sz w:val="16"/>
                <w:szCs w:val="16"/>
                <w:lang w:eastAsia="zh-HK"/>
              </w:rPr>
              <w:t xml:space="preserve"> belong</w:t>
            </w:r>
            <w:r w:rsidR="00E908D3">
              <w:rPr>
                <w:rFonts w:ascii="Times New Roman" w:hAnsi="Times New Roman"/>
                <w:sz w:val="16"/>
                <w:szCs w:val="16"/>
                <w:lang w:eastAsia="zh-HK"/>
              </w:rPr>
              <w:t xml:space="preserve"> to the upper </w:t>
            </w:r>
            <w:r w:rsidR="00F53D51">
              <w:rPr>
                <w:rFonts w:ascii="Times New Roman" w:hAnsi="Times New Roman"/>
                <w:sz w:val="16"/>
                <w:szCs w:val="16"/>
                <w:lang w:eastAsia="zh-HK"/>
              </w:rPr>
              <w:t>quartile</w:t>
            </w:r>
            <w:r w:rsidR="00E908D3">
              <w:rPr>
                <w:rFonts w:ascii="Times New Roman" w:hAnsi="Times New Roman"/>
                <w:sz w:val="16"/>
                <w:szCs w:val="16"/>
                <w:lang w:eastAsia="zh-HK"/>
              </w:rPr>
              <w:t xml:space="preserve"> of the whole sample. </w:t>
            </w:r>
            <w:r>
              <w:rPr>
                <w:rFonts w:ascii="Times New Roman" w:hAnsi="Times New Roman"/>
                <w:sz w:val="16"/>
                <w:szCs w:val="16"/>
                <w:lang w:eastAsia="zh-HK"/>
              </w:rPr>
              <w:t xml:space="preserve">MES, SRISK and </w:t>
            </w: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are computed with the World </w:t>
            </w:r>
            <w:proofErr w:type="spellStart"/>
            <w:r>
              <w:rPr>
                <w:rFonts w:ascii="Times New Roman" w:hAnsi="Times New Roman"/>
                <w:sz w:val="16"/>
                <w:szCs w:val="16"/>
                <w:lang w:eastAsia="zh-HK"/>
              </w:rPr>
              <w:t>Datastream</w:t>
            </w:r>
            <w:proofErr w:type="spellEnd"/>
            <w:r>
              <w:rPr>
                <w:rFonts w:ascii="Times New Roman" w:hAnsi="Times New Roman"/>
                <w:sz w:val="16"/>
                <w:szCs w:val="16"/>
                <w:lang w:eastAsia="zh-HK"/>
              </w:rPr>
              <w:t xml:space="preserve"> Financial Index as proxy for market index. </w:t>
            </w:r>
            <w:r w:rsidR="00EA021B">
              <w:rPr>
                <w:rFonts w:ascii="Times New Roman" w:hAnsi="Times New Roman"/>
                <w:sz w:val="16"/>
                <w:szCs w:val="16"/>
                <w:lang w:eastAsia="zh-HK"/>
              </w:rPr>
              <w:t>Firm fixed effects and time</w:t>
            </w:r>
            <w:r w:rsidR="00EA021B" w:rsidRPr="00716971">
              <w:rPr>
                <w:rFonts w:ascii="Times New Roman" w:hAnsi="Times New Roman"/>
                <w:sz w:val="16"/>
                <w:szCs w:val="16"/>
                <w:lang w:eastAsia="zh-HK"/>
              </w:rPr>
              <w:t xml:space="preserve"> fixed effects are included</w:t>
            </w:r>
            <w:r w:rsidR="00EA021B">
              <w:rPr>
                <w:rFonts w:ascii="Times New Roman" w:hAnsi="Times New Roman"/>
                <w:sz w:val="16"/>
                <w:szCs w:val="16"/>
                <w:lang w:eastAsia="zh-HK"/>
              </w:rPr>
              <w:t>. Standard errors are clustered at the country level</w:t>
            </w:r>
            <w:r w:rsidR="00EA021B" w:rsidRPr="00716971">
              <w:rPr>
                <w:rFonts w:ascii="Times New Roman" w:hAnsi="Times New Roman"/>
                <w:sz w:val="16"/>
                <w:szCs w:val="16"/>
                <w:lang w:eastAsia="zh-HK"/>
              </w:rPr>
              <w:t xml:space="preserve"> and t-statistics are reported in parentheses; *, **, and *** indicate significance at the 10%, 5% and 1% levels respectively.</w:t>
            </w:r>
            <w:r w:rsidR="00EA021B">
              <w:rPr>
                <w:rFonts w:ascii="Times New Roman" w:hAnsi="Times New Roman"/>
                <w:sz w:val="16"/>
                <w:szCs w:val="16"/>
                <w:lang w:eastAsia="zh-HK"/>
              </w:rPr>
              <w:t xml:space="preserve"> </w:t>
            </w:r>
            <w:r w:rsidR="00EA021B" w:rsidRPr="00B86E32">
              <w:rPr>
                <w:rFonts w:ascii="Times New Roman" w:hAnsi="Times New Roman"/>
                <w:sz w:val="16"/>
                <w:szCs w:val="16"/>
                <w:lang w:eastAsia="zh-HK"/>
              </w:rPr>
              <w:t>The</w:t>
            </w:r>
            <w:r w:rsidR="00EA021B">
              <w:rPr>
                <w:rFonts w:ascii="Times New Roman" w:hAnsi="Times New Roman"/>
                <w:sz w:val="16"/>
                <w:szCs w:val="16"/>
                <w:lang w:eastAsia="zh-HK"/>
              </w:rPr>
              <w:t xml:space="preserve"> </w:t>
            </w:r>
            <w:r w:rsidR="00EA021B" w:rsidRPr="00B86E32">
              <w:rPr>
                <w:rFonts w:ascii="Times New Roman" w:hAnsi="Times New Roman"/>
                <w:sz w:val="16"/>
                <w:szCs w:val="16"/>
                <w:lang w:eastAsia="zh-HK"/>
              </w:rPr>
              <w:t xml:space="preserve">variables are </w:t>
            </w:r>
            <w:r w:rsidR="00EA021B">
              <w:rPr>
                <w:rFonts w:ascii="Times New Roman" w:hAnsi="Times New Roman"/>
                <w:sz w:val="16"/>
                <w:szCs w:val="16"/>
                <w:lang w:eastAsia="zh-HK"/>
              </w:rPr>
              <w:t>defined</w:t>
            </w:r>
            <w:r w:rsidR="00EA021B" w:rsidRPr="00B86E32">
              <w:rPr>
                <w:rFonts w:ascii="Times New Roman" w:hAnsi="Times New Roman"/>
                <w:sz w:val="16"/>
                <w:szCs w:val="16"/>
                <w:lang w:eastAsia="zh-HK"/>
              </w:rPr>
              <w:t xml:space="preserve"> in Table </w:t>
            </w:r>
            <w:r w:rsidR="00EA021B">
              <w:rPr>
                <w:rFonts w:ascii="Times New Roman" w:eastAsiaTheme="minorEastAsia" w:hAnsi="Times New Roman" w:hint="eastAsia"/>
                <w:sz w:val="16"/>
                <w:szCs w:val="16"/>
                <w:lang w:eastAsia="zh-HK"/>
              </w:rPr>
              <w:t>II</w:t>
            </w:r>
            <w:r w:rsidR="00EA021B" w:rsidRPr="00B86E32">
              <w:rPr>
                <w:rFonts w:ascii="Times New Roman" w:hAnsi="Times New Roman"/>
                <w:sz w:val="16"/>
                <w:szCs w:val="16"/>
                <w:lang w:eastAsia="zh-HK"/>
              </w:rPr>
              <w:t>.</w:t>
            </w:r>
          </w:p>
        </w:tc>
      </w:tr>
    </w:tbl>
    <w:p w14:paraId="27AFF452" w14:textId="77777777" w:rsidR="00F232FA" w:rsidRDefault="00F232FA" w:rsidP="00F232FA">
      <w:pPr>
        <w:spacing w:after="0" w:line="200" w:lineRule="exact"/>
        <w:jc w:val="center"/>
        <w:rPr>
          <w:rFonts w:ascii="Times New Roman" w:hAnsi="Times New Roman"/>
          <w:b/>
          <w:sz w:val="16"/>
          <w:szCs w:val="16"/>
          <w:lang w:eastAsia="zh-HK"/>
        </w:rPr>
      </w:pPr>
    </w:p>
    <w:p w14:paraId="0F454EB8" w14:textId="77777777" w:rsidR="00F232FA" w:rsidRDefault="00F232FA" w:rsidP="00F232FA">
      <w:pPr>
        <w:spacing w:after="0" w:line="200" w:lineRule="exact"/>
        <w:jc w:val="center"/>
        <w:rPr>
          <w:rFonts w:ascii="Times New Roman" w:hAnsi="Times New Roman"/>
          <w:b/>
          <w:sz w:val="16"/>
          <w:szCs w:val="16"/>
          <w:lang w:eastAsia="zh-HK"/>
        </w:rPr>
      </w:pPr>
    </w:p>
    <w:p w14:paraId="5B55295C" w14:textId="77777777" w:rsidR="00F232FA" w:rsidRDefault="00F232FA" w:rsidP="00F232FA">
      <w:pPr>
        <w:spacing w:after="0" w:line="200" w:lineRule="exact"/>
        <w:jc w:val="center"/>
        <w:rPr>
          <w:rFonts w:ascii="Times New Roman" w:hAnsi="Times New Roman"/>
          <w:b/>
          <w:sz w:val="16"/>
          <w:szCs w:val="16"/>
          <w:lang w:eastAsia="zh-HK"/>
        </w:rPr>
      </w:pPr>
    </w:p>
    <w:p w14:paraId="3E838EC2" w14:textId="77777777" w:rsidR="00F232FA" w:rsidRDefault="00F232FA" w:rsidP="00F232FA">
      <w:pPr>
        <w:spacing w:after="0" w:line="200" w:lineRule="exact"/>
        <w:jc w:val="center"/>
        <w:rPr>
          <w:rFonts w:ascii="Times New Roman" w:hAnsi="Times New Roman"/>
          <w:b/>
          <w:sz w:val="16"/>
          <w:szCs w:val="16"/>
          <w:lang w:eastAsia="zh-HK"/>
        </w:rPr>
      </w:pPr>
    </w:p>
    <w:p w14:paraId="25186151" w14:textId="77777777" w:rsidR="00F232FA" w:rsidRDefault="00F232FA" w:rsidP="00F232FA">
      <w:pPr>
        <w:spacing w:after="0" w:line="200" w:lineRule="exact"/>
        <w:jc w:val="center"/>
        <w:rPr>
          <w:rFonts w:ascii="Times New Roman" w:hAnsi="Times New Roman"/>
          <w:b/>
          <w:sz w:val="16"/>
          <w:szCs w:val="16"/>
          <w:lang w:eastAsia="zh-HK"/>
        </w:rPr>
      </w:pPr>
    </w:p>
    <w:p w14:paraId="1FD86E1F" w14:textId="77777777" w:rsidR="00F232FA" w:rsidRDefault="00F232FA" w:rsidP="00F232FA">
      <w:pPr>
        <w:spacing w:after="0" w:line="200" w:lineRule="exact"/>
        <w:jc w:val="center"/>
        <w:rPr>
          <w:rFonts w:ascii="Times New Roman" w:hAnsi="Times New Roman"/>
          <w:b/>
          <w:sz w:val="16"/>
          <w:szCs w:val="16"/>
          <w:lang w:eastAsia="zh-HK"/>
        </w:rPr>
      </w:pPr>
    </w:p>
    <w:p w14:paraId="60754812" w14:textId="77777777" w:rsidR="00F232FA" w:rsidRDefault="00F232FA" w:rsidP="00F232FA">
      <w:pPr>
        <w:spacing w:after="0" w:line="200" w:lineRule="exact"/>
        <w:jc w:val="center"/>
        <w:rPr>
          <w:rFonts w:ascii="Times New Roman" w:hAnsi="Times New Roman"/>
          <w:b/>
          <w:sz w:val="16"/>
          <w:szCs w:val="16"/>
          <w:lang w:eastAsia="zh-HK"/>
        </w:rPr>
      </w:pPr>
    </w:p>
    <w:p w14:paraId="2234F853" w14:textId="77777777" w:rsidR="00F232FA" w:rsidRDefault="00F232FA" w:rsidP="00F232FA">
      <w:pPr>
        <w:spacing w:after="0" w:line="200" w:lineRule="exact"/>
        <w:jc w:val="center"/>
        <w:rPr>
          <w:rFonts w:ascii="Times New Roman" w:hAnsi="Times New Roman"/>
          <w:b/>
          <w:sz w:val="16"/>
          <w:szCs w:val="16"/>
          <w:lang w:eastAsia="zh-HK"/>
        </w:rPr>
      </w:pPr>
    </w:p>
    <w:p w14:paraId="6C7700FA" w14:textId="77777777" w:rsidR="00F232FA" w:rsidRDefault="00F232FA" w:rsidP="00F232FA">
      <w:pPr>
        <w:spacing w:after="0" w:line="200" w:lineRule="exact"/>
        <w:jc w:val="center"/>
        <w:rPr>
          <w:rFonts w:ascii="Times New Roman" w:hAnsi="Times New Roman"/>
          <w:b/>
          <w:sz w:val="16"/>
          <w:szCs w:val="16"/>
          <w:lang w:eastAsia="zh-HK"/>
        </w:rPr>
      </w:pPr>
    </w:p>
    <w:p w14:paraId="4D0019FB" w14:textId="77777777" w:rsidR="00F232FA" w:rsidRDefault="00F232FA" w:rsidP="00F232FA">
      <w:pPr>
        <w:spacing w:after="0" w:line="200" w:lineRule="exact"/>
        <w:jc w:val="center"/>
        <w:rPr>
          <w:rFonts w:ascii="Times New Roman" w:hAnsi="Times New Roman"/>
          <w:b/>
          <w:sz w:val="16"/>
          <w:szCs w:val="16"/>
          <w:lang w:eastAsia="zh-HK"/>
        </w:rPr>
      </w:pPr>
    </w:p>
    <w:p w14:paraId="3A2116FC" w14:textId="77777777" w:rsidR="00F232FA" w:rsidRDefault="00F232FA" w:rsidP="00F232FA">
      <w:pPr>
        <w:spacing w:after="0" w:line="200" w:lineRule="exact"/>
        <w:jc w:val="center"/>
        <w:rPr>
          <w:rFonts w:ascii="Times New Roman" w:hAnsi="Times New Roman"/>
          <w:b/>
          <w:sz w:val="16"/>
          <w:szCs w:val="16"/>
          <w:lang w:eastAsia="zh-HK"/>
        </w:rPr>
      </w:pPr>
    </w:p>
    <w:p w14:paraId="7A99AD7C" w14:textId="77777777" w:rsidR="00F232FA" w:rsidRDefault="00F232FA" w:rsidP="00F232FA">
      <w:pPr>
        <w:spacing w:after="0" w:line="200" w:lineRule="exact"/>
        <w:jc w:val="center"/>
        <w:rPr>
          <w:rFonts w:ascii="Times New Roman" w:hAnsi="Times New Roman"/>
          <w:b/>
          <w:sz w:val="16"/>
          <w:szCs w:val="16"/>
          <w:lang w:eastAsia="zh-HK"/>
        </w:rPr>
      </w:pPr>
    </w:p>
    <w:p w14:paraId="6CE38333" w14:textId="02736529" w:rsidR="00F232FA" w:rsidRDefault="00F232FA" w:rsidP="00F232FA">
      <w:pPr>
        <w:spacing w:after="0" w:line="200" w:lineRule="exact"/>
        <w:jc w:val="center"/>
        <w:rPr>
          <w:rFonts w:ascii="Times New Roman" w:hAnsi="Times New Roman"/>
          <w:b/>
          <w:sz w:val="16"/>
          <w:szCs w:val="16"/>
          <w:lang w:eastAsia="zh-HK"/>
        </w:rPr>
      </w:pPr>
      <w:r w:rsidRPr="00716971">
        <w:rPr>
          <w:rFonts w:ascii="Times New Roman" w:hAnsi="Times New Roman"/>
          <w:b/>
          <w:sz w:val="16"/>
          <w:szCs w:val="16"/>
          <w:lang w:eastAsia="zh-HK"/>
        </w:rPr>
        <w:lastRenderedPageBreak/>
        <w:t xml:space="preserve">Table </w:t>
      </w:r>
      <w:r>
        <w:rPr>
          <w:rFonts w:ascii="Times New Roman" w:hAnsi="Times New Roman"/>
          <w:b/>
          <w:sz w:val="16"/>
          <w:szCs w:val="16"/>
          <w:lang w:eastAsia="zh-HK"/>
        </w:rPr>
        <w:t>X</w:t>
      </w:r>
      <w:r w:rsidR="00516A9F">
        <w:rPr>
          <w:rFonts w:ascii="Times New Roman" w:hAnsi="Times New Roman"/>
          <w:b/>
          <w:sz w:val="16"/>
          <w:szCs w:val="16"/>
          <w:lang w:eastAsia="zh-HK"/>
        </w:rPr>
        <w:t>I</w:t>
      </w:r>
      <w:r>
        <w:rPr>
          <w:rFonts w:ascii="Times New Roman" w:eastAsiaTheme="minorEastAsia" w:hAnsi="Times New Roman" w:hint="eastAsia"/>
          <w:b/>
          <w:sz w:val="16"/>
          <w:szCs w:val="16"/>
          <w:lang w:eastAsia="zh-HK"/>
        </w:rPr>
        <w:t xml:space="preserve">. </w:t>
      </w:r>
      <w:r>
        <w:rPr>
          <w:rFonts w:ascii="Times New Roman" w:hAnsi="Times New Roman"/>
          <w:b/>
          <w:sz w:val="16"/>
          <w:szCs w:val="16"/>
          <w:lang w:eastAsia="zh-HK"/>
        </w:rPr>
        <w:t>Regression of systemic risks with the multiple imputation method</w:t>
      </w:r>
    </w:p>
    <w:p w14:paraId="6F2D379B" w14:textId="77777777" w:rsidR="00F232FA" w:rsidRPr="00A32F46" w:rsidRDefault="00F232FA" w:rsidP="00F232FA">
      <w:pPr>
        <w:spacing w:after="0" w:line="200" w:lineRule="exact"/>
        <w:jc w:val="center"/>
        <w:rPr>
          <w:rFonts w:ascii="Times New Roman" w:eastAsiaTheme="minorEastAsia" w:hAnsi="Times New Roman"/>
          <w:b/>
          <w:sz w:val="16"/>
          <w:szCs w:val="16"/>
          <w:lang w:eastAsia="zh-HK"/>
        </w:rPr>
      </w:pPr>
    </w:p>
    <w:tbl>
      <w:tblPr>
        <w:tblStyle w:val="TableGrid"/>
        <w:tblW w:w="720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710"/>
        <w:gridCol w:w="1620"/>
        <w:gridCol w:w="1530"/>
      </w:tblGrid>
      <w:tr w:rsidR="00F232FA" w:rsidRPr="00716971" w14:paraId="227822F9" w14:textId="77777777" w:rsidTr="00495588">
        <w:tc>
          <w:tcPr>
            <w:tcW w:w="2340" w:type="dxa"/>
          </w:tcPr>
          <w:p w14:paraId="34BB2DB8" w14:textId="77777777" w:rsidR="00F232FA" w:rsidRPr="00716971" w:rsidRDefault="00F232FA" w:rsidP="00495588">
            <w:pPr>
              <w:spacing w:after="0" w:line="200" w:lineRule="exact"/>
              <w:jc w:val="center"/>
              <w:rPr>
                <w:rFonts w:ascii="Times New Roman" w:hAnsi="Times New Roman"/>
                <w:sz w:val="16"/>
                <w:szCs w:val="16"/>
              </w:rPr>
            </w:pPr>
          </w:p>
        </w:tc>
        <w:tc>
          <w:tcPr>
            <w:tcW w:w="4860" w:type="dxa"/>
            <w:gridSpan w:val="3"/>
            <w:tcBorders>
              <w:top w:val="single" w:sz="4" w:space="0" w:color="auto"/>
              <w:bottom w:val="single" w:sz="4" w:space="0" w:color="auto"/>
            </w:tcBorders>
          </w:tcPr>
          <w:p w14:paraId="0BD5C1CA" w14:textId="77777777" w:rsidR="00F232FA" w:rsidRPr="00716971" w:rsidRDefault="00F232FA" w:rsidP="00495588">
            <w:pPr>
              <w:spacing w:after="0" w:line="200" w:lineRule="exact"/>
              <w:jc w:val="center"/>
              <w:rPr>
                <w:rFonts w:ascii="Times New Roman" w:hAnsi="Times New Roman"/>
                <w:sz w:val="16"/>
                <w:szCs w:val="16"/>
              </w:rPr>
            </w:pPr>
            <w:r w:rsidRPr="00716971">
              <w:rPr>
                <w:rFonts w:ascii="Times New Roman" w:hAnsi="Times New Roman"/>
                <w:sz w:val="16"/>
                <w:szCs w:val="16"/>
              </w:rPr>
              <w:t>Dependent variable</w:t>
            </w:r>
          </w:p>
        </w:tc>
      </w:tr>
      <w:tr w:rsidR="00F232FA" w:rsidRPr="00716971" w14:paraId="2C057E4E" w14:textId="77777777" w:rsidTr="00495588">
        <w:tc>
          <w:tcPr>
            <w:tcW w:w="2340" w:type="dxa"/>
            <w:tcBorders>
              <w:bottom w:val="nil"/>
            </w:tcBorders>
          </w:tcPr>
          <w:p w14:paraId="75E273F5" w14:textId="77777777" w:rsidR="00F232FA" w:rsidRPr="00716971" w:rsidRDefault="00F232FA" w:rsidP="00495588">
            <w:pPr>
              <w:spacing w:after="0" w:line="200" w:lineRule="exact"/>
              <w:jc w:val="center"/>
              <w:rPr>
                <w:rFonts w:ascii="Times New Roman" w:hAnsi="Times New Roman"/>
                <w:sz w:val="16"/>
                <w:szCs w:val="16"/>
              </w:rPr>
            </w:pPr>
          </w:p>
        </w:tc>
        <w:tc>
          <w:tcPr>
            <w:tcW w:w="1710" w:type="dxa"/>
            <w:tcBorders>
              <w:top w:val="single" w:sz="4" w:space="0" w:color="auto"/>
              <w:bottom w:val="nil"/>
              <w:right w:val="nil"/>
            </w:tcBorders>
          </w:tcPr>
          <w:p w14:paraId="0B87857A" w14:textId="77777777" w:rsidR="00F232FA" w:rsidRPr="00716971" w:rsidRDefault="00F232FA" w:rsidP="00495588">
            <w:pPr>
              <w:spacing w:after="0" w:line="200" w:lineRule="exact"/>
              <w:jc w:val="center"/>
              <w:rPr>
                <w:rFonts w:ascii="Times New Roman" w:hAnsi="Times New Roman"/>
                <w:sz w:val="16"/>
                <w:szCs w:val="16"/>
              </w:rPr>
            </w:pPr>
            <w:r>
              <w:rPr>
                <w:rFonts w:ascii="Times New Roman" w:hAnsi="Times New Roman"/>
                <w:sz w:val="16"/>
                <w:szCs w:val="16"/>
              </w:rPr>
              <w:t>MES (%)</w:t>
            </w:r>
          </w:p>
        </w:tc>
        <w:tc>
          <w:tcPr>
            <w:tcW w:w="1620" w:type="dxa"/>
            <w:tcBorders>
              <w:top w:val="single" w:sz="4" w:space="0" w:color="auto"/>
              <w:left w:val="nil"/>
              <w:bottom w:val="nil"/>
              <w:right w:val="nil"/>
            </w:tcBorders>
          </w:tcPr>
          <w:p w14:paraId="69185C61" w14:textId="77777777" w:rsidR="00F232FA" w:rsidRPr="002A5AD2" w:rsidRDefault="00F232FA" w:rsidP="00495588">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SRISK</w:t>
            </w:r>
            <w:r>
              <w:rPr>
                <w:rFonts w:ascii="Times New Roman" w:eastAsiaTheme="minorEastAsia" w:hAnsi="Times New Roman"/>
                <w:sz w:val="16"/>
                <w:szCs w:val="16"/>
                <w:lang w:eastAsia="zh-TW"/>
              </w:rPr>
              <w:t xml:space="preserve"> (in billions)</w:t>
            </w:r>
          </w:p>
        </w:tc>
        <w:tc>
          <w:tcPr>
            <w:tcW w:w="1530" w:type="dxa"/>
            <w:tcBorders>
              <w:top w:val="single" w:sz="4" w:space="0" w:color="auto"/>
              <w:left w:val="nil"/>
              <w:bottom w:val="nil"/>
            </w:tcBorders>
          </w:tcPr>
          <w:p w14:paraId="669CE4E1" w14:textId="77777777" w:rsidR="00F232FA" w:rsidRPr="00716971" w:rsidRDefault="00F232FA" w:rsidP="00495588">
            <w:pPr>
              <w:spacing w:after="0" w:line="200" w:lineRule="exact"/>
              <w:jc w:val="center"/>
              <w:rPr>
                <w:rFonts w:ascii="Times New Roman" w:hAnsi="Times New Roman"/>
                <w:sz w:val="16"/>
                <w:szCs w:val="16"/>
              </w:rPr>
            </w:pP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w:t>
            </w:r>
          </w:p>
        </w:tc>
      </w:tr>
      <w:tr w:rsidR="00F232FA" w:rsidRPr="00716971" w14:paraId="075DEE26" w14:textId="77777777" w:rsidTr="00495588">
        <w:tc>
          <w:tcPr>
            <w:tcW w:w="2340" w:type="dxa"/>
            <w:tcBorders>
              <w:top w:val="nil"/>
              <w:bottom w:val="single" w:sz="4" w:space="0" w:color="auto"/>
            </w:tcBorders>
          </w:tcPr>
          <w:p w14:paraId="69CB45C2" w14:textId="77777777" w:rsidR="00F232FA" w:rsidRPr="00716971" w:rsidRDefault="00F232FA" w:rsidP="00495588">
            <w:pPr>
              <w:spacing w:after="0" w:line="200" w:lineRule="exact"/>
              <w:jc w:val="center"/>
              <w:rPr>
                <w:rFonts w:ascii="Times New Roman" w:hAnsi="Times New Roman"/>
                <w:sz w:val="16"/>
                <w:szCs w:val="16"/>
              </w:rPr>
            </w:pPr>
          </w:p>
        </w:tc>
        <w:tc>
          <w:tcPr>
            <w:tcW w:w="1710" w:type="dxa"/>
            <w:tcBorders>
              <w:top w:val="nil"/>
              <w:bottom w:val="single" w:sz="4" w:space="0" w:color="auto"/>
              <w:right w:val="nil"/>
            </w:tcBorders>
          </w:tcPr>
          <w:p w14:paraId="364011FF" w14:textId="77777777" w:rsidR="00F232FA" w:rsidRPr="00716971" w:rsidRDefault="00F232FA" w:rsidP="00495588">
            <w:pPr>
              <w:spacing w:after="0" w:line="200" w:lineRule="exact"/>
              <w:jc w:val="center"/>
              <w:rPr>
                <w:rFonts w:ascii="Times New Roman" w:hAnsi="Times New Roman"/>
                <w:sz w:val="16"/>
                <w:szCs w:val="16"/>
              </w:rPr>
            </w:pPr>
            <w:r w:rsidRPr="00716971">
              <w:rPr>
                <w:rFonts w:ascii="Times New Roman" w:hAnsi="Times New Roman"/>
                <w:sz w:val="16"/>
                <w:szCs w:val="16"/>
              </w:rPr>
              <w:t>(1)</w:t>
            </w:r>
          </w:p>
        </w:tc>
        <w:tc>
          <w:tcPr>
            <w:tcW w:w="1620" w:type="dxa"/>
            <w:tcBorders>
              <w:top w:val="nil"/>
              <w:left w:val="nil"/>
              <w:bottom w:val="single" w:sz="4" w:space="0" w:color="auto"/>
              <w:right w:val="nil"/>
            </w:tcBorders>
          </w:tcPr>
          <w:p w14:paraId="52FF3A67" w14:textId="77777777" w:rsidR="00F232FA" w:rsidRPr="00716971" w:rsidRDefault="00F232FA" w:rsidP="00495588">
            <w:pPr>
              <w:spacing w:after="0" w:line="200" w:lineRule="exact"/>
              <w:jc w:val="center"/>
              <w:rPr>
                <w:rFonts w:ascii="Times New Roman" w:hAnsi="Times New Roman"/>
                <w:sz w:val="16"/>
                <w:szCs w:val="16"/>
              </w:rPr>
            </w:pPr>
            <w:r w:rsidRPr="00716971">
              <w:rPr>
                <w:rFonts w:ascii="Times New Roman" w:hAnsi="Times New Roman"/>
                <w:sz w:val="16"/>
                <w:szCs w:val="16"/>
              </w:rPr>
              <w:t>(</w:t>
            </w:r>
            <w:r>
              <w:rPr>
                <w:rFonts w:ascii="Times New Roman" w:hAnsi="Times New Roman"/>
                <w:sz w:val="16"/>
                <w:szCs w:val="16"/>
              </w:rPr>
              <w:t>2</w:t>
            </w:r>
            <w:r w:rsidRPr="00716971">
              <w:rPr>
                <w:rFonts w:ascii="Times New Roman" w:hAnsi="Times New Roman"/>
                <w:sz w:val="16"/>
                <w:szCs w:val="16"/>
              </w:rPr>
              <w:t>)</w:t>
            </w:r>
          </w:p>
        </w:tc>
        <w:tc>
          <w:tcPr>
            <w:tcW w:w="1530" w:type="dxa"/>
            <w:tcBorders>
              <w:top w:val="nil"/>
              <w:left w:val="nil"/>
              <w:bottom w:val="single" w:sz="4" w:space="0" w:color="auto"/>
            </w:tcBorders>
          </w:tcPr>
          <w:p w14:paraId="2470684C" w14:textId="77777777" w:rsidR="00F232FA" w:rsidRPr="00716971" w:rsidRDefault="00F232FA" w:rsidP="00495588">
            <w:pPr>
              <w:spacing w:after="0" w:line="200" w:lineRule="exact"/>
              <w:jc w:val="center"/>
              <w:rPr>
                <w:rFonts w:ascii="Times New Roman" w:hAnsi="Times New Roman"/>
                <w:sz w:val="16"/>
                <w:szCs w:val="16"/>
              </w:rPr>
            </w:pPr>
            <w:r w:rsidRPr="00716971">
              <w:rPr>
                <w:rFonts w:ascii="Times New Roman" w:hAnsi="Times New Roman"/>
                <w:sz w:val="16"/>
                <w:szCs w:val="16"/>
              </w:rPr>
              <w:t>(3)</w:t>
            </w:r>
          </w:p>
        </w:tc>
      </w:tr>
      <w:tr w:rsidR="00C66058" w:rsidRPr="00716971" w14:paraId="1DE50EA0" w14:textId="77777777" w:rsidTr="008D1ADB">
        <w:tc>
          <w:tcPr>
            <w:tcW w:w="2340" w:type="dxa"/>
            <w:tcBorders>
              <w:top w:val="single" w:sz="4" w:space="0" w:color="auto"/>
            </w:tcBorders>
          </w:tcPr>
          <w:p w14:paraId="3985E6AC" w14:textId="77777777" w:rsidR="00C66058" w:rsidRPr="002A5AD2" w:rsidRDefault="00C66058" w:rsidP="00C66058">
            <w:pPr>
              <w:spacing w:after="0" w:line="200" w:lineRule="exact"/>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 xml:space="preserve">Policy </w:t>
            </w:r>
            <w:r>
              <w:rPr>
                <w:rFonts w:ascii="Times New Roman" w:eastAsiaTheme="minorEastAsia" w:hAnsi="Times New Roman"/>
                <w:sz w:val="16"/>
                <w:szCs w:val="16"/>
                <w:lang w:eastAsia="zh-TW"/>
              </w:rPr>
              <w:t>x GSII</w:t>
            </w:r>
          </w:p>
        </w:tc>
        <w:tc>
          <w:tcPr>
            <w:tcW w:w="1710" w:type="dxa"/>
            <w:tcBorders>
              <w:top w:val="single" w:sz="4" w:space="0" w:color="auto"/>
              <w:right w:val="nil"/>
            </w:tcBorders>
            <w:vAlign w:val="center"/>
          </w:tcPr>
          <w:p w14:paraId="272F3ECB"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-0.716*** </w:t>
            </w:r>
          </w:p>
          <w:p w14:paraId="4F58BFC9" w14:textId="1F194315"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(-4.56)</w:t>
            </w:r>
          </w:p>
        </w:tc>
        <w:tc>
          <w:tcPr>
            <w:tcW w:w="1620" w:type="dxa"/>
            <w:tcBorders>
              <w:top w:val="single" w:sz="4" w:space="0" w:color="auto"/>
              <w:left w:val="nil"/>
              <w:right w:val="nil"/>
            </w:tcBorders>
            <w:vAlign w:val="center"/>
          </w:tcPr>
          <w:p w14:paraId="25323F4C"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-7.369** </w:t>
            </w:r>
          </w:p>
          <w:p w14:paraId="2E562C91" w14:textId="44F5CFD0"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(-2.23)</w:t>
            </w:r>
          </w:p>
        </w:tc>
        <w:tc>
          <w:tcPr>
            <w:tcW w:w="1530" w:type="dxa"/>
            <w:tcBorders>
              <w:top w:val="single" w:sz="4" w:space="0" w:color="auto"/>
              <w:left w:val="nil"/>
            </w:tcBorders>
            <w:vAlign w:val="center"/>
          </w:tcPr>
          <w:p w14:paraId="06B7969D"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0.234*** </w:t>
            </w:r>
          </w:p>
          <w:p w14:paraId="6CCA09C0" w14:textId="0C10F037"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(4.4</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r>
      <w:tr w:rsidR="00C66058" w:rsidRPr="00716971" w14:paraId="1BAA315C" w14:textId="77777777" w:rsidTr="008D1ADB">
        <w:tc>
          <w:tcPr>
            <w:tcW w:w="2340" w:type="dxa"/>
          </w:tcPr>
          <w:p w14:paraId="776EDDF9" w14:textId="77777777" w:rsidR="00C66058" w:rsidRPr="00716971" w:rsidRDefault="00C66058" w:rsidP="00C66058">
            <w:pPr>
              <w:spacing w:after="0" w:line="200" w:lineRule="exact"/>
              <w:rPr>
                <w:rFonts w:ascii="Times New Roman" w:hAnsi="Times New Roman"/>
                <w:sz w:val="16"/>
                <w:szCs w:val="16"/>
                <w:lang w:eastAsia="zh-HK"/>
              </w:rPr>
            </w:pPr>
            <w:r w:rsidRPr="003E7C25">
              <w:rPr>
                <w:rFonts w:ascii="Times New Roman" w:hAnsi="Times New Roman"/>
                <w:sz w:val="16"/>
                <w:szCs w:val="16"/>
                <w:lang w:eastAsia="zh-HK"/>
              </w:rPr>
              <w:t>Log (Assets in billions)</w:t>
            </w:r>
          </w:p>
        </w:tc>
        <w:tc>
          <w:tcPr>
            <w:tcW w:w="1710" w:type="dxa"/>
            <w:tcBorders>
              <w:right w:val="nil"/>
            </w:tcBorders>
            <w:vAlign w:val="center"/>
          </w:tcPr>
          <w:p w14:paraId="0D4A04A9"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0.014 </w:t>
            </w:r>
          </w:p>
          <w:p w14:paraId="74EC6C73" w14:textId="44EE83FB"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(0.17)</w:t>
            </w:r>
          </w:p>
        </w:tc>
        <w:tc>
          <w:tcPr>
            <w:tcW w:w="1620" w:type="dxa"/>
            <w:tcBorders>
              <w:left w:val="nil"/>
              <w:right w:val="nil"/>
            </w:tcBorders>
            <w:vAlign w:val="center"/>
          </w:tcPr>
          <w:p w14:paraId="70AFE9E4"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2.422* </w:t>
            </w:r>
          </w:p>
          <w:p w14:paraId="5C6CCB09" w14:textId="7A6E0B38"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(1.7</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530" w:type="dxa"/>
            <w:tcBorders>
              <w:left w:val="nil"/>
            </w:tcBorders>
            <w:vAlign w:val="center"/>
          </w:tcPr>
          <w:p w14:paraId="6E1DCCED"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-0.086*** </w:t>
            </w:r>
          </w:p>
          <w:p w14:paraId="66EFE17C" w14:textId="2DECBD10"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(-2.74)</w:t>
            </w:r>
          </w:p>
        </w:tc>
      </w:tr>
      <w:tr w:rsidR="00C66058" w:rsidRPr="00716971" w14:paraId="2B4CF351" w14:textId="77777777" w:rsidTr="008D1ADB">
        <w:tc>
          <w:tcPr>
            <w:tcW w:w="2340" w:type="dxa"/>
          </w:tcPr>
          <w:p w14:paraId="6B344BB2" w14:textId="77777777" w:rsidR="00C66058" w:rsidRPr="00716971" w:rsidRDefault="00C66058" w:rsidP="00C66058">
            <w:pPr>
              <w:spacing w:after="0" w:line="200" w:lineRule="exact"/>
              <w:rPr>
                <w:rFonts w:ascii="Times New Roman" w:hAnsi="Times New Roman"/>
                <w:sz w:val="16"/>
                <w:szCs w:val="16"/>
              </w:rPr>
            </w:pPr>
            <w:r w:rsidRPr="003E7C25">
              <w:rPr>
                <w:rFonts w:ascii="Times New Roman" w:hAnsi="Times New Roman"/>
                <w:sz w:val="16"/>
                <w:szCs w:val="16"/>
              </w:rPr>
              <w:t>Leverage</w:t>
            </w:r>
          </w:p>
        </w:tc>
        <w:tc>
          <w:tcPr>
            <w:tcW w:w="1710" w:type="dxa"/>
            <w:tcBorders>
              <w:right w:val="nil"/>
            </w:tcBorders>
            <w:vAlign w:val="center"/>
          </w:tcPr>
          <w:p w14:paraId="34ACCAF8"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0.032*** </w:t>
            </w:r>
          </w:p>
          <w:p w14:paraId="13A54DFD" w14:textId="50BE6EC8"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(12.33)</w:t>
            </w:r>
          </w:p>
        </w:tc>
        <w:tc>
          <w:tcPr>
            <w:tcW w:w="1620" w:type="dxa"/>
            <w:tcBorders>
              <w:left w:val="nil"/>
              <w:right w:val="nil"/>
            </w:tcBorders>
            <w:vAlign w:val="center"/>
          </w:tcPr>
          <w:p w14:paraId="5441424E"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0.194*** </w:t>
            </w:r>
          </w:p>
          <w:p w14:paraId="6B21321B" w14:textId="65A3B41A"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(4.35)</w:t>
            </w:r>
          </w:p>
        </w:tc>
        <w:tc>
          <w:tcPr>
            <w:tcW w:w="1530" w:type="dxa"/>
            <w:tcBorders>
              <w:left w:val="nil"/>
            </w:tcBorders>
            <w:vAlign w:val="center"/>
          </w:tcPr>
          <w:p w14:paraId="7ED58BCD"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0.002** </w:t>
            </w:r>
          </w:p>
          <w:p w14:paraId="63AAD226" w14:textId="79604F77"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(2.38)</w:t>
            </w:r>
          </w:p>
        </w:tc>
      </w:tr>
      <w:tr w:rsidR="00C66058" w:rsidRPr="00716971" w14:paraId="6EB3B101" w14:textId="77777777" w:rsidTr="008D1ADB">
        <w:tc>
          <w:tcPr>
            <w:tcW w:w="2340" w:type="dxa"/>
          </w:tcPr>
          <w:p w14:paraId="421F3967" w14:textId="77777777" w:rsidR="00C66058" w:rsidRPr="00716971" w:rsidRDefault="00C66058" w:rsidP="00C66058">
            <w:pPr>
              <w:spacing w:after="0" w:line="200" w:lineRule="exact"/>
              <w:rPr>
                <w:rFonts w:ascii="Times New Roman" w:hAnsi="Times New Roman"/>
                <w:sz w:val="16"/>
                <w:szCs w:val="16"/>
              </w:rPr>
            </w:pPr>
            <w:r w:rsidRPr="003E7C25">
              <w:rPr>
                <w:rFonts w:ascii="Times New Roman" w:hAnsi="Times New Roman"/>
                <w:sz w:val="16"/>
                <w:szCs w:val="16"/>
              </w:rPr>
              <w:t>Non-insurance activities</w:t>
            </w:r>
          </w:p>
        </w:tc>
        <w:tc>
          <w:tcPr>
            <w:tcW w:w="1710" w:type="dxa"/>
            <w:tcBorders>
              <w:right w:val="nil"/>
            </w:tcBorders>
            <w:vAlign w:val="center"/>
          </w:tcPr>
          <w:p w14:paraId="7AC062A9"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-0.257** </w:t>
            </w:r>
          </w:p>
          <w:p w14:paraId="22A1601F" w14:textId="638350CF"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(-2.3</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620" w:type="dxa"/>
            <w:tcBorders>
              <w:left w:val="nil"/>
              <w:right w:val="nil"/>
            </w:tcBorders>
            <w:vAlign w:val="center"/>
          </w:tcPr>
          <w:p w14:paraId="20ECCD9C"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1.326* </w:t>
            </w:r>
          </w:p>
          <w:p w14:paraId="79B869B5" w14:textId="0D521498"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(1.77)</w:t>
            </w:r>
          </w:p>
        </w:tc>
        <w:tc>
          <w:tcPr>
            <w:tcW w:w="1530" w:type="dxa"/>
            <w:tcBorders>
              <w:left w:val="nil"/>
            </w:tcBorders>
            <w:vAlign w:val="center"/>
          </w:tcPr>
          <w:p w14:paraId="6A052870"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-0.006 </w:t>
            </w:r>
          </w:p>
          <w:p w14:paraId="78EB1C90" w14:textId="651B7931"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(-0.18)</w:t>
            </w:r>
          </w:p>
        </w:tc>
      </w:tr>
      <w:tr w:rsidR="00C66058" w:rsidRPr="00716971" w14:paraId="6C098183" w14:textId="77777777" w:rsidTr="008D1ADB">
        <w:tc>
          <w:tcPr>
            <w:tcW w:w="2340" w:type="dxa"/>
          </w:tcPr>
          <w:p w14:paraId="7E9A5464" w14:textId="77777777" w:rsidR="00C66058" w:rsidRPr="00716971" w:rsidRDefault="00C66058" w:rsidP="00C66058">
            <w:pPr>
              <w:spacing w:after="0" w:line="200" w:lineRule="exact"/>
              <w:rPr>
                <w:rFonts w:ascii="Times New Roman" w:hAnsi="Times New Roman"/>
                <w:sz w:val="16"/>
                <w:szCs w:val="16"/>
              </w:rPr>
            </w:pPr>
            <w:r w:rsidRPr="003E7C25">
              <w:rPr>
                <w:rFonts w:ascii="Times New Roman" w:hAnsi="Times New Roman"/>
                <w:sz w:val="16"/>
                <w:szCs w:val="16"/>
              </w:rPr>
              <w:t>Other incomes</w:t>
            </w:r>
          </w:p>
        </w:tc>
        <w:tc>
          <w:tcPr>
            <w:tcW w:w="1710" w:type="dxa"/>
            <w:tcBorders>
              <w:right w:val="nil"/>
            </w:tcBorders>
            <w:vAlign w:val="center"/>
          </w:tcPr>
          <w:p w14:paraId="18BDE0A8"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-0.159 </w:t>
            </w:r>
          </w:p>
          <w:p w14:paraId="20312427" w14:textId="25F3E5A6"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(-0.26)</w:t>
            </w:r>
          </w:p>
        </w:tc>
        <w:tc>
          <w:tcPr>
            <w:tcW w:w="1620" w:type="dxa"/>
            <w:tcBorders>
              <w:left w:val="nil"/>
              <w:right w:val="nil"/>
            </w:tcBorders>
            <w:vAlign w:val="center"/>
          </w:tcPr>
          <w:p w14:paraId="2542AF32"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1.997 </w:t>
            </w:r>
          </w:p>
          <w:p w14:paraId="1FC0CB2C" w14:textId="47947469"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(1.16)</w:t>
            </w:r>
          </w:p>
        </w:tc>
        <w:tc>
          <w:tcPr>
            <w:tcW w:w="1530" w:type="dxa"/>
            <w:tcBorders>
              <w:left w:val="nil"/>
            </w:tcBorders>
            <w:vAlign w:val="center"/>
          </w:tcPr>
          <w:p w14:paraId="3DBEC48C"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-0.182 </w:t>
            </w:r>
          </w:p>
          <w:p w14:paraId="09AA79A6" w14:textId="1F73EFAF"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(-0.81)</w:t>
            </w:r>
          </w:p>
        </w:tc>
      </w:tr>
      <w:tr w:rsidR="00C66058" w:rsidRPr="00716971" w14:paraId="70DC37F8" w14:textId="77777777" w:rsidTr="008D1ADB">
        <w:tc>
          <w:tcPr>
            <w:tcW w:w="2340" w:type="dxa"/>
          </w:tcPr>
          <w:p w14:paraId="43BA5EDF" w14:textId="77777777" w:rsidR="00C66058" w:rsidRPr="00716971" w:rsidRDefault="00C66058" w:rsidP="00C6605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Global activities</w:t>
            </w:r>
          </w:p>
        </w:tc>
        <w:tc>
          <w:tcPr>
            <w:tcW w:w="1710" w:type="dxa"/>
            <w:tcBorders>
              <w:right w:val="nil"/>
            </w:tcBorders>
            <w:vAlign w:val="center"/>
          </w:tcPr>
          <w:p w14:paraId="6C3202F9"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0.209 </w:t>
            </w:r>
          </w:p>
          <w:p w14:paraId="4229A3B5" w14:textId="397F8585"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(1.54)</w:t>
            </w:r>
          </w:p>
        </w:tc>
        <w:tc>
          <w:tcPr>
            <w:tcW w:w="1620" w:type="dxa"/>
            <w:tcBorders>
              <w:left w:val="nil"/>
              <w:right w:val="nil"/>
            </w:tcBorders>
            <w:vAlign w:val="center"/>
          </w:tcPr>
          <w:p w14:paraId="6BB2BC2C"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0.071 </w:t>
            </w:r>
          </w:p>
          <w:p w14:paraId="371F6C71" w14:textId="7078F743"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(0.17)</w:t>
            </w:r>
          </w:p>
        </w:tc>
        <w:tc>
          <w:tcPr>
            <w:tcW w:w="1530" w:type="dxa"/>
            <w:tcBorders>
              <w:left w:val="nil"/>
            </w:tcBorders>
            <w:vAlign w:val="center"/>
          </w:tcPr>
          <w:p w14:paraId="2CCA7BA6"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-0.028 </w:t>
            </w:r>
          </w:p>
          <w:p w14:paraId="6B63DB2D" w14:textId="2BF68EA1"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(-0.59)</w:t>
            </w:r>
          </w:p>
        </w:tc>
      </w:tr>
      <w:tr w:rsidR="00C66058" w:rsidRPr="00716971" w14:paraId="30AD6967" w14:textId="77777777" w:rsidTr="008D1ADB">
        <w:tc>
          <w:tcPr>
            <w:tcW w:w="2340" w:type="dxa"/>
          </w:tcPr>
          <w:p w14:paraId="4B5C1137" w14:textId="77777777" w:rsidR="00C66058" w:rsidRPr="00716971" w:rsidRDefault="00C66058" w:rsidP="00C66058">
            <w:pPr>
              <w:spacing w:after="0" w:line="200" w:lineRule="exact"/>
              <w:rPr>
                <w:rFonts w:ascii="Times New Roman" w:hAnsi="Times New Roman"/>
                <w:sz w:val="16"/>
                <w:szCs w:val="16"/>
                <w:lang w:eastAsia="zh-HK"/>
              </w:rPr>
            </w:pPr>
            <w:r w:rsidRPr="003E7C25">
              <w:rPr>
                <w:rFonts w:ascii="Times New Roman" w:hAnsi="Times New Roman"/>
                <w:sz w:val="16"/>
                <w:szCs w:val="16"/>
                <w:lang w:eastAsia="zh-HK"/>
              </w:rPr>
              <w:t>Liquidity</w:t>
            </w:r>
          </w:p>
        </w:tc>
        <w:tc>
          <w:tcPr>
            <w:tcW w:w="1710" w:type="dxa"/>
            <w:tcBorders>
              <w:right w:val="nil"/>
            </w:tcBorders>
            <w:vAlign w:val="center"/>
          </w:tcPr>
          <w:p w14:paraId="302E55E4"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-0.036 </w:t>
            </w:r>
          </w:p>
          <w:p w14:paraId="66B6F6B7" w14:textId="3C374A68"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(-0.31)</w:t>
            </w:r>
          </w:p>
        </w:tc>
        <w:tc>
          <w:tcPr>
            <w:tcW w:w="1620" w:type="dxa"/>
            <w:tcBorders>
              <w:left w:val="nil"/>
              <w:right w:val="nil"/>
            </w:tcBorders>
            <w:vAlign w:val="center"/>
          </w:tcPr>
          <w:p w14:paraId="1E062AB4"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-0.775 </w:t>
            </w:r>
          </w:p>
          <w:p w14:paraId="3BFB2F0F" w14:textId="7B62F2B6"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(-1.27)</w:t>
            </w:r>
          </w:p>
        </w:tc>
        <w:tc>
          <w:tcPr>
            <w:tcW w:w="1530" w:type="dxa"/>
            <w:tcBorders>
              <w:left w:val="nil"/>
            </w:tcBorders>
            <w:vAlign w:val="center"/>
          </w:tcPr>
          <w:p w14:paraId="20E09D62"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 </w:t>
            </w:r>
          </w:p>
          <w:p w14:paraId="4549862E" w14:textId="4DD9355A"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(-0.38)</w:t>
            </w:r>
          </w:p>
        </w:tc>
      </w:tr>
      <w:tr w:rsidR="00C66058" w:rsidRPr="00716971" w14:paraId="2F7D2D77" w14:textId="77777777" w:rsidTr="008D1ADB">
        <w:tc>
          <w:tcPr>
            <w:tcW w:w="2340" w:type="dxa"/>
          </w:tcPr>
          <w:p w14:paraId="07B17454" w14:textId="77777777" w:rsidR="00C66058" w:rsidRPr="003E7C25" w:rsidRDefault="00C66058" w:rsidP="00C66058">
            <w:pPr>
              <w:spacing w:after="0" w:line="200" w:lineRule="exact"/>
              <w:rPr>
                <w:rFonts w:ascii="Times New Roman" w:hAnsi="Times New Roman"/>
                <w:sz w:val="16"/>
                <w:szCs w:val="16"/>
                <w:lang w:eastAsia="zh-HK"/>
              </w:rPr>
            </w:pPr>
            <w:r>
              <w:rPr>
                <w:rFonts w:ascii="Times New Roman" w:eastAsiaTheme="minorEastAsia" w:hAnsi="Times New Roman" w:hint="eastAsia"/>
                <w:sz w:val="16"/>
                <w:szCs w:val="16"/>
                <w:lang w:eastAsia="zh-TW"/>
              </w:rPr>
              <w:t>M</w:t>
            </w:r>
            <w:r>
              <w:rPr>
                <w:rFonts w:ascii="Times New Roman" w:eastAsiaTheme="minorEastAsia" w:hAnsi="Times New Roman"/>
                <w:sz w:val="16"/>
                <w:szCs w:val="16"/>
                <w:lang w:eastAsia="zh-TW"/>
              </w:rPr>
              <w:t>arket-to-book ratio</w:t>
            </w:r>
          </w:p>
        </w:tc>
        <w:tc>
          <w:tcPr>
            <w:tcW w:w="1710" w:type="dxa"/>
            <w:tcBorders>
              <w:right w:val="nil"/>
            </w:tcBorders>
            <w:vAlign w:val="center"/>
          </w:tcPr>
          <w:p w14:paraId="7E319E47"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-0.008 </w:t>
            </w:r>
          </w:p>
          <w:p w14:paraId="501059D6" w14:textId="6CE3E769"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(-0.12)</w:t>
            </w:r>
          </w:p>
        </w:tc>
        <w:tc>
          <w:tcPr>
            <w:tcW w:w="1620" w:type="dxa"/>
            <w:tcBorders>
              <w:left w:val="nil"/>
              <w:right w:val="nil"/>
            </w:tcBorders>
            <w:vAlign w:val="center"/>
          </w:tcPr>
          <w:p w14:paraId="00CA0D1C"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0.001 </w:t>
            </w:r>
          </w:p>
          <w:p w14:paraId="7DB00577" w14:textId="5D38E3E1"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w:t>
            </w:r>
            <w:r>
              <w:rPr>
                <w:rFonts w:ascii="Times New Roman Uni" w:eastAsia="Times New Roman Uni" w:hAnsi="Times New Roman Uni" w:cs="Times New Roman Uni" w:hint="eastAsia"/>
                <w:color w:val="000000"/>
                <w:sz w:val="16"/>
                <w:szCs w:val="16"/>
              </w:rPr>
              <w:t>)</w:t>
            </w:r>
          </w:p>
        </w:tc>
        <w:tc>
          <w:tcPr>
            <w:tcW w:w="1530" w:type="dxa"/>
            <w:tcBorders>
              <w:left w:val="nil"/>
            </w:tcBorders>
            <w:vAlign w:val="center"/>
          </w:tcPr>
          <w:p w14:paraId="63E932E2"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0.021 </w:t>
            </w:r>
          </w:p>
          <w:p w14:paraId="67973946" w14:textId="2699589C"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(1.58)</w:t>
            </w:r>
          </w:p>
        </w:tc>
      </w:tr>
      <w:tr w:rsidR="00C66058" w:rsidRPr="00716971" w14:paraId="543958B1" w14:textId="77777777" w:rsidTr="008D1ADB">
        <w:tc>
          <w:tcPr>
            <w:tcW w:w="2340" w:type="dxa"/>
          </w:tcPr>
          <w:p w14:paraId="7045EB72" w14:textId="77777777" w:rsidR="00C66058" w:rsidRPr="003E7C25" w:rsidRDefault="00C66058" w:rsidP="00C66058">
            <w:pPr>
              <w:spacing w:after="0" w:line="200" w:lineRule="exact"/>
              <w:rPr>
                <w:rFonts w:ascii="Times New Roman" w:eastAsiaTheme="minorEastAsia" w:hAnsi="Times New Roman"/>
                <w:sz w:val="16"/>
                <w:szCs w:val="16"/>
                <w:lang w:eastAsia="zh-HK"/>
              </w:rPr>
            </w:pPr>
            <w:r w:rsidRPr="003E7C25">
              <w:rPr>
                <w:rFonts w:ascii="Times New Roman" w:eastAsiaTheme="minorEastAsia" w:hAnsi="Times New Roman"/>
                <w:sz w:val="16"/>
                <w:szCs w:val="16"/>
                <w:lang w:eastAsia="zh-TW"/>
              </w:rPr>
              <w:t>Life</w:t>
            </w:r>
          </w:p>
        </w:tc>
        <w:tc>
          <w:tcPr>
            <w:tcW w:w="1710" w:type="dxa"/>
            <w:tcBorders>
              <w:right w:val="nil"/>
            </w:tcBorders>
            <w:vAlign w:val="center"/>
          </w:tcPr>
          <w:p w14:paraId="5DE81940"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-0.899** </w:t>
            </w:r>
          </w:p>
          <w:p w14:paraId="03222AC7" w14:textId="5BD38D7F"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(-2.43)</w:t>
            </w:r>
          </w:p>
        </w:tc>
        <w:tc>
          <w:tcPr>
            <w:tcW w:w="1620" w:type="dxa"/>
            <w:tcBorders>
              <w:left w:val="nil"/>
              <w:right w:val="nil"/>
            </w:tcBorders>
            <w:vAlign w:val="center"/>
          </w:tcPr>
          <w:p w14:paraId="5285B5B6"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8.231 </w:t>
            </w:r>
          </w:p>
          <w:p w14:paraId="4DFEC470" w14:textId="6762C0A7"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(1.26)</w:t>
            </w:r>
          </w:p>
        </w:tc>
        <w:tc>
          <w:tcPr>
            <w:tcW w:w="1530" w:type="dxa"/>
            <w:tcBorders>
              <w:left w:val="nil"/>
            </w:tcBorders>
            <w:vAlign w:val="center"/>
          </w:tcPr>
          <w:p w14:paraId="5F8B878A"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0.292* </w:t>
            </w:r>
          </w:p>
          <w:p w14:paraId="6D0E2F4C" w14:textId="3F37ECFD"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(1.93)</w:t>
            </w:r>
          </w:p>
        </w:tc>
      </w:tr>
      <w:tr w:rsidR="00C66058" w:rsidRPr="00716971" w14:paraId="709086AC" w14:textId="77777777" w:rsidTr="008D1ADB">
        <w:tc>
          <w:tcPr>
            <w:tcW w:w="2340" w:type="dxa"/>
          </w:tcPr>
          <w:p w14:paraId="370C4F4D" w14:textId="77777777" w:rsidR="00C66058" w:rsidRPr="003E7C25" w:rsidRDefault="00C66058" w:rsidP="00C6605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Loss ratio</w:t>
            </w:r>
          </w:p>
        </w:tc>
        <w:tc>
          <w:tcPr>
            <w:tcW w:w="1710" w:type="dxa"/>
            <w:tcBorders>
              <w:right w:val="nil"/>
            </w:tcBorders>
            <w:vAlign w:val="center"/>
          </w:tcPr>
          <w:p w14:paraId="6744AA3B"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-0.001** </w:t>
            </w:r>
          </w:p>
          <w:p w14:paraId="4DFF860A" w14:textId="2DF691D0"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(-2.37)</w:t>
            </w:r>
          </w:p>
        </w:tc>
        <w:tc>
          <w:tcPr>
            <w:tcW w:w="1620" w:type="dxa"/>
            <w:tcBorders>
              <w:left w:val="nil"/>
              <w:right w:val="nil"/>
            </w:tcBorders>
            <w:vAlign w:val="center"/>
          </w:tcPr>
          <w:p w14:paraId="18D88AEC"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0.002 </w:t>
            </w:r>
          </w:p>
          <w:p w14:paraId="713E5A6A" w14:textId="762231AC"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(1.14)</w:t>
            </w:r>
          </w:p>
        </w:tc>
        <w:tc>
          <w:tcPr>
            <w:tcW w:w="1530" w:type="dxa"/>
            <w:tcBorders>
              <w:left w:val="nil"/>
            </w:tcBorders>
            <w:vAlign w:val="center"/>
          </w:tcPr>
          <w:p w14:paraId="427DE30C"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0</w:t>
            </w:r>
            <w:r>
              <w:rPr>
                <w:rFonts w:ascii="Times New Roman Uni" w:eastAsia="Times New Roman Uni" w:hAnsi="Times New Roman Uni" w:cs="Times New Roman Uni"/>
                <w:color w:val="000000"/>
                <w:sz w:val="16"/>
                <w:szCs w:val="16"/>
              </w:rPr>
              <w:t>.000</w:t>
            </w:r>
          </w:p>
          <w:p w14:paraId="5614A1D0" w14:textId="75ED4954"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(1.34)</w:t>
            </w:r>
          </w:p>
        </w:tc>
      </w:tr>
      <w:tr w:rsidR="00C66058" w:rsidRPr="00716971" w14:paraId="71AE8DF9" w14:textId="77777777" w:rsidTr="008D1ADB">
        <w:tc>
          <w:tcPr>
            <w:tcW w:w="2340" w:type="dxa"/>
          </w:tcPr>
          <w:p w14:paraId="738B621A" w14:textId="77777777" w:rsidR="00C66058" w:rsidRPr="003E7C25" w:rsidRDefault="00C66058" w:rsidP="00C6605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Investment income</w:t>
            </w:r>
            <w:r>
              <w:rPr>
                <w:rFonts w:ascii="Times New Roman" w:hAnsi="Times New Roman"/>
                <w:sz w:val="16"/>
                <w:szCs w:val="16"/>
                <w:lang w:eastAsia="zh-HK"/>
              </w:rPr>
              <w:t>s</w:t>
            </w:r>
          </w:p>
        </w:tc>
        <w:tc>
          <w:tcPr>
            <w:tcW w:w="1710" w:type="dxa"/>
            <w:tcBorders>
              <w:right w:val="nil"/>
            </w:tcBorders>
            <w:vAlign w:val="center"/>
          </w:tcPr>
          <w:p w14:paraId="1FE1F96E"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6.051* </w:t>
            </w:r>
          </w:p>
          <w:p w14:paraId="2E956620" w14:textId="15ACC3D8"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(1.87)</w:t>
            </w:r>
          </w:p>
        </w:tc>
        <w:tc>
          <w:tcPr>
            <w:tcW w:w="1620" w:type="dxa"/>
            <w:tcBorders>
              <w:left w:val="nil"/>
              <w:right w:val="nil"/>
            </w:tcBorders>
            <w:vAlign w:val="center"/>
          </w:tcPr>
          <w:p w14:paraId="7B4CCD50"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-4.502 </w:t>
            </w:r>
          </w:p>
          <w:p w14:paraId="04E378F9" w14:textId="13F363EA"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(-0.73)</w:t>
            </w:r>
          </w:p>
        </w:tc>
        <w:tc>
          <w:tcPr>
            <w:tcW w:w="1530" w:type="dxa"/>
            <w:tcBorders>
              <w:left w:val="nil"/>
            </w:tcBorders>
            <w:vAlign w:val="center"/>
          </w:tcPr>
          <w:p w14:paraId="51CC5C66"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-0.534 </w:t>
            </w:r>
          </w:p>
          <w:p w14:paraId="359D6167" w14:textId="1E7035CB"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(-0.74)</w:t>
            </w:r>
          </w:p>
        </w:tc>
      </w:tr>
      <w:tr w:rsidR="00C66058" w:rsidRPr="00716971" w14:paraId="24CE2949" w14:textId="77777777" w:rsidTr="008D1ADB">
        <w:tc>
          <w:tcPr>
            <w:tcW w:w="2340" w:type="dxa"/>
          </w:tcPr>
          <w:p w14:paraId="50897654" w14:textId="77777777" w:rsidR="00C66058" w:rsidRDefault="00C66058" w:rsidP="00C6605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ROA (%)</w:t>
            </w:r>
          </w:p>
        </w:tc>
        <w:tc>
          <w:tcPr>
            <w:tcW w:w="1710" w:type="dxa"/>
            <w:tcBorders>
              <w:right w:val="nil"/>
            </w:tcBorders>
            <w:vAlign w:val="center"/>
          </w:tcPr>
          <w:p w14:paraId="7EE018E4"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-0.013 </w:t>
            </w:r>
          </w:p>
          <w:p w14:paraId="7B968FA4" w14:textId="0571EEBA"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(-0.55)</w:t>
            </w:r>
          </w:p>
        </w:tc>
        <w:tc>
          <w:tcPr>
            <w:tcW w:w="1620" w:type="dxa"/>
            <w:tcBorders>
              <w:left w:val="nil"/>
              <w:right w:val="nil"/>
            </w:tcBorders>
            <w:vAlign w:val="center"/>
          </w:tcPr>
          <w:p w14:paraId="2C6FA429"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0.082 </w:t>
            </w:r>
          </w:p>
          <w:p w14:paraId="6DD3F3BF" w14:textId="0F939960"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(1.28)</w:t>
            </w:r>
          </w:p>
        </w:tc>
        <w:tc>
          <w:tcPr>
            <w:tcW w:w="1530" w:type="dxa"/>
            <w:tcBorders>
              <w:left w:val="nil"/>
            </w:tcBorders>
            <w:vAlign w:val="center"/>
          </w:tcPr>
          <w:p w14:paraId="7A6A21E6"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-0.004 </w:t>
            </w:r>
          </w:p>
          <w:p w14:paraId="25AACED9" w14:textId="51746C43"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(-0.73)</w:t>
            </w:r>
          </w:p>
        </w:tc>
      </w:tr>
      <w:tr w:rsidR="00C66058" w:rsidRPr="00716971" w14:paraId="3CCE9354" w14:textId="77777777" w:rsidTr="008D1ADB">
        <w:tc>
          <w:tcPr>
            <w:tcW w:w="2340" w:type="dxa"/>
          </w:tcPr>
          <w:p w14:paraId="14128FD1" w14:textId="77777777" w:rsidR="00C66058" w:rsidRDefault="00C66058" w:rsidP="00C6605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Operating expenses</w:t>
            </w:r>
          </w:p>
        </w:tc>
        <w:tc>
          <w:tcPr>
            <w:tcW w:w="1710" w:type="dxa"/>
            <w:tcBorders>
              <w:right w:val="nil"/>
            </w:tcBorders>
            <w:vAlign w:val="center"/>
          </w:tcPr>
          <w:p w14:paraId="14092151"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-0.077 </w:t>
            </w:r>
          </w:p>
          <w:p w14:paraId="2BCF0424" w14:textId="0885E75A"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(-0.22)</w:t>
            </w:r>
          </w:p>
        </w:tc>
        <w:tc>
          <w:tcPr>
            <w:tcW w:w="1620" w:type="dxa"/>
            <w:tcBorders>
              <w:left w:val="nil"/>
              <w:right w:val="nil"/>
            </w:tcBorders>
            <w:vAlign w:val="center"/>
          </w:tcPr>
          <w:p w14:paraId="615FA5C0"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1.036 </w:t>
            </w:r>
          </w:p>
          <w:p w14:paraId="5B214E75" w14:textId="28C9D0E5"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(0.96)</w:t>
            </w:r>
          </w:p>
        </w:tc>
        <w:tc>
          <w:tcPr>
            <w:tcW w:w="1530" w:type="dxa"/>
            <w:tcBorders>
              <w:left w:val="nil"/>
            </w:tcBorders>
            <w:vAlign w:val="center"/>
          </w:tcPr>
          <w:p w14:paraId="3764D9A2"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0.167 </w:t>
            </w:r>
          </w:p>
          <w:p w14:paraId="51CCE734" w14:textId="1D2BE109"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(1.46)</w:t>
            </w:r>
          </w:p>
        </w:tc>
      </w:tr>
      <w:tr w:rsidR="00C66058" w:rsidRPr="00716971" w14:paraId="0033DB1C" w14:textId="77777777" w:rsidTr="008D1ADB">
        <w:tc>
          <w:tcPr>
            <w:tcW w:w="2340" w:type="dxa"/>
          </w:tcPr>
          <w:p w14:paraId="5BF6C465" w14:textId="77777777" w:rsidR="00C66058" w:rsidRDefault="00C66058" w:rsidP="00C66058">
            <w:pPr>
              <w:spacing w:after="0" w:line="200" w:lineRule="exact"/>
              <w:rPr>
                <w:rFonts w:ascii="Times New Roman" w:hAnsi="Times New Roman"/>
                <w:sz w:val="16"/>
                <w:szCs w:val="16"/>
                <w:lang w:eastAsia="zh-HK"/>
              </w:rPr>
            </w:pPr>
            <w:r>
              <w:rPr>
                <w:rFonts w:ascii="Times New Roman" w:eastAsiaTheme="minorEastAsia" w:hAnsi="Times New Roman"/>
                <w:sz w:val="16"/>
                <w:szCs w:val="16"/>
                <w:lang w:eastAsia="zh-HK"/>
              </w:rPr>
              <w:t>GDP growth (%)</w:t>
            </w:r>
          </w:p>
        </w:tc>
        <w:tc>
          <w:tcPr>
            <w:tcW w:w="1710" w:type="dxa"/>
            <w:tcBorders>
              <w:right w:val="nil"/>
            </w:tcBorders>
            <w:vAlign w:val="center"/>
          </w:tcPr>
          <w:p w14:paraId="60B72DE0"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-0.043 </w:t>
            </w:r>
          </w:p>
          <w:p w14:paraId="3FF02BFC" w14:textId="5B4AD416" w:rsidR="00C66058" w:rsidRPr="00833656" w:rsidRDefault="00C66058" w:rsidP="00C66058">
            <w:pPr>
              <w:spacing w:after="0" w:line="200" w:lineRule="exact"/>
              <w:jc w:val="center"/>
              <w:rPr>
                <w:rFonts w:ascii="Times New Roman" w:hAnsi="Times New Roman"/>
                <w:sz w:val="16"/>
                <w:szCs w:val="16"/>
              </w:rPr>
            </w:pPr>
            <w:r>
              <w:rPr>
                <w:rFonts w:ascii="Times New Roman Uni" w:eastAsia="Times New Roman Uni" w:hAnsi="Times New Roman Uni" w:cs="Times New Roman Uni" w:hint="eastAsia"/>
                <w:color w:val="000000"/>
                <w:sz w:val="16"/>
                <w:szCs w:val="16"/>
              </w:rPr>
              <w:t>(-1.35)</w:t>
            </w:r>
          </w:p>
        </w:tc>
        <w:tc>
          <w:tcPr>
            <w:tcW w:w="1620" w:type="dxa"/>
            <w:tcBorders>
              <w:left w:val="nil"/>
              <w:right w:val="nil"/>
            </w:tcBorders>
            <w:vAlign w:val="center"/>
          </w:tcPr>
          <w:p w14:paraId="5D075DE4"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0.095 </w:t>
            </w:r>
          </w:p>
          <w:p w14:paraId="196AE4A3" w14:textId="10828103"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(1.3</w:t>
            </w:r>
            <w:r>
              <w:rPr>
                <w:rFonts w:ascii="Times New Roman Uni" w:eastAsia="Times New Roman Uni" w:hAnsi="Times New Roman Uni" w:cs="Times New Roman Uni"/>
                <w:color w:val="000000"/>
                <w:sz w:val="16"/>
                <w:szCs w:val="16"/>
              </w:rPr>
              <w:t>0</w:t>
            </w:r>
            <w:r>
              <w:rPr>
                <w:rFonts w:ascii="Times New Roman Uni" w:eastAsia="Times New Roman Uni" w:hAnsi="Times New Roman Uni" w:cs="Times New Roman Uni" w:hint="eastAsia"/>
                <w:color w:val="000000"/>
                <w:sz w:val="16"/>
                <w:szCs w:val="16"/>
              </w:rPr>
              <w:t>)</w:t>
            </w:r>
          </w:p>
        </w:tc>
        <w:tc>
          <w:tcPr>
            <w:tcW w:w="1530" w:type="dxa"/>
            <w:tcBorders>
              <w:left w:val="nil"/>
            </w:tcBorders>
            <w:vAlign w:val="center"/>
          </w:tcPr>
          <w:p w14:paraId="7171B619"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-0.016 </w:t>
            </w:r>
          </w:p>
          <w:p w14:paraId="78B2D8CB" w14:textId="7FEE3B9B"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(-1.25)</w:t>
            </w:r>
          </w:p>
        </w:tc>
      </w:tr>
      <w:tr w:rsidR="00C66058" w:rsidRPr="00716971" w14:paraId="606D1723" w14:textId="77777777" w:rsidTr="008D1ADB">
        <w:tc>
          <w:tcPr>
            <w:tcW w:w="2340" w:type="dxa"/>
          </w:tcPr>
          <w:p w14:paraId="60698248" w14:textId="77777777" w:rsidR="00C66058" w:rsidRDefault="00C66058" w:rsidP="00C66058">
            <w:pPr>
              <w:spacing w:after="0" w:line="200" w:lineRule="exact"/>
              <w:rPr>
                <w:rFonts w:ascii="Times New Roman" w:hAnsi="Times New Roman"/>
                <w:sz w:val="16"/>
                <w:szCs w:val="16"/>
                <w:lang w:eastAsia="zh-HK"/>
              </w:rPr>
            </w:pPr>
            <w:r>
              <w:rPr>
                <w:rFonts w:ascii="Times New Roman" w:hAnsi="Times New Roman"/>
                <w:sz w:val="16"/>
                <w:szCs w:val="16"/>
                <w:lang w:eastAsia="zh-HK"/>
              </w:rPr>
              <w:t>Inflation (%)</w:t>
            </w:r>
          </w:p>
        </w:tc>
        <w:tc>
          <w:tcPr>
            <w:tcW w:w="1710" w:type="dxa"/>
            <w:tcBorders>
              <w:right w:val="nil"/>
            </w:tcBorders>
            <w:vAlign w:val="center"/>
          </w:tcPr>
          <w:p w14:paraId="61FA1C63"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-0.038 </w:t>
            </w:r>
          </w:p>
          <w:p w14:paraId="0FA907B3" w14:textId="38CE6B60" w:rsidR="00C66058" w:rsidRPr="00833656"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(-0.74)</w:t>
            </w:r>
          </w:p>
        </w:tc>
        <w:tc>
          <w:tcPr>
            <w:tcW w:w="1620" w:type="dxa"/>
            <w:tcBorders>
              <w:left w:val="nil"/>
              <w:right w:val="nil"/>
            </w:tcBorders>
            <w:vAlign w:val="center"/>
          </w:tcPr>
          <w:p w14:paraId="496A109E"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-0.132* </w:t>
            </w:r>
          </w:p>
          <w:p w14:paraId="2743DC63" w14:textId="324CDA93" w:rsidR="00C66058" w:rsidRPr="00AD4F93"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(-1.92)</w:t>
            </w:r>
          </w:p>
        </w:tc>
        <w:tc>
          <w:tcPr>
            <w:tcW w:w="1530" w:type="dxa"/>
            <w:tcBorders>
              <w:left w:val="nil"/>
            </w:tcBorders>
            <w:vAlign w:val="center"/>
          </w:tcPr>
          <w:p w14:paraId="36247E3A" w14:textId="77777777" w:rsidR="00C66058" w:rsidRDefault="00C66058" w:rsidP="00C66058">
            <w:pPr>
              <w:spacing w:after="0" w:line="200" w:lineRule="exact"/>
              <w:jc w:val="center"/>
              <w:rPr>
                <w:rFonts w:ascii="Times New Roman Uni" w:eastAsia="Times New Roman Uni" w:hAnsi="Times New Roman Uni" w:cs="Times New Roman Uni"/>
                <w:color w:val="000000"/>
                <w:sz w:val="16"/>
                <w:szCs w:val="16"/>
              </w:rPr>
            </w:pPr>
            <w:r>
              <w:rPr>
                <w:rFonts w:ascii="Times New Roman Uni" w:eastAsia="Times New Roman Uni" w:hAnsi="Times New Roman Uni" w:cs="Times New Roman Uni" w:hint="eastAsia"/>
                <w:color w:val="000000"/>
                <w:sz w:val="16"/>
                <w:szCs w:val="16"/>
              </w:rPr>
              <w:t xml:space="preserve">0.006 </w:t>
            </w:r>
          </w:p>
          <w:p w14:paraId="20866F6B" w14:textId="4E6FE802" w:rsidR="00C66058" w:rsidRPr="005A5002" w:rsidRDefault="00C66058" w:rsidP="00C66058">
            <w:pPr>
              <w:spacing w:after="0" w:line="200" w:lineRule="exact"/>
              <w:jc w:val="center"/>
              <w:rPr>
                <w:rFonts w:ascii="Times New Roman" w:hAnsi="Times New Roman"/>
                <w:sz w:val="16"/>
                <w:szCs w:val="16"/>
                <w:lang w:eastAsia="zh-HK"/>
              </w:rPr>
            </w:pPr>
            <w:r>
              <w:rPr>
                <w:rFonts w:ascii="Times New Roman Uni" w:eastAsia="Times New Roman Uni" w:hAnsi="Times New Roman Uni" w:cs="Times New Roman Uni" w:hint="eastAsia"/>
                <w:color w:val="000000"/>
                <w:sz w:val="16"/>
                <w:szCs w:val="16"/>
              </w:rPr>
              <w:t>(0.33)</w:t>
            </w:r>
          </w:p>
        </w:tc>
      </w:tr>
      <w:tr w:rsidR="00F232FA" w:rsidRPr="00716971" w14:paraId="2AA1B4AC" w14:textId="77777777" w:rsidTr="00495588">
        <w:tc>
          <w:tcPr>
            <w:tcW w:w="2340" w:type="dxa"/>
          </w:tcPr>
          <w:p w14:paraId="541D8D8E" w14:textId="77777777" w:rsidR="00F232FA" w:rsidRDefault="00F232FA" w:rsidP="0049558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Firm fixed effects</w:t>
            </w:r>
          </w:p>
        </w:tc>
        <w:tc>
          <w:tcPr>
            <w:tcW w:w="1710" w:type="dxa"/>
            <w:tcBorders>
              <w:right w:val="nil"/>
            </w:tcBorders>
          </w:tcPr>
          <w:p w14:paraId="0CCC5363" w14:textId="77777777" w:rsidR="00F232FA" w:rsidRPr="00716971" w:rsidRDefault="00F232FA" w:rsidP="00495588">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620" w:type="dxa"/>
            <w:tcBorders>
              <w:left w:val="nil"/>
              <w:right w:val="nil"/>
            </w:tcBorders>
          </w:tcPr>
          <w:p w14:paraId="15A7A56E" w14:textId="77777777" w:rsidR="00F232FA" w:rsidRPr="00716971" w:rsidRDefault="00F232FA" w:rsidP="00495588">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530" w:type="dxa"/>
            <w:tcBorders>
              <w:left w:val="nil"/>
            </w:tcBorders>
          </w:tcPr>
          <w:p w14:paraId="5B8223BB" w14:textId="77777777" w:rsidR="00F232FA" w:rsidRPr="00716971" w:rsidRDefault="00F232FA" w:rsidP="00495588">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r>
      <w:tr w:rsidR="00F232FA" w:rsidRPr="00716971" w14:paraId="639FCD92" w14:textId="77777777" w:rsidTr="00495588">
        <w:tc>
          <w:tcPr>
            <w:tcW w:w="2340" w:type="dxa"/>
          </w:tcPr>
          <w:p w14:paraId="12511F37" w14:textId="67B08A2F" w:rsidR="00F232FA" w:rsidRPr="00716971" w:rsidRDefault="002F7DD9" w:rsidP="00495588">
            <w:pPr>
              <w:spacing w:after="0" w:line="200" w:lineRule="exact"/>
              <w:rPr>
                <w:rFonts w:ascii="Times New Roman" w:hAnsi="Times New Roman"/>
                <w:sz w:val="16"/>
                <w:szCs w:val="16"/>
                <w:lang w:eastAsia="zh-HK"/>
              </w:rPr>
            </w:pPr>
            <w:r>
              <w:rPr>
                <w:rFonts w:ascii="Times New Roman" w:hAnsi="Times New Roman"/>
                <w:sz w:val="16"/>
                <w:szCs w:val="16"/>
                <w:lang w:eastAsia="zh-HK"/>
              </w:rPr>
              <w:t>Time</w:t>
            </w:r>
            <w:r w:rsidR="00F232FA" w:rsidRPr="00716971">
              <w:rPr>
                <w:rFonts w:ascii="Times New Roman" w:hAnsi="Times New Roman"/>
                <w:sz w:val="16"/>
                <w:szCs w:val="16"/>
                <w:lang w:eastAsia="zh-HK"/>
              </w:rPr>
              <w:t xml:space="preserve"> fixed effects</w:t>
            </w:r>
          </w:p>
        </w:tc>
        <w:tc>
          <w:tcPr>
            <w:tcW w:w="1710" w:type="dxa"/>
            <w:tcBorders>
              <w:right w:val="nil"/>
            </w:tcBorders>
          </w:tcPr>
          <w:p w14:paraId="4D2729F7" w14:textId="77777777" w:rsidR="00F232FA" w:rsidRPr="00716971" w:rsidRDefault="00F232FA" w:rsidP="00495588">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620" w:type="dxa"/>
            <w:tcBorders>
              <w:left w:val="nil"/>
              <w:right w:val="nil"/>
            </w:tcBorders>
          </w:tcPr>
          <w:p w14:paraId="7281D047" w14:textId="77777777" w:rsidR="00F232FA" w:rsidRPr="00716971" w:rsidRDefault="00F232FA" w:rsidP="00495588">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c>
          <w:tcPr>
            <w:tcW w:w="1530" w:type="dxa"/>
            <w:tcBorders>
              <w:left w:val="nil"/>
            </w:tcBorders>
          </w:tcPr>
          <w:p w14:paraId="7920350B" w14:textId="77777777" w:rsidR="00F232FA" w:rsidRPr="00716971" w:rsidRDefault="00F232FA" w:rsidP="00495588">
            <w:pPr>
              <w:spacing w:after="0" w:line="200" w:lineRule="exact"/>
              <w:jc w:val="center"/>
              <w:rPr>
                <w:rFonts w:ascii="Times New Roman" w:hAnsi="Times New Roman"/>
                <w:sz w:val="16"/>
                <w:szCs w:val="16"/>
                <w:lang w:eastAsia="zh-HK"/>
              </w:rPr>
            </w:pPr>
            <w:r>
              <w:rPr>
                <w:rFonts w:ascii="Times New Roman" w:hAnsi="Times New Roman"/>
                <w:sz w:val="16"/>
                <w:szCs w:val="16"/>
                <w:lang w:eastAsia="zh-HK"/>
              </w:rPr>
              <w:t>Yes</w:t>
            </w:r>
          </w:p>
        </w:tc>
      </w:tr>
      <w:tr w:rsidR="00F232FA" w:rsidRPr="00716971" w14:paraId="6BDBE895" w14:textId="77777777" w:rsidTr="00495588">
        <w:tc>
          <w:tcPr>
            <w:tcW w:w="2340" w:type="dxa"/>
          </w:tcPr>
          <w:p w14:paraId="049E4D82" w14:textId="77777777" w:rsidR="00F232FA" w:rsidRPr="00716971" w:rsidRDefault="00F232FA" w:rsidP="00495588">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Observations</w:t>
            </w:r>
          </w:p>
        </w:tc>
        <w:tc>
          <w:tcPr>
            <w:tcW w:w="1710" w:type="dxa"/>
            <w:tcBorders>
              <w:right w:val="nil"/>
            </w:tcBorders>
          </w:tcPr>
          <w:p w14:paraId="4810242E" w14:textId="71C2D008" w:rsidR="00F232FA" w:rsidRPr="00716971" w:rsidRDefault="00833656" w:rsidP="00495588">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5</w:t>
            </w:r>
            <w:r>
              <w:rPr>
                <w:rFonts w:ascii="Times New Roman" w:hAnsi="Times New Roman"/>
                <w:sz w:val="16"/>
                <w:szCs w:val="16"/>
                <w:lang w:eastAsia="zh-HK"/>
              </w:rPr>
              <w:t>422</w:t>
            </w:r>
          </w:p>
        </w:tc>
        <w:tc>
          <w:tcPr>
            <w:tcW w:w="1620" w:type="dxa"/>
            <w:tcBorders>
              <w:left w:val="nil"/>
              <w:right w:val="nil"/>
            </w:tcBorders>
          </w:tcPr>
          <w:p w14:paraId="2E48DC24" w14:textId="2CC104DD" w:rsidR="00F232FA" w:rsidRPr="00716971" w:rsidRDefault="00AD4F93" w:rsidP="00495588">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54</w:t>
            </w:r>
            <w:r>
              <w:rPr>
                <w:rFonts w:ascii="Times New Roman" w:hAnsi="Times New Roman"/>
                <w:sz w:val="16"/>
                <w:szCs w:val="16"/>
                <w:lang w:eastAsia="zh-HK"/>
              </w:rPr>
              <w:t>22</w:t>
            </w:r>
          </w:p>
        </w:tc>
        <w:tc>
          <w:tcPr>
            <w:tcW w:w="1530" w:type="dxa"/>
            <w:tcBorders>
              <w:left w:val="nil"/>
            </w:tcBorders>
          </w:tcPr>
          <w:p w14:paraId="3C322C57" w14:textId="30BCFA7A" w:rsidR="00F232FA" w:rsidRPr="00716971" w:rsidRDefault="005A5002" w:rsidP="00495588">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54</w:t>
            </w:r>
            <w:r>
              <w:rPr>
                <w:rFonts w:ascii="Times New Roman" w:hAnsi="Times New Roman"/>
                <w:sz w:val="16"/>
                <w:szCs w:val="16"/>
                <w:lang w:eastAsia="zh-HK"/>
              </w:rPr>
              <w:t>22</w:t>
            </w:r>
          </w:p>
        </w:tc>
      </w:tr>
      <w:tr w:rsidR="00F232FA" w:rsidRPr="00716971" w14:paraId="707FD604" w14:textId="77777777" w:rsidTr="00495588">
        <w:tc>
          <w:tcPr>
            <w:tcW w:w="2340" w:type="dxa"/>
            <w:tcBorders>
              <w:bottom w:val="single" w:sz="4" w:space="0" w:color="auto"/>
            </w:tcBorders>
          </w:tcPr>
          <w:p w14:paraId="6E769A4E" w14:textId="77777777" w:rsidR="00F232FA" w:rsidRPr="00716971" w:rsidRDefault="00F232FA" w:rsidP="00495588">
            <w:pPr>
              <w:spacing w:after="0" w:line="200" w:lineRule="exact"/>
              <w:rPr>
                <w:rFonts w:ascii="Times New Roman" w:hAnsi="Times New Roman"/>
                <w:sz w:val="16"/>
                <w:szCs w:val="16"/>
                <w:lang w:eastAsia="zh-HK"/>
              </w:rPr>
            </w:pPr>
            <w:r>
              <w:rPr>
                <w:rFonts w:ascii="Times New Roman" w:hAnsi="Times New Roman"/>
                <w:sz w:val="16"/>
                <w:szCs w:val="16"/>
                <w:lang w:eastAsia="zh-HK"/>
              </w:rPr>
              <w:t>R</w:t>
            </w:r>
            <w:r w:rsidRPr="003E7C25">
              <w:rPr>
                <w:rFonts w:ascii="Times New Roman" w:hAnsi="Times New Roman"/>
                <w:sz w:val="16"/>
                <w:szCs w:val="16"/>
                <w:vertAlign w:val="superscript"/>
                <w:lang w:eastAsia="zh-HK"/>
              </w:rPr>
              <w:t>2</w:t>
            </w:r>
          </w:p>
        </w:tc>
        <w:tc>
          <w:tcPr>
            <w:tcW w:w="1710" w:type="dxa"/>
            <w:tcBorders>
              <w:bottom w:val="single" w:sz="4" w:space="0" w:color="auto"/>
              <w:right w:val="nil"/>
            </w:tcBorders>
          </w:tcPr>
          <w:p w14:paraId="570A9E0B" w14:textId="1C0CDBCF" w:rsidR="00F232FA" w:rsidRPr="00716971" w:rsidRDefault="00E64BCE" w:rsidP="00E64BCE">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0.543</w:t>
            </w:r>
          </w:p>
        </w:tc>
        <w:tc>
          <w:tcPr>
            <w:tcW w:w="1620" w:type="dxa"/>
            <w:tcBorders>
              <w:left w:val="nil"/>
              <w:bottom w:val="single" w:sz="4" w:space="0" w:color="auto"/>
              <w:right w:val="nil"/>
            </w:tcBorders>
          </w:tcPr>
          <w:p w14:paraId="4D5DE1A3" w14:textId="2F8C0EF1" w:rsidR="00F232FA" w:rsidRPr="00716971" w:rsidRDefault="00AD4F93" w:rsidP="00FC7A46">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0.8</w:t>
            </w:r>
            <w:r w:rsidR="00FC7A46">
              <w:rPr>
                <w:rFonts w:ascii="Times New Roman" w:hAnsi="Times New Roman"/>
                <w:sz w:val="16"/>
                <w:szCs w:val="16"/>
                <w:lang w:eastAsia="zh-HK"/>
              </w:rPr>
              <w:t>63</w:t>
            </w:r>
          </w:p>
        </w:tc>
        <w:tc>
          <w:tcPr>
            <w:tcW w:w="1530" w:type="dxa"/>
            <w:tcBorders>
              <w:left w:val="nil"/>
              <w:bottom w:val="single" w:sz="4" w:space="0" w:color="auto"/>
            </w:tcBorders>
          </w:tcPr>
          <w:p w14:paraId="25A61BA9" w14:textId="709CE8F0" w:rsidR="00F232FA" w:rsidRPr="00716971" w:rsidRDefault="005A5002" w:rsidP="00D365B6">
            <w:pPr>
              <w:spacing w:after="0" w:line="200" w:lineRule="exact"/>
              <w:jc w:val="center"/>
              <w:rPr>
                <w:rFonts w:ascii="Times New Roman" w:hAnsi="Times New Roman"/>
                <w:sz w:val="16"/>
                <w:szCs w:val="16"/>
                <w:lang w:eastAsia="zh-HK"/>
              </w:rPr>
            </w:pPr>
            <w:r>
              <w:rPr>
                <w:rFonts w:ascii="Times New Roman" w:hAnsi="Times New Roman" w:hint="eastAsia"/>
                <w:sz w:val="16"/>
                <w:szCs w:val="16"/>
                <w:lang w:eastAsia="zh-HK"/>
              </w:rPr>
              <w:t>0.</w:t>
            </w:r>
            <w:r w:rsidR="00D365B6">
              <w:rPr>
                <w:rFonts w:ascii="Times New Roman" w:hAnsi="Times New Roman"/>
                <w:sz w:val="16"/>
                <w:szCs w:val="16"/>
                <w:lang w:eastAsia="zh-HK"/>
              </w:rPr>
              <w:t>6442</w:t>
            </w:r>
          </w:p>
        </w:tc>
      </w:tr>
      <w:tr w:rsidR="00F232FA" w:rsidRPr="00716971" w14:paraId="5406EFBE" w14:textId="77777777" w:rsidTr="00495588">
        <w:tc>
          <w:tcPr>
            <w:tcW w:w="7200" w:type="dxa"/>
            <w:gridSpan w:val="4"/>
            <w:tcBorders>
              <w:top w:val="single" w:sz="4" w:space="0" w:color="auto"/>
              <w:bottom w:val="single" w:sz="4" w:space="0" w:color="auto"/>
            </w:tcBorders>
          </w:tcPr>
          <w:p w14:paraId="73425D6C" w14:textId="63512ECF" w:rsidR="00F232FA" w:rsidRPr="00A32F46" w:rsidRDefault="00F232FA" w:rsidP="000A5D47">
            <w:pPr>
              <w:spacing w:after="0" w:line="200" w:lineRule="exact"/>
              <w:jc w:val="both"/>
              <w:rPr>
                <w:rFonts w:ascii="Times New Roman" w:eastAsiaTheme="minorEastAsia" w:hAnsi="Times New Roman"/>
                <w:sz w:val="16"/>
                <w:szCs w:val="16"/>
                <w:lang w:eastAsia="zh-HK"/>
              </w:rPr>
            </w:pPr>
            <w:r>
              <w:rPr>
                <w:rFonts w:ascii="Times New Roman" w:hAnsi="Times New Roman"/>
                <w:sz w:val="16"/>
                <w:szCs w:val="16"/>
                <w:lang w:eastAsia="zh-HK"/>
              </w:rPr>
              <w:t xml:space="preserve">The table above reports the result of </w:t>
            </w:r>
            <w:r w:rsidR="00E86EF7">
              <w:rPr>
                <w:rFonts w:ascii="Times New Roman" w:hAnsi="Times New Roman"/>
                <w:sz w:val="16"/>
                <w:szCs w:val="16"/>
                <w:lang w:eastAsia="zh-HK"/>
              </w:rPr>
              <w:t xml:space="preserve">regression analysis with </w:t>
            </w:r>
            <w:r w:rsidR="004F2BA8">
              <w:rPr>
                <w:rFonts w:ascii="Times New Roman" w:hAnsi="Times New Roman"/>
                <w:sz w:val="16"/>
                <w:szCs w:val="16"/>
                <w:lang w:eastAsia="zh-HK"/>
              </w:rPr>
              <w:t xml:space="preserve">the </w:t>
            </w:r>
            <w:r w:rsidR="00E86EF7">
              <w:rPr>
                <w:rFonts w:ascii="Times New Roman" w:hAnsi="Times New Roman"/>
                <w:sz w:val="16"/>
                <w:szCs w:val="16"/>
                <w:lang w:eastAsia="zh-HK"/>
              </w:rPr>
              <w:t>multiple imputation method</w:t>
            </w:r>
            <w:r w:rsidR="007E759F">
              <w:rPr>
                <w:rFonts w:ascii="Times New Roman" w:hAnsi="Times New Roman"/>
                <w:sz w:val="16"/>
                <w:szCs w:val="16"/>
                <w:lang w:eastAsia="zh-HK"/>
              </w:rPr>
              <w:t xml:space="preserve"> to address the missing data problem</w:t>
            </w:r>
            <w:r w:rsidRPr="00716971">
              <w:rPr>
                <w:rFonts w:ascii="Times New Roman" w:hAnsi="Times New Roman"/>
                <w:sz w:val="16"/>
                <w:szCs w:val="16"/>
                <w:lang w:eastAsia="zh-HK"/>
              </w:rPr>
              <w:t xml:space="preserve">. </w:t>
            </w:r>
            <w:r>
              <w:rPr>
                <w:rFonts w:ascii="Times New Roman" w:hAnsi="Times New Roman"/>
                <w:sz w:val="16"/>
                <w:szCs w:val="16"/>
                <w:lang w:eastAsia="zh-HK"/>
              </w:rPr>
              <w:t xml:space="preserve">MES, SRISK and </w:t>
            </w:r>
            <w:proofErr w:type="spellStart"/>
            <w:r>
              <w:rPr>
                <w:rFonts w:ascii="Times New Roman" w:hAnsi="Times New Roman"/>
                <w:sz w:val="16"/>
                <w:szCs w:val="16"/>
                <w:lang w:eastAsia="zh-HK"/>
              </w:rPr>
              <w:t>ΔCoVAR</w:t>
            </w:r>
            <w:proofErr w:type="spellEnd"/>
            <w:r>
              <w:rPr>
                <w:rFonts w:ascii="Times New Roman" w:hAnsi="Times New Roman"/>
                <w:sz w:val="16"/>
                <w:szCs w:val="16"/>
                <w:lang w:eastAsia="zh-HK"/>
              </w:rPr>
              <w:t xml:space="preserve"> are computed with the World </w:t>
            </w:r>
            <w:proofErr w:type="spellStart"/>
            <w:r>
              <w:rPr>
                <w:rFonts w:ascii="Times New Roman" w:hAnsi="Times New Roman"/>
                <w:sz w:val="16"/>
                <w:szCs w:val="16"/>
                <w:lang w:eastAsia="zh-HK"/>
              </w:rPr>
              <w:t>Datastream</w:t>
            </w:r>
            <w:proofErr w:type="spellEnd"/>
            <w:r>
              <w:rPr>
                <w:rFonts w:ascii="Times New Roman" w:hAnsi="Times New Roman"/>
                <w:sz w:val="16"/>
                <w:szCs w:val="16"/>
                <w:lang w:eastAsia="zh-HK"/>
              </w:rPr>
              <w:t xml:space="preserve"> Financial Index as proxy for market index. Firm fixed effects and time</w:t>
            </w:r>
            <w:r w:rsidRPr="00716971">
              <w:rPr>
                <w:rFonts w:ascii="Times New Roman" w:hAnsi="Times New Roman"/>
                <w:sz w:val="16"/>
                <w:szCs w:val="16"/>
                <w:lang w:eastAsia="zh-HK"/>
              </w:rPr>
              <w:t xml:space="preserve"> fixed effects are included</w:t>
            </w:r>
            <w:r>
              <w:rPr>
                <w:rFonts w:ascii="Times New Roman" w:hAnsi="Times New Roman"/>
                <w:sz w:val="16"/>
                <w:szCs w:val="16"/>
                <w:lang w:eastAsia="zh-HK"/>
              </w:rPr>
              <w:t>. Standard errors are clustered at the country level</w:t>
            </w:r>
            <w:r w:rsidRPr="00716971">
              <w:rPr>
                <w:rFonts w:ascii="Times New Roman" w:hAnsi="Times New Roman"/>
                <w:sz w:val="16"/>
                <w:szCs w:val="16"/>
                <w:lang w:eastAsia="zh-HK"/>
              </w:rPr>
              <w:t xml:space="preserve"> and t-statistics are reported in parentheses; *, **, and *** indicate significance at the 10%, 5% and 1% levels respectively.</w:t>
            </w:r>
            <w:r>
              <w:rPr>
                <w:rFonts w:ascii="Times New Roman" w:hAnsi="Times New Roman"/>
                <w:sz w:val="16"/>
                <w:szCs w:val="16"/>
                <w:lang w:eastAsia="zh-HK"/>
              </w:rPr>
              <w:t xml:space="preserve"> </w:t>
            </w:r>
            <w:r w:rsidRPr="00B86E32">
              <w:rPr>
                <w:rFonts w:ascii="Times New Roman" w:hAnsi="Times New Roman"/>
                <w:sz w:val="16"/>
                <w:szCs w:val="16"/>
                <w:lang w:eastAsia="zh-HK"/>
              </w:rPr>
              <w:t>The</w:t>
            </w:r>
            <w:r>
              <w:rPr>
                <w:rFonts w:ascii="Times New Roman" w:hAnsi="Times New Roman"/>
                <w:sz w:val="16"/>
                <w:szCs w:val="16"/>
                <w:lang w:eastAsia="zh-HK"/>
              </w:rPr>
              <w:t xml:space="preserve"> </w:t>
            </w:r>
            <w:r w:rsidRPr="00B86E32">
              <w:rPr>
                <w:rFonts w:ascii="Times New Roman" w:hAnsi="Times New Roman"/>
                <w:sz w:val="16"/>
                <w:szCs w:val="16"/>
                <w:lang w:eastAsia="zh-HK"/>
              </w:rPr>
              <w:t xml:space="preserve">variables are </w:t>
            </w:r>
            <w:r>
              <w:rPr>
                <w:rFonts w:ascii="Times New Roman" w:hAnsi="Times New Roman"/>
                <w:sz w:val="16"/>
                <w:szCs w:val="16"/>
                <w:lang w:eastAsia="zh-HK"/>
              </w:rPr>
              <w:t>defined</w:t>
            </w:r>
            <w:r w:rsidRPr="00B86E32">
              <w:rPr>
                <w:rFonts w:ascii="Times New Roman" w:hAnsi="Times New Roman"/>
                <w:sz w:val="16"/>
                <w:szCs w:val="16"/>
                <w:lang w:eastAsia="zh-HK"/>
              </w:rPr>
              <w:t xml:space="preserve"> in Table </w:t>
            </w:r>
            <w:r>
              <w:rPr>
                <w:rFonts w:ascii="Times New Roman" w:eastAsiaTheme="minorEastAsia" w:hAnsi="Times New Roman" w:hint="eastAsia"/>
                <w:sz w:val="16"/>
                <w:szCs w:val="16"/>
                <w:lang w:eastAsia="zh-HK"/>
              </w:rPr>
              <w:t>II</w:t>
            </w:r>
            <w:r w:rsidRPr="00B86E32">
              <w:rPr>
                <w:rFonts w:ascii="Times New Roman" w:hAnsi="Times New Roman"/>
                <w:sz w:val="16"/>
                <w:szCs w:val="16"/>
                <w:lang w:eastAsia="zh-HK"/>
              </w:rPr>
              <w:t>.</w:t>
            </w:r>
          </w:p>
        </w:tc>
      </w:tr>
    </w:tbl>
    <w:p w14:paraId="29284170" w14:textId="1751AA67" w:rsidR="00AB13B3" w:rsidRDefault="00AB13B3" w:rsidP="00F232FA">
      <w:pPr>
        <w:spacing w:after="0" w:line="200" w:lineRule="exact"/>
        <w:jc w:val="center"/>
        <w:rPr>
          <w:rFonts w:ascii="Times New Roman" w:eastAsiaTheme="minorEastAsia" w:hAnsi="Times New Roman"/>
          <w:b/>
          <w:sz w:val="16"/>
          <w:szCs w:val="16"/>
          <w:lang w:eastAsia="zh-HK"/>
        </w:rPr>
      </w:pPr>
    </w:p>
    <w:p w14:paraId="3302EFC2" w14:textId="2BCB84D9" w:rsidR="00C95EE5" w:rsidRDefault="00AB13B3">
      <w:pPr>
        <w:spacing w:after="0" w:line="240" w:lineRule="auto"/>
        <w:rPr>
          <w:rFonts w:ascii="Times New Roman" w:eastAsiaTheme="minorEastAsia" w:hAnsi="Times New Roman"/>
          <w:b/>
          <w:sz w:val="16"/>
          <w:szCs w:val="16"/>
          <w:lang w:eastAsia="zh-HK"/>
        </w:rPr>
      </w:pPr>
      <w:r>
        <w:rPr>
          <w:rFonts w:ascii="Times New Roman" w:eastAsiaTheme="minorEastAsia" w:hAnsi="Times New Roman"/>
          <w:b/>
          <w:sz w:val="16"/>
          <w:szCs w:val="16"/>
          <w:lang w:eastAsia="zh-HK"/>
        </w:rPr>
        <w:br w:type="page"/>
      </w:r>
    </w:p>
    <w:p w14:paraId="64B2383E" w14:textId="77777777" w:rsidR="00C95EE5" w:rsidRPr="00B86E32" w:rsidRDefault="00C95EE5" w:rsidP="00C95EE5">
      <w:pPr>
        <w:spacing w:after="0" w:line="260" w:lineRule="exact"/>
        <w:jc w:val="both"/>
        <w:rPr>
          <w:rFonts w:ascii="Times New Roman" w:eastAsiaTheme="minorEastAsia" w:hAnsi="Times New Roman"/>
          <w:sz w:val="16"/>
          <w:szCs w:val="16"/>
          <w:lang w:eastAsia="zh-HK"/>
        </w:rPr>
      </w:pPr>
    </w:p>
    <w:p w14:paraId="24249A09" w14:textId="102AC39A" w:rsidR="00C95EE5" w:rsidRDefault="00C95EE5" w:rsidP="00C95EE5">
      <w:pPr>
        <w:spacing w:after="0" w:line="200" w:lineRule="exact"/>
        <w:jc w:val="center"/>
        <w:rPr>
          <w:rFonts w:ascii="Times New Roman" w:hAnsi="Times New Roman"/>
          <w:b/>
          <w:sz w:val="16"/>
          <w:szCs w:val="16"/>
          <w:lang w:eastAsia="zh-HK"/>
        </w:rPr>
      </w:pPr>
      <w:r w:rsidRPr="00716971">
        <w:rPr>
          <w:rFonts w:ascii="Times New Roman" w:hAnsi="Times New Roman"/>
          <w:b/>
          <w:sz w:val="16"/>
          <w:szCs w:val="16"/>
          <w:lang w:eastAsia="zh-HK"/>
        </w:rPr>
        <w:t xml:space="preserve">Table </w:t>
      </w:r>
      <w:r>
        <w:rPr>
          <w:rFonts w:ascii="Times New Roman" w:hAnsi="Times New Roman"/>
          <w:b/>
          <w:sz w:val="16"/>
          <w:szCs w:val="16"/>
          <w:lang w:eastAsia="zh-HK"/>
        </w:rPr>
        <w:t>XII</w:t>
      </w:r>
      <w:r>
        <w:rPr>
          <w:rFonts w:ascii="Times New Roman" w:eastAsiaTheme="minorEastAsia" w:hAnsi="Times New Roman" w:hint="eastAsia"/>
          <w:b/>
          <w:sz w:val="16"/>
          <w:szCs w:val="16"/>
          <w:lang w:eastAsia="zh-HK"/>
        </w:rPr>
        <w:t xml:space="preserve">. </w:t>
      </w:r>
      <w:r>
        <w:rPr>
          <w:rFonts w:ascii="Times New Roman" w:hAnsi="Times New Roman"/>
          <w:b/>
          <w:sz w:val="16"/>
          <w:szCs w:val="16"/>
          <w:lang w:eastAsia="zh-HK"/>
        </w:rPr>
        <w:t xml:space="preserve">Univariate analysis of </w:t>
      </w:r>
      <w:r w:rsidR="00D5330C">
        <w:rPr>
          <w:rFonts w:ascii="Times New Roman" w:hAnsi="Times New Roman"/>
          <w:b/>
          <w:sz w:val="16"/>
          <w:szCs w:val="16"/>
          <w:lang w:eastAsia="zh-HK"/>
        </w:rPr>
        <w:t>the systemic importance score</w:t>
      </w:r>
      <w:r>
        <w:rPr>
          <w:rFonts w:ascii="Times New Roman" w:hAnsi="Times New Roman"/>
          <w:b/>
          <w:sz w:val="16"/>
          <w:szCs w:val="16"/>
          <w:lang w:eastAsia="zh-HK"/>
        </w:rPr>
        <w:t xml:space="preserve"> before and after the new regulation</w:t>
      </w:r>
    </w:p>
    <w:p w14:paraId="2B361A3F" w14:textId="77777777" w:rsidR="00C95EE5" w:rsidRPr="00A32F46" w:rsidRDefault="00C95EE5" w:rsidP="00C95EE5">
      <w:pPr>
        <w:spacing w:after="0" w:line="200" w:lineRule="exact"/>
        <w:jc w:val="center"/>
        <w:rPr>
          <w:rFonts w:ascii="Times New Roman" w:eastAsiaTheme="minorEastAsia" w:hAnsi="Times New Roman"/>
          <w:b/>
          <w:sz w:val="16"/>
          <w:szCs w:val="16"/>
          <w:lang w:eastAsia="zh-HK"/>
        </w:rPr>
      </w:pPr>
    </w:p>
    <w:tbl>
      <w:tblPr>
        <w:tblStyle w:val="TableGrid"/>
        <w:tblW w:w="5637" w:type="dxa"/>
        <w:tblInd w:w="7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876"/>
        <w:gridCol w:w="979"/>
        <w:gridCol w:w="900"/>
      </w:tblGrid>
      <w:tr w:rsidR="009F0DBC" w:rsidRPr="00716971" w14:paraId="74D9117D" w14:textId="77777777" w:rsidTr="009F0DBC">
        <w:tc>
          <w:tcPr>
            <w:tcW w:w="2882" w:type="dxa"/>
            <w:tcBorders>
              <w:top w:val="single" w:sz="4" w:space="0" w:color="auto"/>
              <w:bottom w:val="nil"/>
              <w:right w:val="nil"/>
            </w:tcBorders>
          </w:tcPr>
          <w:p w14:paraId="5599A798" w14:textId="77777777" w:rsidR="009F0DBC" w:rsidRPr="00716971" w:rsidRDefault="009F0DBC" w:rsidP="003D7803">
            <w:pPr>
              <w:spacing w:after="0" w:line="200" w:lineRule="exact"/>
              <w:jc w:val="center"/>
              <w:rPr>
                <w:rFonts w:ascii="Times New Roman" w:hAnsi="Times New Roman"/>
                <w:sz w:val="16"/>
                <w:szCs w:val="16"/>
              </w:rPr>
            </w:pPr>
          </w:p>
        </w:tc>
        <w:tc>
          <w:tcPr>
            <w:tcW w:w="2755" w:type="dxa"/>
            <w:gridSpan w:val="3"/>
            <w:tcBorders>
              <w:top w:val="single" w:sz="4" w:space="0" w:color="auto"/>
              <w:left w:val="nil"/>
              <w:bottom w:val="single" w:sz="4" w:space="0" w:color="auto"/>
              <w:right w:val="nil"/>
            </w:tcBorders>
          </w:tcPr>
          <w:p w14:paraId="031467C0" w14:textId="77777777" w:rsidR="009F0DBC" w:rsidRPr="00954F01" w:rsidRDefault="009F0DBC" w:rsidP="003D7803">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G</w:t>
            </w:r>
            <w:r>
              <w:rPr>
                <w:rFonts w:ascii="Times New Roman" w:eastAsiaTheme="minorEastAsia" w:hAnsi="Times New Roman"/>
                <w:sz w:val="16"/>
                <w:szCs w:val="16"/>
                <w:lang w:eastAsia="zh-TW"/>
              </w:rPr>
              <w:t>-SIIs</w:t>
            </w:r>
          </w:p>
        </w:tc>
      </w:tr>
      <w:tr w:rsidR="009F0DBC" w:rsidRPr="00716971" w14:paraId="1917BDAD" w14:textId="77777777" w:rsidTr="009F0DBC">
        <w:tc>
          <w:tcPr>
            <w:tcW w:w="2882" w:type="dxa"/>
            <w:tcBorders>
              <w:top w:val="nil"/>
              <w:bottom w:val="single" w:sz="4" w:space="0" w:color="auto"/>
              <w:right w:val="nil"/>
            </w:tcBorders>
          </w:tcPr>
          <w:p w14:paraId="4680DBE0" w14:textId="77777777" w:rsidR="009F0DBC" w:rsidRPr="00716971" w:rsidRDefault="009F0DBC" w:rsidP="003D7803">
            <w:pPr>
              <w:spacing w:after="0" w:line="200" w:lineRule="exact"/>
              <w:jc w:val="center"/>
              <w:rPr>
                <w:rFonts w:ascii="Times New Roman" w:hAnsi="Times New Roman"/>
                <w:sz w:val="16"/>
                <w:szCs w:val="16"/>
              </w:rPr>
            </w:pPr>
          </w:p>
        </w:tc>
        <w:tc>
          <w:tcPr>
            <w:tcW w:w="876" w:type="dxa"/>
            <w:tcBorders>
              <w:top w:val="single" w:sz="4" w:space="0" w:color="auto"/>
              <w:left w:val="nil"/>
              <w:bottom w:val="single" w:sz="4" w:space="0" w:color="auto"/>
              <w:right w:val="nil"/>
            </w:tcBorders>
          </w:tcPr>
          <w:p w14:paraId="184A772B" w14:textId="77777777" w:rsidR="009F0DBC" w:rsidRDefault="009F0DBC" w:rsidP="003D7803">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Before regulation</w:t>
            </w:r>
          </w:p>
          <w:p w14:paraId="7BCA5E38" w14:textId="612B3583" w:rsidR="009F0DBC" w:rsidRPr="00716971" w:rsidRDefault="009F0DBC" w:rsidP="00727674">
            <w:pPr>
              <w:spacing w:after="0" w:line="200" w:lineRule="exact"/>
              <w:jc w:val="center"/>
              <w:rPr>
                <w:rFonts w:ascii="Times New Roman" w:hAnsi="Times New Roman"/>
                <w:sz w:val="16"/>
                <w:szCs w:val="16"/>
              </w:rPr>
            </w:pPr>
            <w:r>
              <w:rPr>
                <w:rFonts w:ascii="Times New Roman" w:eastAsiaTheme="minorEastAsia" w:hAnsi="Times New Roman"/>
                <w:sz w:val="16"/>
                <w:szCs w:val="16"/>
                <w:lang w:eastAsia="zh-TW"/>
              </w:rPr>
              <w:t>(1)</w:t>
            </w:r>
          </w:p>
        </w:tc>
        <w:tc>
          <w:tcPr>
            <w:tcW w:w="979" w:type="dxa"/>
            <w:tcBorders>
              <w:top w:val="single" w:sz="4" w:space="0" w:color="auto"/>
              <w:left w:val="nil"/>
              <w:bottom w:val="single" w:sz="4" w:space="0" w:color="auto"/>
              <w:right w:val="nil"/>
            </w:tcBorders>
          </w:tcPr>
          <w:p w14:paraId="1D8D93FD" w14:textId="77777777" w:rsidR="009F0DBC" w:rsidRDefault="009F0DBC" w:rsidP="003D7803">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After regulation</w:t>
            </w:r>
          </w:p>
          <w:p w14:paraId="5B731E4F" w14:textId="6E2D28AD" w:rsidR="009F0DBC" w:rsidRPr="00716971" w:rsidRDefault="009F0DBC" w:rsidP="00727674">
            <w:pPr>
              <w:spacing w:after="0" w:line="200" w:lineRule="exact"/>
              <w:jc w:val="center"/>
              <w:rPr>
                <w:rFonts w:ascii="Times New Roman" w:hAnsi="Times New Roman"/>
                <w:sz w:val="16"/>
                <w:szCs w:val="16"/>
              </w:rPr>
            </w:pPr>
            <w:r>
              <w:rPr>
                <w:rFonts w:ascii="Times New Roman" w:eastAsiaTheme="minorEastAsia" w:hAnsi="Times New Roman"/>
                <w:sz w:val="16"/>
                <w:szCs w:val="16"/>
                <w:lang w:eastAsia="zh-TW"/>
              </w:rPr>
              <w:t>(2)</w:t>
            </w:r>
          </w:p>
        </w:tc>
        <w:tc>
          <w:tcPr>
            <w:tcW w:w="900" w:type="dxa"/>
            <w:tcBorders>
              <w:top w:val="single" w:sz="4" w:space="0" w:color="auto"/>
              <w:left w:val="nil"/>
              <w:bottom w:val="single" w:sz="4" w:space="0" w:color="auto"/>
              <w:right w:val="nil"/>
            </w:tcBorders>
          </w:tcPr>
          <w:p w14:paraId="6A5EAEE3" w14:textId="77777777" w:rsidR="009F0DBC" w:rsidRDefault="009F0DBC" w:rsidP="003D7803">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hint="eastAsia"/>
                <w:sz w:val="16"/>
                <w:szCs w:val="16"/>
                <w:lang w:eastAsia="zh-TW"/>
              </w:rPr>
              <w:t>D</w:t>
            </w:r>
            <w:r>
              <w:rPr>
                <w:rFonts w:ascii="Times New Roman" w:eastAsiaTheme="minorEastAsia" w:hAnsi="Times New Roman"/>
                <w:sz w:val="16"/>
                <w:szCs w:val="16"/>
                <w:lang w:eastAsia="zh-TW"/>
              </w:rPr>
              <w:t>ifference</w:t>
            </w:r>
          </w:p>
          <w:p w14:paraId="4D6833C6" w14:textId="77777777" w:rsidR="009F0DBC" w:rsidRDefault="009F0DBC" w:rsidP="003D7803">
            <w:pPr>
              <w:spacing w:after="0" w:line="200" w:lineRule="exact"/>
              <w:jc w:val="center"/>
              <w:rPr>
                <w:rFonts w:ascii="Times New Roman" w:eastAsiaTheme="minorEastAsia" w:hAnsi="Times New Roman"/>
                <w:sz w:val="16"/>
                <w:szCs w:val="16"/>
                <w:lang w:eastAsia="zh-TW"/>
              </w:rPr>
            </w:pPr>
          </w:p>
          <w:p w14:paraId="31970FB1" w14:textId="3136E0B9" w:rsidR="009F0DBC" w:rsidRPr="006E6D8C" w:rsidRDefault="009F0DBC" w:rsidP="00727674">
            <w:pPr>
              <w:spacing w:after="0" w:line="200" w:lineRule="exact"/>
              <w:jc w:val="center"/>
              <w:rPr>
                <w:rFonts w:ascii="Times New Roman" w:eastAsiaTheme="minorEastAsia" w:hAnsi="Times New Roman"/>
                <w:sz w:val="16"/>
                <w:szCs w:val="16"/>
                <w:lang w:eastAsia="zh-TW"/>
              </w:rPr>
            </w:pPr>
            <w:r>
              <w:rPr>
                <w:rFonts w:ascii="Times New Roman" w:eastAsiaTheme="minorEastAsia" w:hAnsi="Times New Roman"/>
                <w:sz w:val="16"/>
                <w:szCs w:val="16"/>
                <w:lang w:eastAsia="zh-TW"/>
              </w:rPr>
              <w:t>(3)</w:t>
            </w:r>
          </w:p>
        </w:tc>
      </w:tr>
      <w:tr w:rsidR="009F0DBC" w:rsidRPr="00716971" w14:paraId="1147DB84" w14:textId="77777777" w:rsidTr="00590731">
        <w:tc>
          <w:tcPr>
            <w:tcW w:w="2882" w:type="dxa"/>
            <w:tcBorders>
              <w:top w:val="single" w:sz="4" w:space="0" w:color="auto"/>
              <w:bottom w:val="nil"/>
              <w:right w:val="nil"/>
            </w:tcBorders>
          </w:tcPr>
          <w:p w14:paraId="3ED45C35" w14:textId="20E83985" w:rsidR="009F0DBC" w:rsidRPr="006E6D8C" w:rsidRDefault="009F0DBC" w:rsidP="009F0DBC">
            <w:pPr>
              <w:spacing w:after="0" w:line="200" w:lineRule="exact"/>
              <w:rPr>
                <w:rFonts w:ascii="Times New Roman" w:eastAsiaTheme="minorEastAsia" w:hAnsi="Times New Roman"/>
                <w:sz w:val="16"/>
                <w:szCs w:val="16"/>
                <w:lang w:eastAsia="zh-TW"/>
              </w:rPr>
            </w:pPr>
            <w:r>
              <w:rPr>
                <w:rFonts w:ascii="Times New Roman" w:eastAsiaTheme="minorEastAsia" w:hAnsi="Times New Roman"/>
                <w:sz w:val="16"/>
                <w:szCs w:val="16"/>
                <w:lang w:eastAsia="zh-TW"/>
              </w:rPr>
              <w:t>Asset indicator (%)</w:t>
            </w:r>
          </w:p>
        </w:tc>
        <w:tc>
          <w:tcPr>
            <w:tcW w:w="876" w:type="dxa"/>
            <w:tcBorders>
              <w:top w:val="single" w:sz="4" w:space="0" w:color="auto"/>
              <w:left w:val="nil"/>
              <w:bottom w:val="nil"/>
              <w:right w:val="nil"/>
            </w:tcBorders>
          </w:tcPr>
          <w:p w14:paraId="0A171129" w14:textId="38083F93" w:rsidR="009F0DBC" w:rsidRPr="009F0DBC" w:rsidRDefault="009F0DBC" w:rsidP="009F0DBC">
            <w:pPr>
              <w:spacing w:after="0" w:line="200" w:lineRule="exact"/>
              <w:jc w:val="center"/>
              <w:rPr>
                <w:rFonts w:ascii="Times New Roman" w:eastAsiaTheme="minorEastAsia" w:hAnsi="Times New Roman"/>
                <w:sz w:val="16"/>
                <w:szCs w:val="16"/>
                <w:lang w:eastAsia="zh-TW"/>
              </w:rPr>
            </w:pPr>
            <w:r w:rsidRPr="009F0DBC">
              <w:rPr>
                <w:rFonts w:ascii="Times New Roman Uni" w:eastAsia="Times New Roman Uni" w:hAnsi="Times New Roman Uni" w:cs="Times New Roman Uni" w:hint="eastAsia"/>
                <w:color w:val="000000"/>
                <w:sz w:val="16"/>
                <w:szCs w:val="16"/>
              </w:rPr>
              <w:t xml:space="preserve">3.49 </w:t>
            </w:r>
          </w:p>
        </w:tc>
        <w:tc>
          <w:tcPr>
            <w:tcW w:w="979" w:type="dxa"/>
            <w:tcBorders>
              <w:top w:val="single" w:sz="4" w:space="0" w:color="auto"/>
              <w:left w:val="nil"/>
              <w:bottom w:val="nil"/>
              <w:right w:val="nil"/>
            </w:tcBorders>
          </w:tcPr>
          <w:p w14:paraId="31FA188E" w14:textId="2F7BCA77" w:rsidR="009F0DBC" w:rsidRPr="009F0DBC" w:rsidRDefault="009F0DBC" w:rsidP="009F0DBC">
            <w:pPr>
              <w:spacing w:after="0" w:line="200" w:lineRule="exact"/>
              <w:jc w:val="center"/>
              <w:rPr>
                <w:rFonts w:ascii="Times New Roman" w:eastAsiaTheme="minorEastAsia" w:hAnsi="Times New Roman"/>
                <w:sz w:val="16"/>
                <w:szCs w:val="16"/>
                <w:lang w:eastAsia="zh-TW"/>
              </w:rPr>
            </w:pPr>
            <w:r w:rsidRPr="009F0DBC">
              <w:rPr>
                <w:rFonts w:ascii="Times New Roman Uni" w:eastAsia="Times New Roman Uni" w:hAnsi="Times New Roman Uni" w:cs="Times New Roman Uni" w:hint="eastAsia"/>
                <w:color w:val="000000"/>
                <w:sz w:val="16"/>
                <w:szCs w:val="16"/>
              </w:rPr>
              <w:t xml:space="preserve">3.00 </w:t>
            </w:r>
          </w:p>
        </w:tc>
        <w:tc>
          <w:tcPr>
            <w:tcW w:w="900" w:type="dxa"/>
            <w:tcBorders>
              <w:top w:val="single" w:sz="4" w:space="0" w:color="auto"/>
              <w:left w:val="nil"/>
              <w:bottom w:val="nil"/>
              <w:right w:val="nil"/>
            </w:tcBorders>
            <w:vAlign w:val="center"/>
          </w:tcPr>
          <w:p w14:paraId="5B03CBDC" w14:textId="1A0221FF" w:rsidR="009F0DBC" w:rsidRDefault="009F0DBC" w:rsidP="009F0DBC">
            <w:pPr>
              <w:spacing w:after="0" w:line="200" w:lineRule="exact"/>
              <w:jc w:val="center"/>
              <w:rPr>
                <w:rFonts w:ascii="Times New Roman Uni" w:eastAsia="Times New Roman Uni" w:hAnsi="Times New Roman Uni" w:cs="Times New Roman Uni"/>
                <w:color w:val="000000"/>
                <w:sz w:val="16"/>
                <w:szCs w:val="16"/>
              </w:rPr>
            </w:pPr>
            <w:r w:rsidRPr="009F0DBC">
              <w:rPr>
                <w:rFonts w:ascii="Times New Roman Uni" w:eastAsia="Times New Roman Uni" w:hAnsi="Times New Roman Uni" w:cs="Times New Roman Uni" w:hint="eastAsia"/>
                <w:color w:val="000000"/>
                <w:sz w:val="16"/>
                <w:szCs w:val="16"/>
              </w:rPr>
              <w:t>-0.49</w:t>
            </w:r>
            <w:r w:rsidR="00590731">
              <w:rPr>
                <w:rFonts w:ascii="Times New Roman Uni" w:eastAsia="Times New Roman Uni" w:hAnsi="Times New Roman Uni" w:cs="Times New Roman Uni"/>
                <w:color w:val="000000"/>
                <w:sz w:val="16"/>
                <w:szCs w:val="16"/>
              </w:rPr>
              <w:t>***</w:t>
            </w:r>
          </w:p>
          <w:p w14:paraId="4C64CB79" w14:textId="3B4B8395" w:rsidR="009F0DBC" w:rsidRPr="009F0DBC" w:rsidRDefault="009F0DBC" w:rsidP="009F0DBC">
            <w:pPr>
              <w:spacing w:after="0" w:line="200" w:lineRule="exact"/>
              <w:jc w:val="center"/>
              <w:rPr>
                <w:rFonts w:ascii="Times New Roman" w:eastAsiaTheme="minorEastAsia" w:hAnsi="Times New Roman"/>
                <w:sz w:val="16"/>
                <w:szCs w:val="16"/>
                <w:lang w:eastAsia="zh-TW"/>
              </w:rPr>
            </w:pPr>
            <w:r w:rsidRPr="009F0DBC">
              <w:rPr>
                <w:rFonts w:ascii="Times New Roman Uni" w:eastAsia="Times New Roman Uni" w:hAnsi="Times New Roman Uni" w:cs="Times New Roman Uni" w:hint="eastAsia"/>
                <w:color w:val="000000"/>
                <w:sz w:val="16"/>
                <w:szCs w:val="16"/>
              </w:rPr>
              <w:t>(-3.31)</w:t>
            </w:r>
          </w:p>
        </w:tc>
      </w:tr>
      <w:tr w:rsidR="009F0DBC" w:rsidRPr="00716971" w14:paraId="138095F7" w14:textId="77777777" w:rsidTr="00590731">
        <w:tc>
          <w:tcPr>
            <w:tcW w:w="2882" w:type="dxa"/>
            <w:tcBorders>
              <w:top w:val="nil"/>
              <w:bottom w:val="nil"/>
              <w:right w:val="nil"/>
            </w:tcBorders>
          </w:tcPr>
          <w:p w14:paraId="0CBD196B" w14:textId="5BB0F9BA" w:rsidR="009F0DBC" w:rsidRPr="006E6D8C" w:rsidRDefault="009F0DBC" w:rsidP="009F0DBC">
            <w:pPr>
              <w:spacing w:after="0" w:line="200" w:lineRule="exact"/>
              <w:rPr>
                <w:rFonts w:ascii="Times New Roman" w:eastAsiaTheme="minorEastAsia" w:hAnsi="Times New Roman"/>
                <w:sz w:val="16"/>
                <w:szCs w:val="16"/>
                <w:lang w:eastAsia="zh-TW"/>
              </w:rPr>
            </w:pPr>
            <w:r>
              <w:rPr>
                <w:rFonts w:ascii="Times New Roman" w:eastAsiaTheme="minorEastAsia" w:hAnsi="Times New Roman"/>
                <w:sz w:val="16"/>
                <w:szCs w:val="16"/>
                <w:lang w:eastAsia="zh-TW"/>
              </w:rPr>
              <w:t>Revenue indicator (%)</w:t>
            </w:r>
          </w:p>
        </w:tc>
        <w:tc>
          <w:tcPr>
            <w:tcW w:w="876" w:type="dxa"/>
            <w:tcBorders>
              <w:top w:val="nil"/>
              <w:left w:val="nil"/>
              <w:bottom w:val="nil"/>
              <w:right w:val="nil"/>
            </w:tcBorders>
          </w:tcPr>
          <w:p w14:paraId="10AFAA22" w14:textId="3B12F0ED"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3.01 </w:t>
            </w:r>
          </w:p>
        </w:tc>
        <w:tc>
          <w:tcPr>
            <w:tcW w:w="979" w:type="dxa"/>
            <w:tcBorders>
              <w:top w:val="nil"/>
              <w:left w:val="nil"/>
              <w:bottom w:val="nil"/>
              <w:right w:val="nil"/>
            </w:tcBorders>
          </w:tcPr>
          <w:p w14:paraId="3E1E8BE1" w14:textId="60B188B1"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2.56 </w:t>
            </w:r>
          </w:p>
        </w:tc>
        <w:tc>
          <w:tcPr>
            <w:tcW w:w="900" w:type="dxa"/>
            <w:tcBorders>
              <w:top w:val="nil"/>
              <w:left w:val="nil"/>
              <w:bottom w:val="nil"/>
              <w:right w:val="nil"/>
            </w:tcBorders>
            <w:vAlign w:val="center"/>
          </w:tcPr>
          <w:p w14:paraId="5AEFE050" w14:textId="07B135FA" w:rsidR="009F0DBC" w:rsidRDefault="009F0DBC" w:rsidP="009F0DBC">
            <w:pPr>
              <w:spacing w:after="0" w:line="200" w:lineRule="exact"/>
              <w:jc w:val="center"/>
              <w:rPr>
                <w:rFonts w:ascii="Times New Roman Uni" w:eastAsia="Times New Roman Uni" w:hAnsi="Times New Roman Uni" w:cs="Times New Roman Uni"/>
                <w:color w:val="000000"/>
                <w:sz w:val="16"/>
                <w:szCs w:val="16"/>
              </w:rPr>
            </w:pPr>
            <w:r w:rsidRPr="009F0DBC">
              <w:rPr>
                <w:rFonts w:ascii="Times New Roman Uni" w:eastAsia="Times New Roman Uni" w:hAnsi="Times New Roman Uni" w:cs="Times New Roman Uni" w:hint="eastAsia"/>
                <w:color w:val="000000"/>
                <w:sz w:val="16"/>
                <w:szCs w:val="16"/>
              </w:rPr>
              <w:t>-0.45</w:t>
            </w:r>
            <w:r w:rsidR="00590731">
              <w:rPr>
                <w:rFonts w:ascii="Times New Roman Uni" w:eastAsia="Times New Roman Uni" w:hAnsi="Times New Roman Uni" w:cs="Times New Roman Uni"/>
                <w:color w:val="000000"/>
                <w:sz w:val="16"/>
                <w:szCs w:val="16"/>
              </w:rPr>
              <w:t>***</w:t>
            </w:r>
          </w:p>
          <w:p w14:paraId="6C8CAB2B" w14:textId="4B06B238"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(-2.99)</w:t>
            </w:r>
          </w:p>
        </w:tc>
      </w:tr>
      <w:tr w:rsidR="009F0DBC" w:rsidRPr="00716971" w14:paraId="1C6B178C" w14:textId="77777777" w:rsidTr="00590731">
        <w:tc>
          <w:tcPr>
            <w:tcW w:w="2882" w:type="dxa"/>
            <w:tcBorders>
              <w:top w:val="nil"/>
              <w:bottom w:val="nil"/>
              <w:right w:val="nil"/>
            </w:tcBorders>
          </w:tcPr>
          <w:p w14:paraId="4705E8D7" w14:textId="13854656" w:rsidR="009F0DBC" w:rsidRPr="00716971" w:rsidRDefault="009F0DBC" w:rsidP="009F0DBC">
            <w:pPr>
              <w:spacing w:after="0" w:line="200" w:lineRule="exact"/>
              <w:rPr>
                <w:rFonts w:ascii="Times New Roman" w:hAnsi="Times New Roman"/>
                <w:sz w:val="16"/>
                <w:szCs w:val="16"/>
                <w:lang w:eastAsia="zh-HK"/>
              </w:rPr>
            </w:pPr>
            <w:r>
              <w:rPr>
                <w:rFonts w:ascii="Times New Roman" w:hAnsi="Times New Roman" w:hint="eastAsia"/>
                <w:sz w:val="16"/>
                <w:szCs w:val="16"/>
                <w:lang w:eastAsia="zh-HK"/>
              </w:rPr>
              <w:t>Foreign sale indicator</w:t>
            </w:r>
            <w:r>
              <w:rPr>
                <w:rFonts w:ascii="Times New Roman" w:hAnsi="Times New Roman"/>
                <w:sz w:val="16"/>
                <w:szCs w:val="16"/>
                <w:lang w:eastAsia="zh-HK"/>
              </w:rPr>
              <w:t xml:space="preserve"> (%)</w:t>
            </w:r>
          </w:p>
        </w:tc>
        <w:tc>
          <w:tcPr>
            <w:tcW w:w="876" w:type="dxa"/>
            <w:tcBorders>
              <w:top w:val="nil"/>
              <w:left w:val="nil"/>
              <w:bottom w:val="nil"/>
              <w:right w:val="nil"/>
            </w:tcBorders>
          </w:tcPr>
          <w:p w14:paraId="1A400F4E" w14:textId="15D5CAEA"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5.64 </w:t>
            </w:r>
          </w:p>
        </w:tc>
        <w:tc>
          <w:tcPr>
            <w:tcW w:w="979" w:type="dxa"/>
            <w:tcBorders>
              <w:top w:val="nil"/>
              <w:left w:val="nil"/>
              <w:bottom w:val="nil"/>
              <w:right w:val="nil"/>
            </w:tcBorders>
          </w:tcPr>
          <w:p w14:paraId="2697D7B6" w14:textId="45D639F7"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4.40 </w:t>
            </w:r>
          </w:p>
        </w:tc>
        <w:tc>
          <w:tcPr>
            <w:tcW w:w="900" w:type="dxa"/>
            <w:tcBorders>
              <w:top w:val="nil"/>
              <w:left w:val="nil"/>
              <w:bottom w:val="nil"/>
              <w:right w:val="nil"/>
            </w:tcBorders>
            <w:vAlign w:val="center"/>
          </w:tcPr>
          <w:p w14:paraId="046B0A34" w14:textId="750E0166" w:rsidR="009F0DBC" w:rsidRDefault="009F0DBC" w:rsidP="009F0DBC">
            <w:pPr>
              <w:spacing w:after="0" w:line="200" w:lineRule="exact"/>
              <w:jc w:val="center"/>
              <w:rPr>
                <w:rFonts w:ascii="Times New Roman Uni" w:eastAsia="Times New Roman Uni" w:hAnsi="Times New Roman Uni" w:cs="Times New Roman Uni"/>
                <w:color w:val="000000"/>
                <w:sz w:val="16"/>
                <w:szCs w:val="16"/>
              </w:rPr>
            </w:pPr>
            <w:r w:rsidRPr="009F0DBC">
              <w:rPr>
                <w:rFonts w:ascii="Times New Roman Uni" w:eastAsia="Times New Roman Uni" w:hAnsi="Times New Roman Uni" w:cs="Times New Roman Uni" w:hint="eastAsia"/>
                <w:color w:val="000000"/>
                <w:sz w:val="16"/>
                <w:szCs w:val="16"/>
              </w:rPr>
              <w:t>-1.24</w:t>
            </w:r>
            <w:r w:rsidR="00590731">
              <w:rPr>
                <w:rFonts w:ascii="Times New Roman Uni" w:eastAsia="Times New Roman Uni" w:hAnsi="Times New Roman Uni" w:cs="Times New Roman Uni"/>
                <w:color w:val="000000"/>
                <w:sz w:val="16"/>
                <w:szCs w:val="16"/>
              </w:rPr>
              <w:t>***</w:t>
            </w:r>
          </w:p>
          <w:p w14:paraId="3D20BCE0" w14:textId="0AEEC0E7"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(-3.39)</w:t>
            </w:r>
          </w:p>
        </w:tc>
      </w:tr>
      <w:tr w:rsidR="009F0DBC" w:rsidRPr="00716971" w14:paraId="1576A960" w14:textId="77777777" w:rsidTr="00590731">
        <w:tc>
          <w:tcPr>
            <w:tcW w:w="2882" w:type="dxa"/>
            <w:tcBorders>
              <w:top w:val="nil"/>
              <w:bottom w:val="nil"/>
              <w:right w:val="nil"/>
            </w:tcBorders>
          </w:tcPr>
          <w:p w14:paraId="537322CF" w14:textId="7BE5DD74" w:rsidR="009F0DBC" w:rsidRPr="006E6D8C" w:rsidRDefault="009F0DBC" w:rsidP="009F0DBC">
            <w:pPr>
              <w:spacing w:after="0" w:line="200" w:lineRule="exact"/>
              <w:rPr>
                <w:rFonts w:ascii="Times New Roman" w:eastAsiaTheme="minorEastAsia" w:hAnsi="Times New Roman"/>
                <w:sz w:val="16"/>
                <w:szCs w:val="16"/>
                <w:lang w:eastAsia="zh-TW"/>
              </w:rPr>
            </w:pPr>
            <w:r>
              <w:rPr>
                <w:rFonts w:ascii="Times New Roman" w:eastAsiaTheme="minorEastAsia" w:hAnsi="Times New Roman"/>
                <w:sz w:val="16"/>
                <w:szCs w:val="16"/>
                <w:lang w:eastAsia="zh-TW"/>
              </w:rPr>
              <w:t>Reinsurance indicator (%)</w:t>
            </w:r>
          </w:p>
        </w:tc>
        <w:tc>
          <w:tcPr>
            <w:tcW w:w="876" w:type="dxa"/>
            <w:tcBorders>
              <w:top w:val="nil"/>
              <w:left w:val="nil"/>
              <w:bottom w:val="nil"/>
              <w:right w:val="nil"/>
            </w:tcBorders>
          </w:tcPr>
          <w:p w14:paraId="736E1641" w14:textId="467A9318"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3.60 </w:t>
            </w:r>
          </w:p>
        </w:tc>
        <w:tc>
          <w:tcPr>
            <w:tcW w:w="979" w:type="dxa"/>
            <w:tcBorders>
              <w:top w:val="nil"/>
              <w:left w:val="nil"/>
              <w:bottom w:val="nil"/>
              <w:right w:val="nil"/>
            </w:tcBorders>
          </w:tcPr>
          <w:p w14:paraId="6158C255" w14:textId="6769DBCE"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2.15 </w:t>
            </w:r>
          </w:p>
        </w:tc>
        <w:tc>
          <w:tcPr>
            <w:tcW w:w="900" w:type="dxa"/>
            <w:tcBorders>
              <w:top w:val="nil"/>
              <w:left w:val="nil"/>
              <w:bottom w:val="nil"/>
              <w:right w:val="nil"/>
            </w:tcBorders>
            <w:vAlign w:val="center"/>
          </w:tcPr>
          <w:p w14:paraId="09D206AB" w14:textId="2905D429" w:rsidR="009F0DBC" w:rsidRDefault="009F0DBC" w:rsidP="009F0DBC">
            <w:pPr>
              <w:spacing w:after="0" w:line="200" w:lineRule="exact"/>
              <w:jc w:val="center"/>
              <w:rPr>
                <w:rFonts w:ascii="Times New Roman Uni" w:eastAsia="Times New Roman Uni" w:hAnsi="Times New Roman Uni" w:cs="Times New Roman Uni"/>
                <w:color w:val="000000"/>
                <w:sz w:val="16"/>
                <w:szCs w:val="16"/>
              </w:rPr>
            </w:pPr>
            <w:r w:rsidRPr="009F0DBC">
              <w:rPr>
                <w:rFonts w:ascii="Times New Roman Uni" w:eastAsia="Times New Roman Uni" w:hAnsi="Times New Roman Uni" w:cs="Times New Roman Uni" w:hint="eastAsia"/>
                <w:color w:val="000000"/>
                <w:sz w:val="16"/>
                <w:szCs w:val="16"/>
              </w:rPr>
              <w:t>-1.45</w:t>
            </w:r>
            <w:r w:rsidR="00590731">
              <w:rPr>
                <w:rFonts w:ascii="Times New Roman Uni" w:eastAsia="Times New Roman Uni" w:hAnsi="Times New Roman Uni" w:cs="Times New Roman Uni"/>
                <w:color w:val="000000"/>
                <w:sz w:val="16"/>
                <w:szCs w:val="16"/>
              </w:rPr>
              <w:t>***</w:t>
            </w:r>
          </w:p>
          <w:p w14:paraId="770C0D33" w14:textId="209EDEB2"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(-5.33)</w:t>
            </w:r>
          </w:p>
        </w:tc>
      </w:tr>
      <w:tr w:rsidR="009F0DBC" w:rsidRPr="00716971" w14:paraId="7B80B2C7" w14:textId="77777777" w:rsidTr="00590731">
        <w:tc>
          <w:tcPr>
            <w:tcW w:w="2882" w:type="dxa"/>
            <w:tcBorders>
              <w:top w:val="nil"/>
              <w:bottom w:val="nil"/>
              <w:right w:val="nil"/>
            </w:tcBorders>
          </w:tcPr>
          <w:p w14:paraId="044C847F" w14:textId="33CA62C5" w:rsidR="009F0DBC" w:rsidRPr="00716971" w:rsidRDefault="009F0DBC" w:rsidP="009F0DBC">
            <w:pPr>
              <w:spacing w:after="0" w:line="200" w:lineRule="exact"/>
              <w:rPr>
                <w:rFonts w:ascii="Times New Roman" w:hAnsi="Times New Roman"/>
                <w:sz w:val="16"/>
                <w:szCs w:val="16"/>
                <w:lang w:eastAsia="zh-HK"/>
              </w:rPr>
            </w:pPr>
            <w:r>
              <w:rPr>
                <w:rFonts w:ascii="Times New Roman" w:hAnsi="Times New Roman"/>
                <w:sz w:val="16"/>
                <w:szCs w:val="16"/>
                <w:lang w:eastAsia="zh-HK"/>
              </w:rPr>
              <w:t>Non-policyholder liability indicator (%)</w:t>
            </w:r>
          </w:p>
        </w:tc>
        <w:tc>
          <w:tcPr>
            <w:tcW w:w="876" w:type="dxa"/>
            <w:tcBorders>
              <w:top w:val="nil"/>
              <w:left w:val="nil"/>
              <w:bottom w:val="nil"/>
              <w:right w:val="nil"/>
            </w:tcBorders>
          </w:tcPr>
          <w:p w14:paraId="34A821E9" w14:textId="632250BD"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2.89 </w:t>
            </w:r>
          </w:p>
        </w:tc>
        <w:tc>
          <w:tcPr>
            <w:tcW w:w="979" w:type="dxa"/>
            <w:tcBorders>
              <w:top w:val="nil"/>
              <w:left w:val="nil"/>
              <w:bottom w:val="nil"/>
              <w:right w:val="nil"/>
            </w:tcBorders>
          </w:tcPr>
          <w:p w14:paraId="3129C6E1" w14:textId="368059DF"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2.92 </w:t>
            </w:r>
          </w:p>
        </w:tc>
        <w:tc>
          <w:tcPr>
            <w:tcW w:w="900" w:type="dxa"/>
            <w:tcBorders>
              <w:top w:val="nil"/>
              <w:left w:val="nil"/>
              <w:bottom w:val="nil"/>
              <w:right w:val="nil"/>
            </w:tcBorders>
            <w:vAlign w:val="center"/>
          </w:tcPr>
          <w:p w14:paraId="14DC5C39" w14:textId="77777777" w:rsidR="009F0DBC" w:rsidRDefault="009F0DBC" w:rsidP="009F0DBC">
            <w:pPr>
              <w:spacing w:after="0" w:line="200" w:lineRule="exact"/>
              <w:jc w:val="center"/>
              <w:rPr>
                <w:rFonts w:ascii="Times New Roman Uni" w:eastAsia="Times New Roman Uni" w:hAnsi="Times New Roman Uni" w:cs="Times New Roman Uni"/>
                <w:color w:val="000000"/>
                <w:sz w:val="16"/>
                <w:szCs w:val="16"/>
              </w:rPr>
            </w:pPr>
            <w:r w:rsidRPr="009F0DBC">
              <w:rPr>
                <w:rFonts w:ascii="Times New Roman Uni" w:eastAsia="Times New Roman Uni" w:hAnsi="Times New Roman Uni" w:cs="Times New Roman Uni" w:hint="eastAsia"/>
                <w:color w:val="000000"/>
                <w:sz w:val="16"/>
                <w:szCs w:val="16"/>
              </w:rPr>
              <w:t>0.03</w:t>
            </w:r>
          </w:p>
          <w:p w14:paraId="0EC7CB5D" w14:textId="69E51826" w:rsidR="009F0DBC" w:rsidRPr="009F0DBC" w:rsidRDefault="009F0DBC" w:rsidP="009F0DBC">
            <w:pPr>
              <w:spacing w:after="0" w:line="200" w:lineRule="exact"/>
              <w:jc w:val="center"/>
              <w:rPr>
                <w:rFonts w:ascii="Times New Roman" w:eastAsiaTheme="minorEastAsia" w:hAnsi="Times New Roman"/>
                <w:sz w:val="16"/>
                <w:szCs w:val="16"/>
                <w:lang w:eastAsia="zh-TW"/>
              </w:rPr>
            </w:pPr>
            <w:r w:rsidRPr="009F0DBC">
              <w:rPr>
                <w:rFonts w:ascii="Times New Roman Uni" w:eastAsia="Times New Roman Uni" w:hAnsi="Times New Roman Uni" w:cs="Times New Roman Uni" w:hint="eastAsia"/>
                <w:color w:val="000000"/>
                <w:sz w:val="16"/>
                <w:szCs w:val="16"/>
              </w:rPr>
              <w:t>(0.13)</w:t>
            </w:r>
          </w:p>
        </w:tc>
      </w:tr>
      <w:tr w:rsidR="009F0DBC" w:rsidRPr="00716971" w14:paraId="3F456E31" w14:textId="77777777" w:rsidTr="00590731">
        <w:tc>
          <w:tcPr>
            <w:tcW w:w="2882" w:type="dxa"/>
            <w:tcBorders>
              <w:top w:val="nil"/>
              <w:bottom w:val="nil"/>
              <w:right w:val="nil"/>
            </w:tcBorders>
          </w:tcPr>
          <w:p w14:paraId="135788A3" w14:textId="19B9F32B" w:rsidR="009F0DBC" w:rsidRPr="00716971" w:rsidRDefault="009F0DBC" w:rsidP="009F0DBC">
            <w:pPr>
              <w:spacing w:after="0" w:line="200" w:lineRule="exact"/>
              <w:rPr>
                <w:rFonts w:ascii="Times New Roman" w:hAnsi="Times New Roman"/>
                <w:sz w:val="16"/>
                <w:szCs w:val="16"/>
                <w:lang w:eastAsia="zh-HK"/>
              </w:rPr>
            </w:pPr>
            <w:r>
              <w:rPr>
                <w:rFonts w:ascii="Times New Roman" w:hAnsi="Times New Roman"/>
                <w:sz w:val="16"/>
                <w:szCs w:val="16"/>
                <w:lang w:eastAsia="zh-HK"/>
              </w:rPr>
              <w:t>Non-insurance revenue indicator (%)</w:t>
            </w:r>
          </w:p>
        </w:tc>
        <w:tc>
          <w:tcPr>
            <w:tcW w:w="876" w:type="dxa"/>
            <w:tcBorders>
              <w:top w:val="nil"/>
              <w:left w:val="nil"/>
              <w:bottom w:val="nil"/>
              <w:right w:val="nil"/>
            </w:tcBorders>
          </w:tcPr>
          <w:p w14:paraId="3970A8CB" w14:textId="75049979"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1.58 </w:t>
            </w:r>
          </w:p>
        </w:tc>
        <w:tc>
          <w:tcPr>
            <w:tcW w:w="979" w:type="dxa"/>
            <w:tcBorders>
              <w:top w:val="nil"/>
              <w:left w:val="nil"/>
              <w:bottom w:val="nil"/>
              <w:right w:val="nil"/>
            </w:tcBorders>
          </w:tcPr>
          <w:p w14:paraId="32083C94" w14:textId="4C80B283"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1.23 </w:t>
            </w:r>
          </w:p>
        </w:tc>
        <w:tc>
          <w:tcPr>
            <w:tcW w:w="900" w:type="dxa"/>
            <w:tcBorders>
              <w:top w:val="nil"/>
              <w:left w:val="nil"/>
              <w:bottom w:val="nil"/>
              <w:right w:val="nil"/>
            </w:tcBorders>
            <w:vAlign w:val="center"/>
          </w:tcPr>
          <w:p w14:paraId="0DA6887A" w14:textId="77777777" w:rsidR="009F0DBC" w:rsidRDefault="009F0DBC" w:rsidP="009F0DBC">
            <w:pPr>
              <w:spacing w:after="0" w:line="200" w:lineRule="exact"/>
              <w:jc w:val="center"/>
              <w:rPr>
                <w:rFonts w:ascii="Times New Roman Uni" w:eastAsia="Times New Roman Uni" w:hAnsi="Times New Roman Uni" w:cs="Times New Roman Uni"/>
                <w:color w:val="000000"/>
                <w:sz w:val="16"/>
                <w:szCs w:val="16"/>
              </w:rPr>
            </w:pPr>
            <w:r w:rsidRPr="009F0DBC">
              <w:rPr>
                <w:rFonts w:ascii="Times New Roman Uni" w:eastAsia="Times New Roman Uni" w:hAnsi="Times New Roman Uni" w:cs="Times New Roman Uni" w:hint="eastAsia"/>
                <w:color w:val="000000"/>
                <w:sz w:val="16"/>
                <w:szCs w:val="16"/>
              </w:rPr>
              <w:t>-0.35</w:t>
            </w:r>
          </w:p>
          <w:p w14:paraId="481B5077" w14:textId="3370E8FA" w:rsidR="009F0DBC" w:rsidRPr="009F0DBC" w:rsidRDefault="009F0DBC" w:rsidP="009F0DBC">
            <w:pPr>
              <w:spacing w:after="0" w:line="200" w:lineRule="exact"/>
              <w:jc w:val="center"/>
              <w:rPr>
                <w:rFonts w:ascii="Times New Roman" w:eastAsiaTheme="minorEastAsia" w:hAnsi="Times New Roman"/>
                <w:sz w:val="16"/>
                <w:szCs w:val="16"/>
                <w:lang w:eastAsia="zh-TW"/>
              </w:rPr>
            </w:pPr>
            <w:r w:rsidRPr="009F0DBC">
              <w:rPr>
                <w:rFonts w:ascii="Times New Roman Uni" w:eastAsia="Times New Roman Uni" w:hAnsi="Times New Roman Uni" w:cs="Times New Roman Uni" w:hint="eastAsia"/>
                <w:color w:val="000000"/>
                <w:sz w:val="16"/>
                <w:szCs w:val="16"/>
              </w:rPr>
              <w:t>(-0.88)</w:t>
            </w:r>
          </w:p>
        </w:tc>
      </w:tr>
      <w:tr w:rsidR="009F0DBC" w:rsidRPr="00716971" w14:paraId="027BC536" w14:textId="77777777" w:rsidTr="00590731">
        <w:tc>
          <w:tcPr>
            <w:tcW w:w="2882" w:type="dxa"/>
            <w:tcBorders>
              <w:top w:val="nil"/>
              <w:bottom w:val="nil"/>
              <w:right w:val="nil"/>
            </w:tcBorders>
          </w:tcPr>
          <w:p w14:paraId="65A1131C" w14:textId="5449CCCC" w:rsidR="009F0DBC" w:rsidRPr="00032C71" w:rsidRDefault="009F0DBC" w:rsidP="009F0DBC">
            <w:pPr>
              <w:spacing w:after="0" w:line="200" w:lineRule="exact"/>
              <w:rPr>
                <w:rFonts w:ascii="Times New Roman" w:eastAsiaTheme="minorEastAsia" w:hAnsi="Times New Roman"/>
                <w:sz w:val="16"/>
                <w:szCs w:val="16"/>
                <w:lang w:eastAsia="zh-TW"/>
              </w:rPr>
            </w:pPr>
            <w:r>
              <w:rPr>
                <w:rFonts w:ascii="Times New Roman" w:eastAsiaTheme="minorEastAsia" w:hAnsi="Times New Roman"/>
                <w:sz w:val="16"/>
                <w:szCs w:val="16"/>
                <w:lang w:eastAsia="zh-TW"/>
              </w:rPr>
              <w:t>Short term funding indicator (%)</w:t>
            </w:r>
          </w:p>
        </w:tc>
        <w:tc>
          <w:tcPr>
            <w:tcW w:w="876" w:type="dxa"/>
            <w:tcBorders>
              <w:top w:val="nil"/>
              <w:left w:val="nil"/>
              <w:bottom w:val="nil"/>
              <w:right w:val="nil"/>
            </w:tcBorders>
          </w:tcPr>
          <w:p w14:paraId="52F4E55C" w14:textId="004D39AA"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4.64 </w:t>
            </w:r>
          </w:p>
        </w:tc>
        <w:tc>
          <w:tcPr>
            <w:tcW w:w="979" w:type="dxa"/>
            <w:tcBorders>
              <w:top w:val="nil"/>
              <w:left w:val="nil"/>
              <w:bottom w:val="nil"/>
              <w:right w:val="nil"/>
            </w:tcBorders>
          </w:tcPr>
          <w:p w14:paraId="180FCD38" w14:textId="2DA9DBB7"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3.70 </w:t>
            </w:r>
          </w:p>
        </w:tc>
        <w:tc>
          <w:tcPr>
            <w:tcW w:w="900" w:type="dxa"/>
            <w:tcBorders>
              <w:top w:val="nil"/>
              <w:left w:val="nil"/>
              <w:bottom w:val="nil"/>
              <w:right w:val="nil"/>
            </w:tcBorders>
            <w:vAlign w:val="center"/>
          </w:tcPr>
          <w:p w14:paraId="19EC37F2" w14:textId="2B1AC3E1" w:rsidR="009F0DBC" w:rsidRDefault="009F0DBC" w:rsidP="009F0DBC">
            <w:pPr>
              <w:spacing w:after="0" w:line="200" w:lineRule="exact"/>
              <w:jc w:val="center"/>
              <w:rPr>
                <w:rFonts w:ascii="Times New Roman Uni" w:eastAsia="Times New Roman Uni" w:hAnsi="Times New Roman Uni" w:cs="Times New Roman Uni"/>
                <w:color w:val="000000"/>
                <w:sz w:val="16"/>
                <w:szCs w:val="16"/>
              </w:rPr>
            </w:pPr>
            <w:r w:rsidRPr="009F0DBC">
              <w:rPr>
                <w:rFonts w:ascii="Times New Roman Uni" w:eastAsia="Times New Roman Uni" w:hAnsi="Times New Roman Uni" w:cs="Times New Roman Uni" w:hint="eastAsia"/>
                <w:color w:val="000000"/>
                <w:sz w:val="16"/>
                <w:szCs w:val="16"/>
              </w:rPr>
              <w:t>-0.94</w:t>
            </w:r>
            <w:r w:rsidR="00590731">
              <w:rPr>
                <w:rFonts w:ascii="Times New Roman Uni" w:eastAsia="Times New Roman Uni" w:hAnsi="Times New Roman Uni" w:cs="Times New Roman Uni"/>
                <w:color w:val="000000"/>
                <w:sz w:val="16"/>
                <w:szCs w:val="16"/>
              </w:rPr>
              <w:t>**</w:t>
            </w:r>
          </w:p>
          <w:p w14:paraId="1919CAC2" w14:textId="208142CB"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(-1.99)</w:t>
            </w:r>
          </w:p>
        </w:tc>
      </w:tr>
      <w:tr w:rsidR="009F0DBC" w:rsidRPr="00716971" w14:paraId="267525E7" w14:textId="77777777" w:rsidTr="00590731">
        <w:tc>
          <w:tcPr>
            <w:tcW w:w="2882" w:type="dxa"/>
            <w:tcBorders>
              <w:top w:val="nil"/>
              <w:bottom w:val="nil"/>
              <w:right w:val="nil"/>
            </w:tcBorders>
          </w:tcPr>
          <w:p w14:paraId="6149496F" w14:textId="144B845A" w:rsidR="009F0DBC" w:rsidRPr="00716971" w:rsidRDefault="009F0DBC" w:rsidP="009F0DBC">
            <w:pPr>
              <w:spacing w:after="0" w:line="200" w:lineRule="exact"/>
              <w:rPr>
                <w:rFonts w:ascii="Times New Roman" w:hAnsi="Times New Roman"/>
                <w:sz w:val="16"/>
                <w:szCs w:val="16"/>
                <w:lang w:eastAsia="zh-HK"/>
              </w:rPr>
            </w:pPr>
            <w:r>
              <w:rPr>
                <w:rFonts w:ascii="Times New Roman" w:hAnsi="Times New Roman"/>
                <w:sz w:val="16"/>
                <w:szCs w:val="16"/>
                <w:lang w:eastAsia="zh-HK"/>
              </w:rPr>
              <w:t xml:space="preserve">Investment cash flow indicator </w:t>
            </w:r>
            <w:r>
              <w:rPr>
                <w:rFonts w:ascii="Times New Roman" w:eastAsiaTheme="minorEastAsia" w:hAnsi="Times New Roman"/>
                <w:sz w:val="16"/>
                <w:szCs w:val="16"/>
                <w:lang w:eastAsia="zh-TW"/>
              </w:rPr>
              <w:t>(%)</w:t>
            </w:r>
          </w:p>
        </w:tc>
        <w:tc>
          <w:tcPr>
            <w:tcW w:w="876" w:type="dxa"/>
            <w:tcBorders>
              <w:top w:val="nil"/>
              <w:left w:val="nil"/>
              <w:bottom w:val="nil"/>
              <w:right w:val="nil"/>
            </w:tcBorders>
          </w:tcPr>
          <w:p w14:paraId="0744F1C6" w14:textId="685ED4B8"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3.15 </w:t>
            </w:r>
          </w:p>
        </w:tc>
        <w:tc>
          <w:tcPr>
            <w:tcW w:w="979" w:type="dxa"/>
            <w:tcBorders>
              <w:top w:val="nil"/>
              <w:left w:val="nil"/>
              <w:bottom w:val="nil"/>
              <w:right w:val="nil"/>
            </w:tcBorders>
          </w:tcPr>
          <w:p w14:paraId="7AFBE668" w14:textId="19138BE2"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2.76 </w:t>
            </w:r>
          </w:p>
        </w:tc>
        <w:tc>
          <w:tcPr>
            <w:tcW w:w="900" w:type="dxa"/>
            <w:tcBorders>
              <w:top w:val="nil"/>
              <w:left w:val="nil"/>
              <w:bottom w:val="nil"/>
              <w:right w:val="nil"/>
            </w:tcBorders>
            <w:vAlign w:val="center"/>
          </w:tcPr>
          <w:p w14:paraId="03EFFC8D" w14:textId="77777777" w:rsidR="009F0DBC" w:rsidRDefault="009F0DBC" w:rsidP="009F0DBC">
            <w:pPr>
              <w:spacing w:after="0" w:line="200" w:lineRule="exact"/>
              <w:jc w:val="center"/>
              <w:rPr>
                <w:rFonts w:ascii="Times New Roman Uni" w:eastAsia="Times New Roman Uni" w:hAnsi="Times New Roman Uni" w:cs="Times New Roman Uni"/>
                <w:color w:val="000000"/>
                <w:sz w:val="16"/>
                <w:szCs w:val="16"/>
              </w:rPr>
            </w:pPr>
            <w:r w:rsidRPr="009F0DBC">
              <w:rPr>
                <w:rFonts w:ascii="Times New Roman Uni" w:eastAsia="Times New Roman Uni" w:hAnsi="Times New Roman Uni" w:cs="Times New Roman Uni" w:hint="eastAsia"/>
                <w:color w:val="000000"/>
                <w:sz w:val="16"/>
                <w:szCs w:val="16"/>
              </w:rPr>
              <w:t>-0.39</w:t>
            </w:r>
          </w:p>
          <w:p w14:paraId="56C0DB6D" w14:textId="20E81EBD" w:rsidR="009F0DBC" w:rsidRPr="009F0DBC" w:rsidRDefault="009F0DBC" w:rsidP="009F0DBC">
            <w:pPr>
              <w:spacing w:after="0" w:line="200" w:lineRule="exact"/>
              <w:jc w:val="center"/>
              <w:rPr>
                <w:rFonts w:ascii="Times New Roman" w:eastAsiaTheme="minorEastAsia" w:hAnsi="Times New Roman"/>
                <w:sz w:val="16"/>
                <w:szCs w:val="16"/>
                <w:lang w:eastAsia="zh-TW"/>
              </w:rPr>
            </w:pPr>
            <w:r w:rsidRPr="009F0DBC">
              <w:rPr>
                <w:rFonts w:ascii="Times New Roman Uni" w:eastAsia="Times New Roman Uni" w:hAnsi="Times New Roman Uni" w:cs="Times New Roman Uni" w:hint="eastAsia"/>
                <w:color w:val="000000"/>
                <w:sz w:val="16"/>
                <w:szCs w:val="16"/>
              </w:rPr>
              <w:t>(-1.36)</w:t>
            </w:r>
          </w:p>
        </w:tc>
      </w:tr>
      <w:tr w:rsidR="009F0DBC" w:rsidRPr="00716971" w14:paraId="0BDCBFE3" w14:textId="77777777" w:rsidTr="00590731">
        <w:tc>
          <w:tcPr>
            <w:tcW w:w="2882" w:type="dxa"/>
            <w:tcBorders>
              <w:top w:val="nil"/>
              <w:bottom w:val="nil"/>
              <w:right w:val="nil"/>
            </w:tcBorders>
          </w:tcPr>
          <w:p w14:paraId="773BE24F" w14:textId="77835EF5" w:rsidR="009F0DBC" w:rsidRPr="00716971" w:rsidRDefault="009F0DBC" w:rsidP="009F0DBC">
            <w:pPr>
              <w:spacing w:after="0" w:line="200" w:lineRule="exact"/>
              <w:rPr>
                <w:rFonts w:ascii="Times New Roman" w:hAnsi="Times New Roman"/>
                <w:sz w:val="16"/>
                <w:szCs w:val="16"/>
                <w:lang w:eastAsia="zh-HK"/>
              </w:rPr>
            </w:pPr>
            <w:r>
              <w:rPr>
                <w:rFonts w:ascii="Times New Roman" w:hAnsi="Times New Roman"/>
                <w:sz w:val="16"/>
                <w:szCs w:val="16"/>
                <w:lang w:eastAsia="zh-HK"/>
              </w:rPr>
              <w:t xml:space="preserve">Financing cash flow indicator </w:t>
            </w:r>
            <w:r>
              <w:rPr>
                <w:rFonts w:ascii="Times New Roman" w:eastAsiaTheme="minorEastAsia" w:hAnsi="Times New Roman"/>
                <w:sz w:val="16"/>
                <w:szCs w:val="16"/>
                <w:lang w:eastAsia="zh-TW"/>
              </w:rPr>
              <w:t>(%)</w:t>
            </w:r>
          </w:p>
        </w:tc>
        <w:tc>
          <w:tcPr>
            <w:tcW w:w="876" w:type="dxa"/>
            <w:tcBorders>
              <w:top w:val="nil"/>
              <w:left w:val="nil"/>
              <w:bottom w:val="nil"/>
              <w:right w:val="nil"/>
            </w:tcBorders>
          </w:tcPr>
          <w:p w14:paraId="62426EA7" w14:textId="1DEA2C4E"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3.69 </w:t>
            </w:r>
          </w:p>
        </w:tc>
        <w:tc>
          <w:tcPr>
            <w:tcW w:w="979" w:type="dxa"/>
            <w:tcBorders>
              <w:top w:val="nil"/>
              <w:left w:val="nil"/>
              <w:bottom w:val="nil"/>
              <w:right w:val="nil"/>
            </w:tcBorders>
          </w:tcPr>
          <w:p w14:paraId="299BD5E9" w14:textId="3BB25F96"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3.28 </w:t>
            </w:r>
          </w:p>
        </w:tc>
        <w:tc>
          <w:tcPr>
            <w:tcW w:w="900" w:type="dxa"/>
            <w:tcBorders>
              <w:top w:val="nil"/>
              <w:left w:val="nil"/>
              <w:bottom w:val="nil"/>
              <w:right w:val="nil"/>
            </w:tcBorders>
            <w:vAlign w:val="center"/>
          </w:tcPr>
          <w:p w14:paraId="38BF5A11" w14:textId="77777777" w:rsidR="009F0DBC" w:rsidRDefault="009F0DBC" w:rsidP="009F0DBC">
            <w:pPr>
              <w:spacing w:after="0" w:line="200" w:lineRule="exact"/>
              <w:jc w:val="center"/>
              <w:rPr>
                <w:rFonts w:ascii="Times New Roman Uni" w:eastAsia="Times New Roman Uni" w:hAnsi="Times New Roman Uni" w:cs="Times New Roman Uni"/>
                <w:color w:val="000000"/>
                <w:sz w:val="16"/>
                <w:szCs w:val="16"/>
              </w:rPr>
            </w:pPr>
            <w:r w:rsidRPr="009F0DBC">
              <w:rPr>
                <w:rFonts w:ascii="Times New Roman Uni" w:eastAsia="Times New Roman Uni" w:hAnsi="Times New Roman Uni" w:cs="Times New Roman Uni" w:hint="eastAsia"/>
                <w:color w:val="000000"/>
                <w:sz w:val="16"/>
                <w:szCs w:val="16"/>
              </w:rPr>
              <w:t>-0.41</w:t>
            </w:r>
          </w:p>
          <w:p w14:paraId="34CB1C1E" w14:textId="24826091" w:rsidR="009F0DBC" w:rsidRPr="009F0DBC" w:rsidRDefault="009F0DBC" w:rsidP="009F0DBC">
            <w:pPr>
              <w:spacing w:after="0" w:line="200" w:lineRule="exact"/>
              <w:jc w:val="center"/>
              <w:rPr>
                <w:rFonts w:ascii="Times New Roman" w:eastAsiaTheme="minorEastAsia" w:hAnsi="Times New Roman"/>
                <w:sz w:val="16"/>
                <w:szCs w:val="16"/>
                <w:lang w:eastAsia="zh-TW"/>
              </w:rPr>
            </w:pPr>
            <w:r w:rsidRPr="009F0DBC">
              <w:rPr>
                <w:rFonts w:ascii="Times New Roman Uni" w:eastAsia="Times New Roman Uni" w:hAnsi="Times New Roman Uni" w:cs="Times New Roman Uni" w:hint="eastAsia"/>
                <w:color w:val="000000"/>
                <w:sz w:val="16"/>
                <w:szCs w:val="16"/>
              </w:rPr>
              <w:t>(-0.75)</w:t>
            </w:r>
          </w:p>
        </w:tc>
      </w:tr>
      <w:tr w:rsidR="009F0DBC" w:rsidRPr="00716971" w14:paraId="73843021" w14:textId="77777777" w:rsidTr="00590731">
        <w:tc>
          <w:tcPr>
            <w:tcW w:w="2882" w:type="dxa"/>
            <w:tcBorders>
              <w:top w:val="nil"/>
              <w:bottom w:val="nil"/>
              <w:right w:val="nil"/>
            </w:tcBorders>
          </w:tcPr>
          <w:p w14:paraId="2EBA2D99" w14:textId="3ADA6D62" w:rsidR="009F0DBC" w:rsidRPr="00C97E86" w:rsidRDefault="009F0DBC" w:rsidP="009F0DBC">
            <w:pPr>
              <w:spacing w:after="0" w:line="200" w:lineRule="exact"/>
              <w:rPr>
                <w:rFonts w:ascii="Times New Roman" w:eastAsiaTheme="minorEastAsia" w:hAnsi="Times New Roman"/>
                <w:sz w:val="16"/>
                <w:szCs w:val="16"/>
                <w:lang w:eastAsia="zh-TW"/>
              </w:rPr>
            </w:pPr>
            <w:r>
              <w:rPr>
                <w:rFonts w:ascii="Times New Roman" w:eastAsiaTheme="minorEastAsia" w:hAnsi="Times New Roman"/>
                <w:sz w:val="16"/>
                <w:szCs w:val="16"/>
                <w:lang w:eastAsia="zh-TW"/>
              </w:rPr>
              <w:t>Systemic importance score (%)</w:t>
            </w:r>
          </w:p>
        </w:tc>
        <w:tc>
          <w:tcPr>
            <w:tcW w:w="876" w:type="dxa"/>
            <w:tcBorders>
              <w:top w:val="nil"/>
              <w:left w:val="nil"/>
              <w:bottom w:val="nil"/>
              <w:right w:val="nil"/>
            </w:tcBorders>
          </w:tcPr>
          <w:p w14:paraId="37B7D5B1" w14:textId="4509E09F"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30.80 </w:t>
            </w:r>
          </w:p>
        </w:tc>
        <w:tc>
          <w:tcPr>
            <w:tcW w:w="979" w:type="dxa"/>
            <w:tcBorders>
              <w:top w:val="nil"/>
              <w:left w:val="nil"/>
              <w:bottom w:val="nil"/>
              <w:right w:val="nil"/>
            </w:tcBorders>
          </w:tcPr>
          <w:p w14:paraId="228DCA22" w14:textId="26FB1984"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 xml:space="preserve">25.68 </w:t>
            </w:r>
          </w:p>
        </w:tc>
        <w:tc>
          <w:tcPr>
            <w:tcW w:w="900" w:type="dxa"/>
            <w:tcBorders>
              <w:top w:val="nil"/>
              <w:left w:val="nil"/>
              <w:bottom w:val="nil"/>
              <w:right w:val="nil"/>
            </w:tcBorders>
            <w:vAlign w:val="center"/>
          </w:tcPr>
          <w:p w14:paraId="0B7F2A0F" w14:textId="58FDB046" w:rsidR="009F0DBC" w:rsidRDefault="009F0DBC" w:rsidP="009F0DBC">
            <w:pPr>
              <w:spacing w:after="0" w:line="200" w:lineRule="exact"/>
              <w:jc w:val="center"/>
              <w:rPr>
                <w:rFonts w:ascii="Times New Roman Uni" w:eastAsia="Times New Roman Uni" w:hAnsi="Times New Roman Uni" w:cs="Times New Roman Uni"/>
                <w:color w:val="000000"/>
                <w:sz w:val="16"/>
                <w:szCs w:val="16"/>
              </w:rPr>
            </w:pPr>
            <w:r w:rsidRPr="009F0DBC">
              <w:rPr>
                <w:rFonts w:ascii="Times New Roman Uni" w:eastAsia="Times New Roman Uni" w:hAnsi="Times New Roman Uni" w:cs="Times New Roman Uni" w:hint="eastAsia"/>
                <w:color w:val="000000"/>
                <w:sz w:val="16"/>
                <w:szCs w:val="16"/>
              </w:rPr>
              <w:t>-5.12</w:t>
            </w:r>
            <w:r w:rsidR="00590731">
              <w:rPr>
                <w:rFonts w:ascii="Times New Roman Uni" w:eastAsia="Times New Roman Uni" w:hAnsi="Times New Roman Uni" w:cs="Times New Roman Uni"/>
                <w:color w:val="000000"/>
                <w:sz w:val="16"/>
                <w:szCs w:val="16"/>
              </w:rPr>
              <w:t>***</w:t>
            </w:r>
          </w:p>
          <w:p w14:paraId="1D966905" w14:textId="32E4B84D" w:rsidR="009F0DBC" w:rsidRPr="009F0DBC" w:rsidRDefault="009F0DBC" w:rsidP="009F0DBC">
            <w:pPr>
              <w:spacing w:after="0" w:line="200" w:lineRule="exact"/>
              <w:jc w:val="center"/>
              <w:rPr>
                <w:rFonts w:ascii="Times New Roman" w:hAnsi="Times New Roman"/>
                <w:sz w:val="16"/>
                <w:szCs w:val="16"/>
                <w:lang w:eastAsia="zh-HK"/>
              </w:rPr>
            </w:pPr>
            <w:r w:rsidRPr="009F0DBC">
              <w:rPr>
                <w:rFonts w:ascii="Times New Roman Uni" w:eastAsia="Times New Roman Uni" w:hAnsi="Times New Roman Uni" w:cs="Times New Roman Uni" w:hint="eastAsia"/>
                <w:color w:val="000000"/>
                <w:sz w:val="16"/>
                <w:szCs w:val="16"/>
              </w:rPr>
              <w:t>(-3.07)</w:t>
            </w:r>
          </w:p>
        </w:tc>
      </w:tr>
      <w:tr w:rsidR="009F0DBC" w:rsidRPr="00716971" w14:paraId="5CFCE147" w14:textId="77777777" w:rsidTr="009F0DBC">
        <w:tc>
          <w:tcPr>
            <w:tcW w:w="2882" w:type="dxa"/>
            <w:tcBorders>
              <w:top w:val="nil"/>
              <w:bottom w:val="single" w:sz="4" w:space="0" w:color="auto"/>
              <w:right w:val="nil"/>
            </w:tcBorders>
          </w:tcPr>
          <w:p w14:paraId="7A9F0FC4" w14:textId="77777777" w:rsidR="009F0DBC" w:rsidRPr="00716971" w:rsidRDefault="009F0DBC" w:rsidP="003D7803">
            <w:pPr>
              <w:spacing w:after="0" w:line="200" w:lineRule="exact"/>
              <w:rPr>
                <w:rFonts w:ascii="Times New Roman" w:hAnsi="Times New Roman"/>
                <w:sz w:val="16"/>
                <w:szCs w:val="16"/>
                <w:lang w:eastAsia="zh-HK"/>
              </w:rPr>
            </w:pPr>
          </w:p>
        </w:tc>
        <w:tc>
          <w:tcPr>
            <w:tcW w:w="876" w:type="dxa"/>
            <w:tcBorders>
              <w:top w:val="nil"/>
              <w:left w:val="nil"/>
              <w:bottom w:val="single" w:sz="4" w:space="0" w:color="auto"/>
              <w:right w:val="nil"/>
            </w:tcBorders>
          </w:tcPr>
          <w:p w14:paraId="5DA4BDBB" w14:textId="77777777" w:rsidR="009F0DBC" w:rsidRPr="00716971" w:rsidRDefault="009F0DBC" w:rsidP="003D7803">
            <w:pPr>
              <w:spacing w:after="0" w:line="200" w:lineRule="exact"/>
              <w:jc w:val="center"/>
              <w:rPr>
                <w:rFonts w:ascii="Times New Roman" w:hAnsi="Times New Roman"/>
                <w:sz w:val="16"/>
                <w:szCs w:val="16"/>
                <w:lang w:eastAsia="zh-HK"/>
              </w:rPr>
            </w:pPr>
          </w:p>
        </w:tc>
        <w:tc>
          <w:tcPr>
            <w:tcW w:w="979" w:type="dxa"/>
            <w:tcBorders>
              <w:top w:val="nil"/>
              <w:left w:val="nil"/>
              <w:bottom w:val="single" w:sz="4" w:space="0" w:color="auto"/>
              <w:right w:val="nil"/>
            </w:tcBorders>
          </w:tcPr>
          <w:p w14:paraId="140FA0D4" w14:textId="77777777" w:rsidR="009F0DBC" w:rsidRPr="00716971" w:rsidRDefault="009F0DBC" w:rsidP="003D7803">
            <w:pPr>
              <w:spacing w:after="0" w:line="200" w:lineRule="exact"/>
              <w:jc w:val="center"/>
              <w:rPr>
                <w:rFonts w:ascii="Times New Roman" w:hAnsi="Times New Roman"/>
                <w:sz w:val="16"/>
                <w:szCs w:val="16"/>
                <w:lang w:eastAsia="zh-HK"/>
              </w:rPr>
            </w:pPr>
          </w:p>
        </w:tc>
        <w:tc>
          <w:tcPr>
            <w:tcW w:w="900" w:type="dxa"/>
            <w:tcBorders>
              <w:top w:val="nil"/>
              <w:left w:val="nil"/>
              <w:bottom w:val="single" w:sz="4" w:space="0" w:color="auto"/>
              <w:right w:val="nil"/>
            </w:tcBorders>
          </w:tcPr>
          <w:p w14:paraId="36999C17" w14:textId="77777777" w:rsidR="009F0DBC" w:rsidRPr="00716971" w:rsidRDefault="009F0DBC" w:rsidP="003D7803">
            <w:pPr>
              <w:spacing w:after="0" w:line="200" w:lineRule="exact"/>
              <w:jc w:val="center"/>
              <w:rPr>
                <w:rFonts w:ascii="Times New Roman" w:hAnsi="Times New Roman"/>
                <w:sz w:val="16"/>
                <w:szCs w:val="16"/>
                <w:lang w:eastAsia="zh-HK"/>
              </w:rPr>
            </w:pPr>
          </w:p>
        </w:tc>
      </w:tr>
      <w:tr w:rsidR="00C95EE5" w:rsidRPr="00716971" w14:paraId="0585CC44" w14:textId="77777777" w:rsidTr="009F0DBC">
        <w:tc>
          <w:tcPr>
            <w:tcW w:w="5637" w:type="dxa"/>
            <w:gridSpan w:val="4"/>
            <w:tcBorders>
              <w:top w:val="single" w:sz="4" w:space="0" w:color="auto"/>
              <w:bottom w:val="single" w:sz="4" w:space="0" w:color="auto"/>
            </w:tcBorders>
          </w:tcPr>
          <w:p w14:paraId="6C5B4C2A" w14:textId="05730D2A" w:rsidR="00C95EE5" w:rsidRPr="00A32F46" w:rsidRDefault="00C95EE5" w:rsidP="00D5330C">
            <w:pPr>
              <w:spacing w:after="0" w:line="200" w:lineRule="exact"/>
              <w:jc w:val="both"/>
              <w:rPr>
                <w:rFonts w:ascii="Times New Roman" w:eastAsiaTheme="minorEastAsia" w:hAnsi="Times New Roman"/>
                <w:sz w:val="16"/>
                <w:szCs w:val="16"/>
                <w:lang w:eastAsia="zh-HK"/>
              </w:rPr>
            </w:pPr>
            <w:r>
              <w:rPr>
                <w:rFonts w:ascii="Times New Roman" w:hAnsi="Times New Roman"/>
                <w:sz w:val="16"/>
                <w:szCs w:val="16"/>
                <w:lang w:eastAsia="zh-HK"/>
              </w:rPr>
              <w:t>The table above reports the univariate analysis of the</w:t>
            </w:r>
            <w:r w:rsidR="00D5330C">
              <w:rPr>
                <w:rFonts w:ascii="Times New Roman" w:hAnsi="Times New Roman"/>
                <w:sz w:val="16"/>
                <w:szCs w:val="16"/>
                <w:lang w:eastAsia="zh-HK"/>
              </w:rPr>
              <w:t xml:space="preserve"> systemic importance score and its constituent indicators</w:t>
            </w:r>
            <w:r>
              <w:rPr>
                <w:rFonts w:ascii="Times New Roman" w:hAnsi="Times New Roman"/>
                <w:sz w:val="16"/>
                <w:szCs w:val="16"/>
                <w:lang w:eastAsia="zh-HK"/>
              </w:rPr>
              <w:t xml:space="preserve"> </w:t>
            </w:r>
            <w:r w:rsidR="00590731">
              <w:rPr>
                <w:rFonts w:ascii="Times New Roman" w:hAnsi="Times New Roman"/>
                <w:sz w:val="16"/>
                <w:szCs w:val="16"/>
                <w:lang w:eastAsia="zh-HK"/>
              </w:rPr>
              <w:t xml:space="preserve">for G-SIIs </w:t>
            </w:r>
            <w:r>
              <w:rPr>
                <w:rFonts w:ascii="Times New Roman" w:hAnsi="Times New Roman"/>
                <w:sz w:val="16"/>
                <w:szCs w:val="16"/>
                <w:lang w:eastAsia="zh-HK"/>
              </w:rPr>
              <w:t>befo</w:t>
            </w:r>
            <w:r w:rsidR="00D5330C">
              <w:rPr>
                <w:rFonts w:ascii="Times New Roman" w:hAnsi="Times New Roman"/>
                <w:sz w:val="16"/>
                <w:szCs w:val="16"/>
                <w:lang w:eastAsia="zh-HK"/>
              </w:rPr>
              <w:t>re and after the new regulation</w:t>
            </w:r>
            <w:r>
              <w:rPr>
                <w:rFonts w:ascii="Times New Roman" w:hAnsi="Times New Roman"/>
                <w:sz w:val="16"/>
                <w:szCs w:val="16"/>
                <w:lang w:eastAsia="zh-HK"/>
              </w:rPr>
              <w:t xml:space="preserve">. </w:t>
            </w:r>
            <w:r w:rsidRPr="00B86E32">
              <w:rPr>
                <w:rFonts w:ascii="Times New Roman" w:hAnsi="Times New Roman"/>
                <w:sz w:val="16"/>
                <w:szCs w:val="16"/>
                <w:lang w:eastAsia="zh-HK"/>
              </w:rPr>
              <w:t>The</w:t>
            </w:r>
            <w:r>
              <w:rPr>
                <w:rFonts w:ascii="Times New Roman" w:hAnsi="Times New Roman"/>
                <w:sz w:val="16"/>
                <w:szCs w:val="16"/>
                <w:lang w:eastAsia="zh-HK"/>
              </w:rPr>
              <w:t xml:space="preserve"> </w:t>
            </w:r>
            <w:r w:rsidRPr="00B86E32">
              <w:rPr>
                <w:rFonts w:ascii="Times New Roman" w:hAnsi="Times New Roman"/>
                <w:sz w:val="16"/>
                <w:szCs w:val="16"/>
                <w:lang w:eastAsia="zh-HK"/>
              </w:rPr>
              <w:t xml:space="preserve">variables are </w:t>
            </w:r>
            <w:r>
              <w:rPr>
                <w:rFonts w:ascii="Times New Roman" w:hAnsi="Times New Roman"/>
                <w:sz w:val="16"/>
                <w:szCs w:val="16"/>
                <w:lang w:eastAsia="zh-HK"/>
              </w:rPr>
              <w:t>defined</w:t>
            </w:r>
            <w:r w:rsidRPr="00B86E32">
              <w:rPr>
                <w:rFonts w:ascii="Times New Roman" w:hAnsi="Times New Roman"/>
                <w:sz w:val="16"/>
                <w:szCs w:val="16"/>
                <w:lang w:eastAsia="zh-HK"/>
              </w:rPr>
              <w:t xml:space="preserve"> in Table </w:t>
            </w:r>
            <w:r>
              <w:rPr>
                <w:rFonts w:ascii="Times New Roman" w:eastAsiaTheme="minorEastAsia" w:hAnsi="Times New Roman" w:hint="eastAsia"/>
                <w:sz w:val="16"/>
                <w:szCs w:val="16"/>
                <w:lang w:eastAsia="zh-HK"/>
              </w:rPr>
              <w:t>II</w:t>
            </w:r>
            <w:r w:rsidRPr="00B86E32">
              <w:rPr>
                <w:rFonts w:ascii="Times New Roman" w:hAnsi="Times New Roman"/>
                <w:sz w:val="16"/>
                <w:szCs w:val="16"/>
                <w:lang w:eastAsia="zh-HK"/>
              </w:rPr>
              <w:t>.</w:t>
            </w:r>
            <w:r>
              <w:rPr>
                <w:rFonts w:ascii="Times New Roman" w:hAnsi="Times New Roman"/>
                <w:sz w:val="16"/>
                <w:szCs w:val="16"/>
                <w:lang w:eastAsia="zh-HK"/>
              </w:rPr>
              <w:t xml:space="preserve"> </w:t>
            </w:r>
            <w:r w:rsidRPr="00716971">
              <w:rPr>
                <w:rFonts w:ascii="Times New Roman" w:hAnsi="Times New Roman"/>
                <w:sz w:val="16"/>
                <w:szCs w:val="16"/>
                <w:lang w:eastAsia="zh-HK"/>
              </w:rPr>
              <w:t>t-statistics are reported in parentheses; *, **, and *** indicate significance at the 10%, 5% and 1% levels respectively.</w:t>
            </w:r>
          </w:p>
        </w:tc>
      </w:tr>
    </w:tbl>
    <w:p w14:paraId="46FD5EEB" w14:textId="77777777" w:rsidR="00AB13B3" w:rsidRPr="00C95EE5" w:rsidRDefault="00AB13B3">
      <w:pPr>
        <w:spacing w:after="0" w:line="240" w:lineRule="auto"/>
        <w:rPr>
          <w:rFonts w:ascii="Times New Roman" w:eastAsiaTheme="minorEastAsia" w:hAnsi="Times New Roman"/>
          <w:b/>
          <w:sz w:val="16"/>
          <w:szCs w:val="16"/>
          <w:lang w:eastAsia="zh-HK"/>
        </w:rPr>
      </w:pPr>
    </w:p>
    <w:p w14:paraId="5C481424" w14:textId="75D1FA4D" w:rsidR="00C95EE5" w:rsidRDefault="00C95EE5">
      <w:pPr>
        <w:spacing w:after="0" w:line="240" w:lineRule="auto"/>
        <w:rPr>
          <w:rFonts w:ascii="Times New Roman" w:eastAsiaTheme="minorEastAsia" w:hAnsi="Times New Roman"/>
          <w:b/>
          <w:sz w:val="20"/>
          <w:szCs w:val="20"/>
          <w:lang w:eastAsia="zh-HK"/>
        </w:rPr>
      </w:pPr>
    </w:p>
    <w:sectPr w:rsidR="00C95EE5" w:rsidSect="00333FE3">
      <w:footerReference w:type="default" r:id="rId14"/>
      <w:footerReference w:type="first" r:id="rId15"/>
      <w:endnotePr>
        <w:numFmt w:val="decimal"/>
      </w:endnotePr>
      <w:pgSz w:w="11906" w:h="16838" w:code="9"/>
      <w:pgMar w:top="2637" w:right="2364" w:bottom="2648" w:left="2347" w:header="720" w:footer="72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F80E0" w14:textId="77777777" w:rsidR="00625FC9" w:rsidRDefault="00625FC9" w:rsidP="00BF7481">
      <w:pPr>
        <w:spacing w:after="0" w:line="240" w:lineRule="auto"/>
      </w:pPr>
      <w:r>
        <w:separator/>
      </w:r>
    </w:p>
  </w:endnote>
  <w:endnote w:type="continuationSeparator" w:id="0">
    <w:p w14:paraId="5C146125" w14:textId="77777777" w:rsidR="00625FC9" w:rsidRDefault="00625FC9" w:rsidP="00BF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imes New Roman Uni">
    <w:altName w:val="Arial Unicode MS"/>
    <w:charset w:val="88"/>
    <w:family w:val="roman"/>
    <w:pitch w:val="variable"/>
    <w:sig w:usb0="00000000" w:usb1="F9DFFFFF" w:usb2="0000003E" w:usb3="00000000" w:csb0="001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98250" w14:textId="77777777" w:rsidR="00B2772C" w:rsidRPr="00035F3C" w:rsidRDefault="00B2772C">
    <w:pPr>
      <w:pStyle w:val="Footer"/>
      <w:jc w:val="center"/>
      <w:rPr>
        <w:rFonts w:eastAsiaTheme="minorEastAsia"/>
        <w:lang w:eastAsia="zh-HK"/>
      </w:rPr>
    </w:pPr>
  </w:p>
  <w:p w14:paraId="05E91FD1" w14:textId="77777777" w:rsidR="00B2772C" w:rsidRDefault="00B27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86345"/>
      <w:docPartObj>
        <w:docPartGallery w:val="Page Numbers (Bottom of Page)"/>
        <w:docPartUnique/>
      </w:docPartObj>
    </w:sdtPr>
    <w:sdtEndPr>
      <w:rPr>
        <w:noProof/>
      </w:rPr>
    </w:sdtEndPr>
    <w:sdtContent>
      <w:p w14:paraId="774BEFFA" w14:textId="2BF2FABD" w:rsidR="00B2772C" w:rsidRDefault="00B2772C">
        <w:pPr>
          <w:pStyle w:val="Footer"/>
          <w:jc w:val="center"/>
        </w:pPr>
        <w:r>
          <w:fldChar w:fldCharType="begin"/>
        </w:r>
        <w:r>
          <w:instrText xml:space="preserve"> PAGE   \* MERGEFORMAT </w:instrText>
        </w:r>
        <w:r>
          <w:fldChar w:fldCharType="separate"/>
        </w:r>
        <w:r w:rsidR="00482845">
          <w:rPr>
            <w:noProof/>
          </w:rPr>
          <w:t>32</w:t>
        </w:r>
        <w:r>
          <w:rPr>
            <w:noProof/>
          </w:rPr>
          <w:fldChar w:fldCharType="end"/>
        </w:r>
      </w:p>
    </w:sdtContent>
  </w:sdt>
  <w:p w14:paraId="3742435B" w14:textId="77777777" w:rsidR="00B2772C" w:rsidRDefault="00B27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790498"/>
      <w:docPartObj>
        <w:docPartGallery w:val="Page Numbers (Bottom of Page)"/>
        <w:docPartUnique/>
      </w:docPartObj>
    </w:sdtPr>
    <w:sdtEndPr>
      <w:rPr>
        <w:noProof/>
      </w:rPr>
    </w:sdtEndPr>
    <w:sdtContent>
      <w:p w14:paraId="2B8C090F" w14:textId="76010F21" w:rsidR="00B2772C" w:rsidRDefault="00B2772C">
        <w:pPr>
          <w:pStyle w:val="Footer"/>
          <w:jc w:val="center"/>
        </w:pPr>
        <w:r>
          <w:fldChar w:fldCharType="begin"/>
        </w:r>
        <w:r>
          <w:instrText xml:space="preserve"> PAGE   \* MERGEFORMAT </w:instrText>
        </w:r>
        <w:r>
          <w:fldChar w:fldCharType="separate"/>
        </w:r>
        <w:r w:rsidR="00482845">
          <w:rPr>
            <w:noProof/>
          </w:rPr>
          <w:t>1</w:t>
        </w:r>
        <w:r>
          <w:rPr>
            <w:noProof/>
          </w:rPr>
          <w:fldChar w:fldCharType="end"/>
        </w:r>
      </w:p>
    </w:sdtContent>
  </w:sdt>
  <w:p w14:paraId="36444F74" w14:textId="77777777" w:rsidR="00B2772C" w:rsidRDefault="00B2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2C56" w14:textId="77777777" w:rsidR="00625FC9" w:rsidRDefault="00625FC9" w:rsidP="00BF7481">
      <w:pPr>
        <w:spacing w:after="0" w:line="240" w:lineRule="auto"/>
      </w:pPr>
      <w:r>
        <w:separator/>
      </w:r>
    </w:p>
  </w:footnote>
  <w:footnote w:type="continuationSeparator" w:id="0">
    <w:p w14:paraId="25A7F58B" w14:textId="77777777" w:rsidR="00625FC9" w:rsidRDefault="00625FC9" w:rsidP="00BF7481">
      <w:pPr>
        <w:spacing w:after="0" w:line="240" w:lineRule="auto"/>
      </w:pPr>
      <w:r>
        <w:continuationSeparator/>
      </w:r>
    </w:p>
  </w:footnote>
  <w:footnote w:id="1">
    <w:p w14:paraId="2827AE77" w14:textId="58AB7CC4" w:rsidR="00B2772C" w:rsidRPr="00F90A92" w:rsidRDefault="00B2772C">
      <w:pPr>
        <w:pStyle w:val="FootnoteText"/>
        <w:rPr>
          <w:rFonts w:eastAsiaTheme="minorEastAsia"/>
          <w:lang w:eastAsia="zh-TW"/>
        </w:rPr>
      </w:pPr>
      <w:r>
        <w:rPr>
          <w:rStyle w:val="FootnoteReference"/>
        </w:rPr>
        <w:footnoteRef/>
      </w:r>
      <w:r>
        <w:t xml:space="preserve"> </w:t>
      </w:r>
      <w:r w:rsidRPr="00F90A92">
        <w:rPr>
          <w:rFonts w:ascii="Times New Roman" w:eastAsiaTheme="minorEastAsia" w:hAnsi="Times New Roman"/>
          <w:sz w:val="16"/>
          <w:szCs w:val="16"/>
          <w:lang w:eastAsia="zh-TW"/>
        </w:rPr>
        <w:t>These</w:t>
      </w:r>
      <w:r>
        <w:rPr>
          <w:rFonts w:ascii="Times New Roman" w:eastAsiaTheme="minorEastAsia" w:hAnsi="Times New Roman"/>
          <w:sz w:val="16"/>
          <w:szCs w:val="16"/>
          <w:lang w:eastAsia="zh-TW"/>
        </w:rPr>
        <w:t xml:space="preserve"> nine insurers are Allianz SE, American International Group, Inc., </w:t>
      </w:r>
      <w:proofErr w:type="spellStart"/>
      <w:r>
        <w:rPr>
          <w:rFonts w:ascii="Times New Roman" w:eastAsiaTheme="minorEastAsia" w:hAnsi="Times New Roman"/>
          <w:sz w:val="16"/>
          <w:szCs w:val="16"/>
          <w:lang w:eastAsia="zh-TW"/>
        </w:rPr>
        <w:t>Assicurazioni</w:t>
      </w:r>
      <w:proofErr w:type="spellEnd"/>
      <w:r>
        <w:rPr>
          <w:rFonts w:ascii="Times New Roman" w:eastAsiaTheme="minorEastAsia" w:hAnsi="Times New Roman"/>
          <w:sz w:val="16"/>
          <w:szCs w:val="16"/>
          <w:lang w:eastAsia="zh-TW"/>
        </w:rPr>
        <w:t xml:space="preserve"> Generali S.p.A., Aviva plc, </w:t>
      </w:r>
      <w:proofErr w:type="spellStart"/>
      <w:r>
        <w:rPr>
          <w:rFonts w:ascii="Times New Roman" w:eastAsiaTheme="minorEastAsia" w:hAnsi="Times New Roman"/>
          <w:sz w:val="16"/>
          <w:szCs w:val="16"/>
          <w:lang w:eastAsia="zh-TW"/>
        </w:rPr>
        <w:t>Axa</w:t>
      </w:r>
      <w:proofErr w:type="spellEnd"/>
      <w:r>
        <w:rPr>
          <w:rFonts w:ascii="Times New Roman" w:eastAsiaTheme="minorEastAsia" w:hAnsi="Times New Roman"/>
          <w:sz w:val="16"/>
          <w:szCs w:val="16"/>
          <w:lang w:eastAsia="zh-TW"/>
        </w:rPr>
        <w:t xml:space="preserve"> S.A., MetLife, Inc., Ping </w:t>
      </w:r>
      <w:proofErr w:type="gramStart"/>
      <w:r>
        <w:rPr>
          <w:rFonts w:ascii="Times New Roman" w:eastAsiaTheme="minorEastAsia" w:hAnsi="Times New Roman"/>
          <w:sz w:val="16"/>
          <w:szCs w:val="16"/>
          <w:lang w:eastAsia="zh-TW"/>
        </w:rPr>
        <w:t>An</w:t>
      </w:r>
      <w:proofErr w:type="gramEnd"/>
      <w:r>
        <w:rPr>
          <w:rFonts w:ascii="Times New Roman" w:eastAsiaTheme="minorEastAsia" w:hAnsi="Times New Roman"/>
          <w:sz w:val="16"/>
          <w:szCs w:val="16"/>
          <w:lang w:eastAsia="zh-TW"/>
        </w:rPr>
        <w:t xml:space="preserve"> Insurance (Group) Company of China, Ltd., Prudential Financial, Inc., and Prudential plc.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ECC"/>
    <w:multiLevelType w:val="multilevel"/>
    <w:tmpl w:val="4D288E54"/>
    <w:lvl w:ilvl="0">
      <w:start w:val="1"/>
      <w:numFmt w:val="decimal"/>
      <w:lvlText w:val="%1."/>
      <w:lvlJc w:val="left"/>
      <w:pPr>
        <w:ind w:left="720" w:hanging="72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5B77C89"/>
    <w:multiLevelType w:val="hybridMultilevel"/>
    <w:tmpl w:val="B1BE33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9C57963"/>
    <w:multiLevelType w:val="hybridMultilevel"/>
    <w:tmpl w:val="3BB04562"/>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2C6EA4"/>
    <w:multiLevelType w:val="hybridMultilevel"/>
    <w:tmpl w:val="8EF828A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1935E7"/>
    <w:multiLevelType w:val="hybridMultilevel"/>
    <w:tmpl w:val="18C6A696"/>
    <w:lvl w:ilvl="0" w:tplc="B5D4096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910E0A"/>
    <w:multiLevelType w:val="hybridMultilevel"/>
    <w:tmpl w:val="B19634E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3937FAF"/>
    <w:multiLevelType w:val="hybridMultilevel"/>
    <w:tmpl w:val="3D6CA470"/>
    <w:lvl w:ilvl="0" w:tplc="04090001">
      <w:start w:val="1"/>
      <w:numFmt w:val="bullet"/>
      <w:lvlText w:val=""/>
      <w:lvlJc w:val="left"/>
      <w:pPr>
        <w:ind w:left="480" w:hanging="48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952848"/>
    <w:multiLevelType w:val="hybridMultilevel"/>
    <w:tmpl w:val="23A6FD00"/>
    <w:lvl w:ilvl="0" w:tplc="7C08CC3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4248B2"/>
    <w:multiLevelType w:val="multilevel"/>
    <w:tmpl w:val="12DCC8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666CA5"/>
    <w:multiLevelType w:val="hybridMultilevel"/>
    <w:tmpl w:val="7B06F47E"/>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8E5502"/>
    <w:multiLevelType w:val="hybridMultilevel"/>
    <w:tmpl w:val="C72A50B0"/>
    <w:lvl w:ilvl="0" w:tplc="66C28B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F876FD"/>
    <w:multiLevelType w:val="hybridMultilevel"/>
    <w:tmpl w:val="4A4EFE16"/>
    <w:lvl w:ilvl="0" w:tplc="7194DA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121F6"/>
    <w:multiLevelType w:val="hybridMultilevel"/>
    <w:tmpl w:val="4170E5CA"/>
    <w:lvl w:ilvl="0" w:tplc="9E64F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4F74860"/>
    <w:multiLevelType w:val="hybridMultilevel"/>
    <w:tmpl w:val="EC30ABC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C353426"/>
    <w:multiLevelType w:val="hybridMultilevel"/>
    <w:tmpl w:val="04C67376"/>
    <w:lvl w:ilvl="0" w:tplc="1AD01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D06A89"/>
    <w:multiLevelType w:val="hybridMultilevel"/>
    <w:tmpl w:val="F2E4CFFE"/>
    <w:lvl w:ilvl="0" w:tplc="267E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B66E78"/>
    <w:multiLevelType w:val="hybridMultilevel"/>
    <w:tmpl w:val="7FEE74DC"/>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AE13D2"/>
    <w:multiLevelType w:val="hybridMultilevel"/>
    <w:tmpl w:val="2E387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13"/>
  </w:num>
  <w:num w:numId="4">
    <w:abstractNumId w:val="17"/>
  </w:num>
  <w:num w:numId="5">
    <w:abstractNumId w:val="8"/>
  </w:num>
  <w:num w:numId="6">
    <w:abstractNumId w:val="11"/>
  </w:num>
  <w:num w:numId="7">
    <w:abstractNumId w:val="10"/>
  </w:num>
  <w:num w:numId="8">
    <w:abstractNumId w:val="15"/>
  </w:num>
  <w:num w:numId="9">
    <w:abstractNumId w:val="14"/>
  </w:num>
  <w:num w:numId="10">
    <w:abstractNumId w:val="12"/>
  </w:num>
  <w:num w:numId="11">
    <w:abstractNumId w:val="3"/>
  </w:num>
  <w:num w:numId="12">
    <w:abstractNumId w:val="6"/>
  </w:num>
  <w:num w:numId="13">
    <w:abstractNumId w:val="16"/>
  </w:num>
  <w:num w:numId="14">
    <w:abstractNumId w:val="9"/>
  </w:num>
  <w:num w:numId="15">
    <w:abstractNumId w:val="2"/>
  </w:num>
  <w:num w:numId="16">
    <w:abstractNumId w:val="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27"/>
    <w:rsid w:val="00005D19"/>
    <w:rsid w:val="00005E0C"/>
    <w:rsid w:val="00005F11"/>
    <w:rsid w:val="0000654D"/>
    <w:rsid w:val="00006599"/>
    <w:rsid w:val="00006702"/>
    <w:rsid w:val="00006AD8"/>
    <w:rsid w:val="000071B8"/>
    <w:rsid w:val="000121F0"/>
    <w:rsid w:val="00012441"/>
    <w:rsid w:val="00013083"/>
    <w:rsid w:val="0001378C"/>
    <w:rsid w:val="0001633C"/>
    <w:rsid w:val="0001650F"/>
    <w:rsid w:val="00016F56"/>
    <w:rsid w:val="0001732D"/>
    <w:rsid w:val="00017400"/>
    <w:rsid w:val="00021CD2"/>
    <w:rsid w:val="00023B94"/>
    <w:rsid w:val="00030750"/>
    <w:rsid w:val="00031D48"/>
    <w:rsid w:val="00031E92"/>
    <w:rsid w:val="00031FDE"/>
    <w:rsid w:val="00032C71"/>
    <w:rsid w:val="000332D0"/>
    <w:rsid w:val="000332F0"/>
    <w:rsid w:val="000335F5"/>
    <w:rsid w:val="00033BD8"/>
    <w:rsid w:val="00033DEC"/>
    <w:rsid w:val="0003413A"/>
    <w:rsid w:val="00035CCC"/>
    <w:rsid w:val="00035F3C"/>
    <w:rsid w:val="00036421"/>
    <w:rsid w:val="00036B22"/>
    <w:rsid w:val="00036CE4"/>
    <w:rsid w:val="00037612"/>
    <w:rsid w:val="00040A72"/>
    <w:rsid w:val="0004291E"/>
    <w:rsid w:val="00042DEF"/>
    <w:rsid w:val="000448AC"/>
    <w:rsid w:val="00045FD3"/>
    <w:rsid w:val="00047EF2"/>
    <w:rsid w:val="00050037"/>
    <w:rsid w:val="0005044D"/>
    <w:rsid w:val="00052EFB"/>
    <w:rsid w:val="00054D72"/>
    <w:rsid w:val="00054F2C"/>
    <w:rsid w:val="00055028"/>
    <w:rsid w:val="00055826"/>
    <w:rsid w:val="000564BF"/>
    <w:rsid w:val="000574AC"/>
    <w:rsid w:val="0006137C"/>
    <w:rsid w:val="000623A7"/>
    <w:rsid w:val="00063C53"/>
    <w:rsid w:val="00064314"/>
    <w:rsid w:val="0006683E"/>
    <w:rsid w:val="00066BB7"/>
    <w:rsid w:val="00066CDF"/>
    <w:rsid w:val="000676B7"/>
    <w:rsid w:val="00067B13"/>
    <w:rsid w:val="00067D3E"/>
    <w:rsid w:val="000704F5"/>
    <w:rsid w:val="00070E62"/>
    <w:rsid w:val="00071E64"/>
    <w:rsid w:val="00072949"/>
    <w:rsid w:val="00073498"/>
    <w:rsid w:val="00075979"/>
    <w:rsid w:val="00075995"/>
    <w:rsid w:val="00076199"/>
    <w:rsid w:val="00076316"/>
    <w:rsid w:val="000774C1"/>
    <w:rsid w:val="000818DA"/>
    <w:rsid w:val="00082C01"/>
    <w:rsid w:val="0008482E"/>
    <w:rsid w:val="0008547F"/>
    <w:rsid w:val="00086434"/>
    <w:rsid w:val="0008724B"/>
    <w:rsid w:val="00087336"/>
    <w:rsid w:val="00087FCF"/>
    <w:rsid w:val="000905A9"/>
    <w:rsid w:val="00091065"/>
    <w:rsid w:val="00092B6A"/>
    <w:rsid w:val="00094B74"/>
    <w:rsid w:val="00095CDD"/>
    <w:rsid w:val="0009635E"/>
    <w:rsid w:val="00096A0A"/>
    <w:rsid w:val="00096CB5"/>
    <w:rsid w:val="000971E5"/>
    <w:rsid w:val="000A1374"/>
    <w:rsid w:val="000A176B"/>
    <w:rsid w:val="000A1A71"/>
    <w:rsid w:val="000A1B17"/>
    <w:rsid w:val="000A1BB0"/>
    <w:rsid w:val="000A2339"/>
    <w:rsid w:val="000A3950"/>
    <w:rsid w:val="000A3CDB"/>
    <w:rsid w:val="000A3ED0"/>
    <w:rsid w:val="000A4C21"/>
    <w:rsid w:val="000A5A5E"/>
    <w:rsid w:val="000A5D47"/>
    <w:rsid w:val="000B1743"/>
    <w:rsid w:val="000B1995"/>
    <w:rsid w:val="000B1B70"/>
    <w:rsid w:val="000B3DDE"/>
    <w:rsid w:val="000B6559"/>
    <w:rsid w:val="000B66FE"/>
    <w:rsid w:val="000C1D5B"/>
    <w:rsid w:val="000C26A1"/>
    <w:rsid w:val="000C31D2"/>
    <w:rsid w:val="000C42A8"/>
    <w:rsid w:val="000C4C2F"/>
    <w:rsid w:val="000C6940"/>
    <w:rsid w:val="000C6ED1"/>
    <w:rsid w:val="000C71D7"/>
    <w:rsid w:val="000C7362"/>
    <w:rsid w:val="000D1086"/>
    <w:rsid w:val="000D240D"/>
    <w:rsid w:val="000D5AC9"/>
    <w:rsid w:val="000D6FFF"/>
    <w:rsid w:val="000E14B7"/>
    <w:rsid w:val="000E1A54"/>
    <w:rsid w:val="000E20DA"/>
    <w:rsid w:val="000E369B"/>
    <w:rsid w:val="000E3E9C"/>
    <w:rsid w:val="000E5080"/>
    <w:rsid w:val="000E5272"/>
    <w:rsid w:val="000E60B2"/>
    <w:rsid w:val="000E6ADF"/>
    <w:rsid w:val="000E7CE0"/>
    <w:rsid w:val="000E7D9A"/>
    <w:rsid w:val="000F2EE5"/>
    <w:rsid w:val="000F2F90"/>
    <w:rsid w:val="000F372E"/>
    <w:rsid w:val="000F3838"/>
    <w:rsid w:val="000F4811"/>
    <w:rsid w:val="000F5D80"/>
    <w:rsid w:val="0010078F"/>
    <w:rsid w:val="00101A79"/>
    <w:rsid w:val="00102AC5"/>
    <w:rsid w:val="00103EE6"/>
    <w:rsid w:val="0010430F"/>
    <w:rsid w:val="00105683"/>
    <w:rsid w:val="00106359"/>
    <w:rsid w:val="00110FE4"/>
    <w:rsid w:val="001114C9"/>
    <w:rsid w:val="00111D6B"/>
    <w:rsid w:val="001158DE"/>
    <w:rsid w:val="00115D85"/>
    <w:rsid w:val="001161F0"/>
    <w:rsid w:val="001162BA"/>
    <w:rsid w:val="001164E8"/>
    <w:rsid w:val="00116C69"/>
    <w:rsid w:val="00116FC8"/>
    <w:rsid w:val="00117520"/>
    <w:rsid w:val="00117D51"/>
    <w:rsid w:val="00120217"/>
    <w:rsid w:val="00120ED7"/>
    <w:rsid w:val="00121369"/>
    <w:rsid w:val="00121795"/>
    <w:rsid w:val="001222F6"/>
    <w:rsid w:val="00122B07"/>
    <w:rsid w:val="00124C8C"/>
    <w:rsid w:val="0012544C"/>
    <w:rsid w:val="00126E76"/>
    <w:rsid w:val="00127850"/>
    <w:rsid w:val="0012799C"/>
    <w:rsid w:val="00130712"/>
    <w:rsid w:val="001331EB"/>
    <w:rsid w:val="00133248"/>
    <w:rsid w:val="00133280"/>
    <w:rsid w:val="001343A7"/>
    <w:rsid w:val="0013555E"/>
    <w:rsid w:val="0013566C"/>
    <w:rsid w:val="00135C95"/>
    <w:rsid w:val="0013648A"/>
    <w:rsid w:val="00137106"/>
    <w:rsid w:val="00141748"/>
    <w:rsid w:val="0014177A"/>
    <w:rsid w:val="00141DED"/>
    <w:rsid w:val="00142165"/>
    <w:rsid w:val="00142BB6"/>
    <w:rsid w:val="00143D75"/>
    <w:rsid w:val="00144D6A"/>
    <w:rsid w:val="0014519A"/>
    <w:rsid w:val="00146165"/>
    <w:rsid w:val="0014753A"/>
    <w:rsid w:val="001508C1"/>
    <w:rsid w:val="00150A2A"/>
    <w:rsid w:val="001519C2"/>
    <w:rsid w:val="00152269"/>
    <w:rsid w:val="0015331F"/>
    <w:rsid w:val="00154030"/>
    <w:rsid w:val="0015469A"/>
    <w:rsid w:val="00155AFA"/>
    <w:rsid w:val="00157184"/>
    <w:rsid w:val="00157549"/>
    <w:rsid w:val="00160FC6"/>
    <w:rsid w:val="00162322"/>
    <w:rsid w:val="00162A52"/>
    <w:rsid w:val="0016316A"/>
    <w:rsid w:val="001631A1"/>
    <w:rsid w:val="0016324A"/>
    <w:rsid w:val="0016378D"/>
    <w:rsid w:val="00163F02"/>
    <w:rsid w:val="0016627C"/>
    <w:rsid w:val="00166635"/>
    <w:rsid w:val="00166F86"/>
    <w:rsid w:val="00167224"/>
    <w:rsid w:val="00167D22"/>
    <w:rsid w:val="00170CA1"/>
    <w:rsid w:val="00171D8B"/>
    <w:rsid w:val="001737EB"/>
    <w:rsid w:val="00174455"/>
    <w:rsid w:val="00176128"/>
    <w:rsid w:val="001807ED"/>
    <w:rsid w:val="0018142D"/>
    <w:rsid w:val="001815D4"/>
    <w:rsid w:val="00181CDD"/>
    <w:rsid w:val="00181FC3"/>
    <w:rsid w:val="00182044"/>
    <w:rsid w:val="00182FB1"/>
    <w:rsid w:val="00184001"/>
    <w:rsid w:val="00185056"/>
    <w:rsid w:val="00185B0E"/>
    <w:rsid w:val="00186F66"/>
    <w:rsid w:val="00187494"/>
    <w:rsid w:val="00187980"/>
    <w:rsid w:val="00187B11"/>
    <w:rsid w:val="00187CB0"/>
    <w:rsid w:val="001917C3"/>
    <w:rsid w:val="00191ADF"/>
    <w:rsid w:val="00192623"/>
    <w:rsid w:val="00193D17"/>
    <w:rsid w:val="00194CC0"/>
    <w:rsid w:val="0019517A"/>
    <w:rsid w:val="001976BD"/>
    <w:rsid w:val="00197C49"/>
    <w:rsid w:val="00197E8D"/>
    <w:rsid w:val="001A023B"/>
    <w:rsid w:val="001A0702"/>
    <w:rsid w:val="001A17A1"/>
    <w:rsid w:val="001A5FD5"/>
    <w:rsid w:val="001A6A36"/>
    <w:rsid w:val="001A714A"/>
    <w:rsid w:val="001A7DF6"/>
    <w:rsid w:val="001B0778"/>
    <w:rsid w:val="001B0D1B"/>
    <w:rsid w:val="001B0EB4"/>
    <w:rsid w:val="001B1513"/>
    <w:rsid w:val="001B2FA7"/>
    <w:rsid w:val="001B3A87"/>
    <w:rsid w:val="001B3C91"/>
    <w:rsid w:val="001B5660"/>
    <w:rsid w:val="001B5842"/>
    <w:rsid w:val="001B586C"/>
    <w:rsid w:val="001B6552"/>
    <w:rsid w:val="001C0739"/>
    <w:rsid w:val="001C0879"/>
    <w:rsid w:val="001C17D0"/>
    <w:rsid w:val="001C1F70"/>
    <w:rsid w:val="001C34A2"/>
    <w:rsid w:val="001C3F37"/>
    <w:rsid w:val="001C436C"/>
    <w:rsid w:val="001C5335"/>
    <w:rsid w:val="001C7112"/>
    <w:rsid w:val="001D148B"/>
    <w:rsid w:val="001D3AC9"/>
    <w:rsid w:val="001D45C0"/>
    <w:rsid w:val="001D4C63"/>
    <w:rsid w:val="001D6553"/>
    <w:rsid w:val="001D6AA4"/>
    <w:rsid w:val="001E17B8"/>
    <w:rsid w:val="001E20FE"/>
    <w:rsid w:val="001E3404"/>
    <w:rsid w:val="001E4E12"/>
    <w:rsid w:val="001E527D"/>
    <w:rsid w:val="001F0003"/>
    <w:rsid w:val="001F0EDC"/>
    <w:rsid w:val="001F13BA"/>
    <w:rsid w:val="001F16F7"/>
    <w:rsid w:val="001F205B"/>
    <w:rsid w:val="001F4F49"/>
    <w:rsid w:val="001F5FC2"/>
    <w:rsid w:val="001F682A"/>
    <w:rsid w:val="001F6FB9"/>
    <w:rsid w:val="00200709"/>
    <w:rsid w:val="0020081E"/>
    <w:rsid w:val="0020109D"/>
    <w:rsid w:val="002011E3"/>
    <w:rsid w:val="00202215"/>
    <w:rsid w:val="00202512"/>
    <w:rsid w:val="00202DA8"/>
    <w:rsid w:val="00203A92"/>
    <w:rsid w:val="002054F1"/>
    <w:rsid w:val="00206570"/>
    <w:rsid w:val="00206C58"/>
    <w:rsid w:val="00207A8D"/>
    <w:rsid w:val="00210F99"/>
    <w:rsid w:val="00212354"/>
    <w:rsid w:val="00212491"/>
    <w:rsid w:val="002129EE"/>
    <w:rsid w:val="002130BB"/>
    <w:rsid w:val="00213F8F"/>
    <w:rsid w:val="00213FED"/>
    <w:rsid w:val="002156B3"/>
    <w:rsid w:val="00220DB1"/>
    <w:rsid w:val="00225B42"/>
    <w:rsid w:val="002269C7"/>
    <w:rsid w:val="0023147D"/>
    <w:rsid w:val="0023209C"/>
    <w:rsid w:val="002320A7"/>
    <w:rsid w:val="00233227"/>
    <w:rsid w:val="002342DE"/>
    <w:rsid w:val="00236249"/>
    <w:rsid w:val="00236483"/>
    <w:rsid w:val="0023765E"/>
    <w:rsid w:val="00241263"/>
    <w:rsid w:val="00241D8F"/>
    <w:rsid w:val="00241E44"/>
    <w:rsid w:val="00242014"/>
    <w:rsid w:val="00243BAA"/>
    <w:rsid w:val="002442FE"/>
    <w:rsid w:val="002449DC"/>
    <w:rsid w:val="002454E2"/>
    <w:rsid w:val="00245764"/>
    <w:rsid w:val="002473CA"/>
    <w:rsid w:val="0024747F"/>
    <w:rsid w:val="002478D8"/>
    <w:rsid w:val="00247A99"/>
    <w:rsid w:val="00247C72"/>
    <w:rsid w:val="002503F9"/>
    <w:rsid w:val="00250D89"/>
    <w:rsid w:val="00252E7A"/>
    <w:rsid w:val="00253D96"/>
    <w:rsid w:val="0025477F"/>
    <w:rsid w:val="00254B3D"/>
    <w:rsid w:val="002556A1"/>
    <w:rsid w:val="002558CE"/>
    <w:rsid w:val="0025642F"/>
    <w:rsid w:val="00257726"/>
    <w:rsid w:val="00260FE7"/>
    <w:rsid w:val="00261770"/>
    <w:rsid w:val="00261B10"/>
    <w:rsid w:val="0026312B"/>
    <w:rsid w:val="0026384A"/>
    <w:rsid w:val="00263C18"/>
    <w:rsid w:val="00263E16"/>
    <w:rsid w:val="00264792"/>
    <w:rsid w:val="002649EA"/>
    <w:rsid w:val="002651CC"/>
    <w:rsid w:val="00267CA2"/>
    <w:rsid w:val="00270343"/>
    <w:rsid w:val="00270418"/>
    <w:rsid w:val="002705D3"/>
    <w:rsid w:val="002707D4"/>
    <w:rsid w:val="00270B72"/>
    <w:rsid w:val="00272B02"/>
    <w:rsid w:val="002741B3"/>
    <w:rsid w:val="00274754"/>
    <w:rsid w:val="00274A51"/>
    <w:rsid w:val="0028000A"/>
    <w:rsid w:val="00283DBF"/>
    <w:rsid w:val="0028663E"/>
    <w:rsid w:val="002867BD"/>
    <w:rsid w:val="0028796A"/>
    <w:rsid w:val="00290702"/>
    <w:rsid w:val="00290DC2"/>
    <w:rsid w:val="00290FFD"/>
    <w:rsid w:val="00291916"/>
    <w:rsid w:val="00291D19"/>
    <w:rsid w:val="002931F7"/>
    <w:rsid w:val="00294107"/>
    <w:rsid w:val="002945AC"/>
    <w:rsid w:val="002953ED"/>
    <w:rsid w:val="0029665E"/>
    <w:rsid w:val="002A00AE"/>
    <w:rsid w:val="002A0F76"/>
    <w:rsid w:val="002A102E"/>
    <w:rsid w:val="002A17D5"/>
    <w:rsid w:val="002A2C99"/>
    <w:rsid w:val="002A3BD4"/>
    <w:rsid w:val="002A405E"/>
    <w:rsid w:val="002A521D"/>
    <w:rsid w:val="002A5AD2"/>
    <w:rsid w:val="002A5B41"/>
    <w:rsid w:val="002A6639"/>
    <w:rsid w:val="002B12AA"/>
    <w:rsid w:val="002B1966"/>
    <w:rsid w:val="002B1A71"/>
    <w:rsid w:val="002B3C33"/>
    <w:rsid w:val="002B42A7"/>
    <w:rsid w:val="002B57DC"/>
    <w:rsid w:val="002B5E1E"/>
    <w:rsid w:val="002B62C1"/>
    <w:rsid w:val="002B672D"/>
    <w:rsid w:val="002B67E6"/>
    <w:rsid w:val="002B6D4F"/>
    <w:rsid w:val="002B6E02"/>
    <w:rsid w:val="002B7202"/>
    <w:rsid w:val="002B7CB7"/>
    <w:rsid w:val="002C0215"/>
    <w:rsid w:val="002C0781"/>
    <w:rsid w:val="002C2EA8"/>
    <w:rsid w:val="002C3C47"/>
    <w:rsid w:val="002C3DE3"/>
    <w:rsid w:val="002C6F1C"/>
    <w:rsid w:val="002C7F2E"/>
    <w:rsid w:val="002D2BEA"/>
    <w:rsid w:val="002D3A44"/>
    <w:rsid w:val="002D4887"/>
    <w:rsid w:val="002D520C"/>
    <w:rsid w:val="002D5517"/>
    <w:rsid w:val="002D5865"/>
    <w:rsid w:val="002D5C54"/>
    <w:rsid w:val="002D5F20"/>
    <w:rsid w:val="002D70E4"/>
    <w:rsid w:val="002D7F4E"/>
    <w:rsid w:val="002E2C41"/>
    <w:rsid w:val="002E2C5D"/>
    <w:rsid w:val="002E5C96"/>
    <w:rsid w:val="002E7781"/>
    <w:rsid w:val="002E782E"/>
    <w:rsid w:val="002F01CC"/>
    <w:rsid w:val="002F1E06"/>
    <w:rsid w:val="002F20EE"/>
    <w:rsid w:val="002F227C"/>
    <w:rsid w:val="002F22AA"/>
    <w:rsid w:val="002F3A9A"/>
    <w:rsid w:val="002F3D9E"/>
    <w:rsid w:val="002F59E5"/>
    <w:rsid w:val="002F616A"/>
    <w:rsid w:val="002F6DA4"/>
    <w:rsid w:val="002F7DD9"/>
    <w:rsid w:val="00300591"/>
    <w:rsid w:val="003009F0"/>
    <w:rsid w:val="0030126A"/>
    <w:rsid w:val="003012DE"/>
    <w:rsid w:val="003035EC"/>
    <w:rsid w:val="00303691"/>
    <w:rsid w:val="00303946"/>
    <w:rsid w:val="00303CAD"/>
    <w:rsid w:val="003056E6"/>
    <w:rsid w:val="00305C12"/>
    <w:rsid w:val="003067AC"/>
    <w:rsid w:val="0030720F"/>
    <w:rsid w:val="00307785"/>
    <w:rsid w:val="003077CE"/>
    <w:rsid w:val="00310309"/>
    <w:rsid w:val="00310523"/>
    <w:rsid w:val="003109EB"/>
    <w:rsid w:val="00310EAE"/>
    <w:rsid w:val="003119DF"/>
    <w:rsid w:val="00311B19"/>
    <w:rsid w:val="00313775"/>
    <w:rsid w:val="0031401D"/>
    <w:rsid w:val="003148DA"/>
    <w:rsid w:val="00314991"/>
    <w:rsid w:val="00314BAC"/>
    <w:rsid w:val="00315B17"/>
    <w:rsid w:val="003165A1"/>
    <w:rsid w:val="00316EA0"/>
    <w:rsid w:val="00317801"/>
    <w:rsid w:val="003200D9"/>
    <w:rsid w:val="003201C0"/>
    <w:rsid w:val="0032038F"/>
    <w:rsid w:val="00325A6C"/>
    <w:rsid w:val="00325E82"/>
    <w:rsid w:val="00326014"/>
    <w:rsid w:val="00326831"/>
    <w:rsid w:val="00326FD5"/>
    <w:rsid w:val="00327A1F"/>
    <w:rsid w:val="003300BF"/>
    <w:rsid w:val="00330910"/>
    <w:rsid w:val="0033102D"/>
    <w:rsid w:val="00333CA8"/>
    <w:rsid w:val="00333ED4"/>
    <w:rsid w:val="00333FE3"/>
    <w:rsid w:val="00334A31"/>
    <w:rsid w:val="003356FE"/>
    <w:rsid w:val="00337A13"/>
    <w:rsid w:val="00337EEA"/>
    <w:rsid w:val="00340F60"/>
    <w:rsid w:val="00341368"/>
    <w:rsid w:val="00341ACB"/>
    <w:rsid w:val="00341E96"/>
    <w:rsid w:val="00341F68"/>
    <w:rsid w:val="003425EE"/>
    <w:rsid w:val="00343FF9"/>
    <w:rsid w:val="00346AB5"/>
    <w:rsid w:val="00347010"/>
    <w:rsid w:val="00347A04"/>
    <w:rsid w:val="00347C97"/>
    <w:rsid w:val="00347E13"/>
    <w:rsid w:val="00350427"/>
    <w:rsid w:val="00351A09"/>
    <w:rsid w:val="003538F3"/>
    <w:rsid w:val="00354A16"/>
    <w:rsid w:val="00355156"/>
    <w:rsid w:val="00357116"/>
    <w:rsid w:val="0036118F"/>
    <w:rsid w:val="0036153E"/>
    <w:rsid w:val="003643B7"/>
    <w:rsid w:val="00367F7A"/>
    <w:rsid w:val="003714B1"/>
    <w:rsid w:val="003719BC"/>
    <w:rsid w:val="00372008"/>
    <w:rsid w:val="00372EFA"/>
    <w:rsid w:val="00373F84"/>
    <w:rsid w:val="003756D8"/>
    <w:rsid w:val="003757DC"/>
    <w:rsid w:val="00375887"/>
    <w:rsid w:val="003762FA"/>
    <w:rsid w:val="00380DD2"/>
    <w:rsid w:val="00380E29"/>
    <w:rsid w:val="0038130D"/>
    <w:rsid w:val="003818B4"/>
    <w:rsid w:val="003819A8"/>
    <w:rsid w:val="00381A23"/>
    <w:rsid w:val="003822D5"/>
    <w:rsid w:val="00384D40"/>
    <w:rsid w:val="00384DCA"/>
    <w:rsid w:val="0038624A"/>
    <w:rsid w:val="0039008B"/>
    <w:rsid w:val="00390908"/>
    <w:rsid w:val="00390A4E"/>
    <w:rsid w:val="0039154F"/>
    <w:rsid w:val="00391826"/>
    <w:rsid w:val="00393071"/>
    <w:rsid w:val="003932BB"/>
    <w:rsid w:val="00394F3C"/>
    <w:rsid w:val="003950CF"/>
    <w:rsid w:val="0039534F"/>
    <w:rsid w:val="003A01A7"/>
    <w:rsid w:val="003A1316"/>
    <w:rsid w:val="003A1527"/>
    <w:rsid w:val="003A26B9"/>
    <w:rsid w:val="003A2B1D"/>
    <w:rsid w:val="003A2C7C"/>
    <w:rsid w:val="003A2E7B"/>
    <w:rsid w:val="003A3552"/>
    <w:rsid w:val="003A3679"/>
    <w:rsid w:val="003B00B9"/>
    <w:rsid w:val="003B2302"/>
    <w:rsid w:val="003B25C3"/>
    <w:rsid w:val="003B325D"/>
    <w:rsid w:val="003B333D"/>
    <w:rsid w:val="003B3FBE"/>
    <w:rsid w:val="003B4605"/>
    <w:rsid w:val="003B5796"/>
    <w:rsid w:val="003B5AFD"/>
    <w:rsid w:val="003B6313"/>
    <w:rsid w:val="003B721E"/>
    <w:rsid w:val="003B7945"/>
    <w:rsid w:val="003C04E9"/>
    <w:rsid w:val="003C0A65"/>
    <w:rsid w:val="003C1448"/>
    <w:rsid w:val="003C1EE7"/>
    <w:rsid w:val="003C31DD"/>
    <w:rsid w:val="003C3F67"/>
    <w:rsid w:val="003C4066"/>
    <w:rsid w:val="003C4658"/>
    <w:rsid w:val="003C5AE0"/>
    <w:rsid w:val="003C5B57"/>
    <w:rsid w:val="003C66B4"/>
    <w:rsid w:val="003C70C2"/>
    <w:rsid w:val="003C7340"/>
    <w:rsid w:val="003C7658"/>
    <w:rsid w:val="003D041C"/>
    <w:rsid w:val="003D10B5"/>
    <w:rsid w:val="003D1DD3"/>
    <w:rsid w:val="003D3F41"/>
    <w:rsid w:val="003D3FBA"/>
    <w:rsid w:val="003D4600"/>
    <w:rsid w:val="003D46C9"/>
    <w:rsid w:val="003D470C"/>
    <w:rsid w:val="003D4AE7"/>
    <w:rsid w:val="003D54F4"/>
    <w:rsid w:val="003D5796"/>
    <w:rsid w:val="003D6DA5"/>
    <w:rsid w:val="003D6F44"/>
    <w:rsid w:val="003D71E9"/>
    <w:rsid w:val="003D7803"/>
    <w:rsid w:val="003D7CD8"/>
    <w:rsid w:val="003E0733"/>
    <w:rsid w:val="003E0AEC"/>
    <w:rsid w:val="003E2081"/>
    <w:rsid w:val="003E34AA"/>
    <w:rsid w:val="003E3AFE"/>
    <w:rsid w:val="003E5A41"/>
    <w:rsid w:val="003E6282"/>
    <w:rsid w:val="003E7C25"/>
    <w:rsid w:val="003E7CAD"/>
    <w:rsid w:val="003F01E7"/>
    <w:rsid w:val="003F0AF6"/>
    <w:rsid w:val="003F0B81"/>
    <w:rsid w:val="003F3148"/>
    <w:rsid w:val="003F3EB9"/>
    <w:rsid w:val="003F4E14"/>
    <w:rsid w:val="003F4F7F"/>
    <w:rsid w:val="003F79E0"/>
    <w:rsid w:val="003F7E5D"/>
    <w:rsid w:val="0040041E"/>
    <w:rsid w:val="00400B94"/>
    <w:rsid w:val="00400EE2"/>
    <w:rsid w:val="00402D67"/>
    <w:rsid w:val="0040410C"/>
    <w:rsid w:val="00404312"/>
    <w:rsid w:val="004051A4"/>
    <w:rsid w:val="00405BFE"/>
    <w:rsid w:val="00406C17"/>
    <w:rsid w:val="00406E83"/>
    <w:rsid w:val="0040710C"/>
    <w:rsid w:val="00410C15"/>
    <w:rsid w:val="00411109"/>
    <w:rsid w:val="00411D7A"/>
    <w:rsid w:val="00411E95"/>
    <w:rsid w:val="00411FA3"/>
    <w:rsid w:val="004130B9"/>
    <w:rsid w:val="00415ABC"/>
    <w:rsid w:val="0041615E"/>
    <w:rsid w:val="00416C74"/>
    <w:rsid w:val="004224E5"/>
    <w:rsid w:val="00422F8F"/>
    <w:rsid w:val="004235D6"/>
    <w:rsid w:val="00423A47"/>
    <w:rsid w:val="00425272"/>
    <w:rsid w:val="00425765"/>
    <w:rsid w:val="004269ED"/>
    <w:rsid w:val="00426B26"/>
    <w:rsid w:val="00426D39"/>
    <w:rsid w:val="00427772"/>
    <w:rsid w:val="004302F1"/>
    <w:rsid w:val="00430835"/>
    <w:rsid w:val="00430A0F"/>
    <w:rsid w:val="0043159F"/>
    <w:rsid w:val="004318C5"/>
    <w:rsid w:val="00433C40"/>
    <w:rsid w:val="004350FD"/>
    <w:rsid w:val="00436B6F"/>
    <w:rsid w:val="00437BE4"/>
    <w:rsid w:val="0044045A"/>
    <w:rsid w:val="004404A7"/>
    <w:rsid w:val="00440974"/>
    <w:rsid w:val="00441FD6"/>
    <w:rsid w:val="004426A3"/>
    <w:rsid w:val="004429EE"/>
    <w:rsid w:val="00443757"/>
    <w:rsid w:val="0044487D"/>
    <w:rsid w:val="0044576F"/>
    <w:rsid w:val="00446541"/>
    <w:rsid w:val="00446EB9"/>
    <w:rsid w:val="0044791C"/>
    <w:rsid w:val="00450DFA"/>
    <w:rsid w:val="004515C7"/>
    <w:rsid w:val="00452974"/>
    <w:rsid w:val="00452F30"/>
    <w:rsid w:val="004532D1"/>
    <w:rsid w:val="00455D62"/>
    <w:rsid w:val="00456B6C"/>
    <w:rsid w:val="00456F97"/>
    <w:rsid w:val="0046001E"/>
    <w:rsid w:val="004607C8"/>
    <w:rsid w:val="00460CD6"/>
    <w:rsid w:val="00462AC6"/>
    <w:rsid w:val="00462FE7"/>
    <w:rsid w:val="0046347E"/>
    <w:rsid w:val="004644EB"/>
    <w:rsid w:val="00464744"/>
    <w:rsid w:val="00464E3B"/>
    <w:rsid w:val="00466848"/>
    <w:rsid w:val="00466A97"/>
    <w:rsid w:val="004671DB"/>
    <w:rsid w:val="00467477"/>
    <w:rsid w:val="00470359"/>
    <w:rsid w:val="004705A5"/>
    <w:rsid w:val="00470909"/>
    <w:rsid w:val="00470E54"/>
    <w:rsid w:val="00474835"/>
    <w:rsid w:val="004778E1"/>
    <w:rsid w:val="00477D58"/>
    <w:rsid w:val="00481581"/>
    <w:rsid w:val="00482845"/>
    <w:rsid w:val="00482931"/>
    <w:rsid w:val="004840A2"/>
    <w:rsid w:val="00485048"/>
    <w:rsid w:val="004850D6"/>
    <w:rsid w:val="004902C3"/>
    <w:rsid w:val="00490310"/>
    <w:rsid w:val="00491A4C"/>
    <w:rsid w:val="004920C1"/>
    <w:rsid w:val="00493413"/>
    <w:rsid w:val="004937F6"/>
    <w:rsid w:val="004941A4"/>
    <w:rsid w:val="0049491C"/>
    <w:rsid w:val="00494AD4"/>
    <w:rsid w:val="00495588"/>
    <w:rsid w:val="00496766"/>
    <w:rsid w:val="00496D95"/>
    <w:rsid w:val="004A3B09"/>
    <w:rsid w:val="004A4F00"/>
    <w:rsid w:val="004A52F9"/>
    <w:rsid w:val="004A5374"/>
    <w:rsid w:val="004A5569"/>
    <w:rsid w:val="004A5827"/>
    <w:rsid w:val="004A7A26"/>
    <w:rsid w:val="004A7A48"/>
    <w:rsid w:val="004B1B79"/>
    <w:rsid w:val="004B6B26"/>
    <w:rsid w:val="004B6FE7"/>
    <w:rsid w:val="004B71D7"/>
    <w:rsid w:val="004B72F8"/>
    <w:rsid w:val="004C1FC6"/>
    <w:rsid w:val="004C240F"/>
    <w:rsid w:val="004C304C"/>
    <w:rsid w:val="004C3270"/>
    <w:rsid w:val="004C3F64"/>
    <w:rsid w:val="004C4908"/>
    <w:rsid w:val="004C490E"/>
    <w:rsid w:val="004C5836"/>
    <w:rsid w:val="004C5F96"/>
    <w:rsid w:val="004C771E"/>
    <w:rsid w:val="004C7F59"/>
    <w:rsid w:val="004D10A8"/>
    <w:rsid w:val="004D1FE3"/>
    <w:rsid w:val="004D29EB"/>
    <w:rsid w:val="004D4437"/>
    <w:rsid w:val="004D78DE"/>
    <w:rsid w:val="004D7FAD"/>
    <w:rsid w:val="004E09C9"/>
    <w:rsid w:val="004E0B75"/>
    <w:rsid w:val="004E10C0"/>
    <w:rsid w:val="004E1219"/>
    <w:rsid w:val="004E1943"/>
    <w:rsid w:val="004E2526"/>
    <w:rsid w:val="004E2B69"/>
    <w:rsid w:val="004E2FEE"/>
    <w:rsid w:val="004E3444"/>
    <w:rsid w:val="004E3A76"/>
    <w:rsid w:val="004E45D6"/>
    <w:rsid w:val="004F13FF"/>
    <w:rsid w:val="004F1A38"/>
    <w:rsid w:val="004F258A"/>
    <w:rsid w:val="004F2BA8"/>
    <w:rsid w:val="004F3116"/>
    <w:rsid w:val="004F40E2"/>
    <w:rsid w:val="004F4A56"/>
    <w:rsid w:val="004F55CD"/>
    <w:rsid w:val="004F67BB"/>
    <w:rsid w:val="004F7D78"/>
    <w:rsid w:val="005000AE"/>
    <w:rsid w:val="005022E1"/>
    <w:rsid w:val="00502F20"/>
    <w:rsid w:val="00503228"/>
    <w:rsid w:val="00503362"/>
    <w:rsid w:val="005038F6"/>
    <w:rsid w:val="00504B09"/>
    <w:rsid w:val="00504B8A"/>
    <w:rsid w:val="00504FD7"/>
    <w:rsid w:val="0050616D"/>
    <w:rsid w:val="00506E70"/>
    <w:rsid w:val="00512224"/>
    <w:rsid w:val="00512321"/>
    <w:rsid w:val="00512D4E"/>
    <w:rsid w:val="00512E35"/>
    <w:rsid w:val="00512EA3"/>
    <w:rsid w:val="0051336B"/>
    <w:rsid w:val="005135F2"/>
    <w:rsid w:val="00513C69"/>
    <w:rsid w:val="00513DAC"/>
    <w:rsid w:val="005145B2"/>
    <w:rsid w:val="0051490C"/>
    <w:rsid w:val="005151B7"/>
    <w:rsid w:val="00515FF4"/>
    <w:rsid w:val="005161A5"/>
    <w:rsid w:val="00516A9F"/>
    <w:rsid w:val="00516F24"/>
    <w:rsid w:val="005204AC"/>
    <w:rsid w:val="0052072F"/>
    <w:rsid w:val="00521A85"/>
    <w:rsid w:val="00521F9C"/>
    <w:rsid w:val="00522944"/>
    <w:rsid w:val="00523625"/>
    <w:rsid w:val="00523919"/>
    <w:rsid w:val="00523984"/>
    <w:rsid w:val="005245C7"/>
    <w:rsid w:val="00524AA2"/>
    <w:rsid w:val="005254D4"/>
    <w:rsid w:val="0052556D"/>
    <w:rsid w:val="00525BB3"/>
    <w:rsid w:val="00525BDA"/>
    <w:rsid w:val="00526BF4"/>
    <w:rsid w:val="00526D54"/>
    <w:rsid w:val="00526FF5"/>
    <w:rsid w:val="00527977"/>
    <w:rsid w:val="00530A6B"/>
    <w:rsid w:val="00531BEA"/>
    <w:rsid w:val="0053205B"/>
    <w:rsid w:val="00532AF5"/>
    <w:rsid w:val="00532B6E"/>
    <w:rsid w:val="00532D6A"/>
    <w:rsid w:val="0053519B"/>
    <w:rsid w:val="00535708"/>
    <w:rsid w:val="005358B6"/>
    <w:rsid w:val="0053731D"/>
    <w:rsid w:val="00537489"/>
    <w:rsid w:val="0054007A"/>
    <w:rsid w:val="005401C0"/>
    <w:rsid w:val="005410E6"/>
    <w:rsid w:val="0054119D"/>
    <w:rsid w:val="00543D1C"/>
    <w:rsid w:val="00544503"/>
    <w:rsid w:val="00544D5D"/>
    <w:rsid w:val="00545B80"/>
    <w:rsid w:val="00546718"/>
    <w:rsid w:val="00546F61"/>
    <w:rsid w:val="00550834"/>
    <w:rsid w:val="00550B68"/>
    <w:rsid w:val="00552B56"/>
    <w:rsid w:val="005532BD"/>
    <w:rsid w:val="00553CB8"/>
    <w:rsid w:val="00554589"/>
    <w:rsid w:val="00555571"/>
    <w:rsid w:val="00555D05"/>
    <w:rsid w:val="005579DF"/>
    <w:rsid w:val="00560878"/>
    <w:rsid w:val="00560C30"/>
    <w:rsid w:val="0056146E"/>
    <w:rsid w:val="00561FB3"/>
    <w:rsid w:val="005630D1"/>
    <w:rsid w:val="0056412A"/>
    <w:rsid w:val="0056448B"/>
    <w:rsid w:val="005648DA"/>
    <w:rsid w:val="00566287"/>
    <w:rsid w:val="00566448"/>
    <w:rsid w:val="00566AC4"/>
    <w:rsid w:val="00571196"/>
    <w:rsid w:val="00571CC1"/>
    <w:rsid w:val="00571E2E"/>
    <w:rsid w:val="00573448"/>
    <w:rsid w:val="00573669"/>
    <w:rsid w:val="005764AE"/>
    <w:rsid w:val="005767CD"/>
    <w:rsid w:val="00576EB2"/>
    <w:rsid w:val="00577950"/>
    <w:rsid w:val="00580750"/>
    <w:rsid w:val="00583518"/>
    <w:rsid w:val="00583681"/>
    <w:rsid w:val="00583AD8"/>
    <w:rsid w:val="00583C74"/>
    <w:rsid w:val="0058513B"/>
    <w:rsid w:val="00587379"/>
    <w:rsid w:val="005874AC"/>
    <w:rsid w:val="00587BC6"/>
    <w:rsid w:val="00587DD1"/>
    <w:rsid w:val="00590731"/>
    <w:rsid w:val="0059147F"/>
    <w:rsid w:val="00592B5F"/>
    <w:rsid w:val="00592D3E"/>
    <w:rsid w:val="00593B58"/>
    <w:rsid w:val="00595C7F"/>
    <w:rsid w:val="00595ED6"/>
    <w:rsid w:val="0059620E"/>
    <w:rsid w:val="005969F3"/>
    <w:rsid w:val="00597C69"/>
    <w:rsid w:val="005A02EA"/>
    <w:rsid w:val="005A0D30"/>
    <w:rsid w:val="005A143E"/>
    <w:rsid w:val="005A1813"/>
    <w:rsid w:val="005A198A"/>
    <w:rsid w:val="005A2083"/>
    <w:rsid w:val="005A2369"/>
    <w:rsid w:val="005A24A7"/>
    <w:rsid w:val="005A29BB"/>
    <w:rsid w:val="005A2CCC"/>
    <w:rsid w:val="005A3255"/>
    <w:rsid w:val="005A3939"/>
    <w:rsid w:val="005A3D77"/>
    <w:rsid w:val="005A5002"/>
    <w:rsid w:val="005A63FE"/>
    <w:rsid w:val="005A654D"/>
    <w:rsid w:val="005B122E"/>
    <w:rsid w:val="005B1D26"/>
    <w:rsid w:val="005B2A1F"/>
    <w:rsid w:val="005B310F"/>
    <w:rsid w:val="005B3183"/>
    <w:rsid w:val="005B4547"/>
    <w:rsid w:val="005B4911"/>
    <w:rsid w:val="005B5C76"/>
    <w:rsid w:val="005B7A31"/>
    <w:rsid w:val="005C086C"/>
    <w:rsid w:val="005C2525"/>
    <w:rsid w:val="005C2CC8"/>
    <w:rsid w:val="005C452A"/>
    <w:rsid w:val="005C4592"/>
    <w:rsid w:val="005C5993"/>
    <w:rsid w:val="005C5E3F"/>
    <w:rsid w:val="005C7CB2"/>
    <w:rsid w:val="005D1060"/>
    <w:rsid w:val="005D2445"/>
    <w:rsid w:val="005D3AC0"/>
    <w:rsid w:val="005D483B"/>
    <w:rsid w:val="005D4B67"/>
    <w:rsid w:val="005D4BCF"/>
    <w:rsid w:val="005D5333"/>
    <w:rsid w:val="005D554D"/>
    <w:rsid w:val="005D56F1"/>
    <w:rsid w:val="005D5803"/>
    <w:rsid w:val="005D6E64"/>
    <w:rsid w:val="005D79DB"/>
    <w:rsid w:val="005E048D"/>
    <w:rsid w:val="005E269D"/>
    <w:rsid w:val="005E2E10"/>
    <w:rsid w:val="005E316C"/>
    <w:rsid w:val="005E4234"/>
    <w:rsid w:val="005E4F8E"/>
    <w:rsid w:val="005E576A"/>
    <w:rsid w:val="005E623E"/>
    <w:rsid w:val="005E72A3"/>
    <w:rsid w:val="005E7791"/>
    <w:rsid w:val="005E7A90"/>
    <w:rsid w:val="005F414E"/>
    <w:rsid w:val="005F4B15"/>
    <w:rsid w:val="005F6CEA"/>
    <w:rsid w:val="005F6F7B"/>
    <w:rsid w:val="005F6FA6"/>
    <w:rsid w:val="005F7DCE"/>
    <w:rsid w:val="0060065B"/>
    <w:rsid w:val="00601081"/>
    <w:rsid w:val="0060235A"/>
    <w:rsid w:val="006034DD"/>
    <w:rsid w:val="00604296"/>
    <w:rsid w:val="00604D67"/>
    <w:rsid w:val="00604DDE"/>
    <w:rsid w:val="006055E6"/>
    <w:rsid w:val="00606030"/>
    <w:rsid w:val="0060665F"/>
    <w:rsid w:val="006079B3"/>
    <w:rsid w:val="006122EB"/>
    <w:rsid w:val="006143F1"/>
    <w:rsid w:val="0061466A"/>
    <w:rsid w:val="00614705"/>
    <w:rsid w:val="0061527C"/>
    <w:rsid w:val="00615D6B"/>
    <w:rsid w:val="00616ACE"/>
    <w:rsid w:val="00617404"/>
    <w:rsid w:val="00617561"/>
    <w:rsid w:val="00617645"/>
    <w:rsid w:val="00617ADB"/>
    <w:rsid w:val="006206B4"/>
    <w:rsid w:val="006211F5"/>
    <w:rsid w:val="00621F67"/>
    <w:rsid w:val="006221AE"/>
    <w:rsid w:val="00622CC2"/>
    <w:rsid w:val="006230C5"/>
    <w:rsid w:val="00623407"/>
    <w:rsid w:val="00623A1E"/>
    <w:rsid w:val="00625D1F"/>
    <w:rsid w:val="00625FC9"/>
    <w:rsid w:val="0062786C"/>
    <w:rsid w:val="00627D7D"/>
    <w:rsid w:val="00627EEE"/>
    <w:rsid w:val="006303D9"/>
    <w:rsid w:val="006308F7"/>
    <w:rsid w:val="0063155D"/>
    <w:rsid w:val="00631700"/>
    <w:rsid w:val="00631EE1"/>
    <w:rsid w:val="006322D2"/>
    <w:rsid w:val="0063281D"/>
    <w:rsid w:val="006329DA"/>
    <w:rsid w:val="006333D8"/>
    <w:rsid w:val="00633ACC"/>
    <w:rsid w:val="006345E0"/>
    <w:rsid w:val="00635365"/>
    <w:rsid w:val="00635A58"/>
    <w:rsid w:val="00636919"/>
    <w:rsid w:val="00637377"/>
    <w:rsid w:val="0063763F"/>
    <w:rsid w:val="00640790"/>
    <w:rsid w:val="00641A40"/>
    <w:rsid w:val="006439D0"/>
    <w:rsid w:val="00644B87"/>
    <w:rsid w:val="0064604D"/>
    <w:rsid w:val="00646C9D"/>
    <w:rsid w:val="00650928"/>
    <w:rsid w:val="006516A0"/>
    <w:rsid w:val="0065218D"/>
    <w:rsid w:val="00652A73"/>
    <w:rsid w:val="0065379E"/>
    <w:rsid w:val="00653AD2"/>
    <w:rsid w:val="00656DC9"/>
    <w:rsid w:val="00657E2E"/>
    <w:rsid w:val="006625FE"/>
    <w:rsid w:val="00664225"/>
    <w:rsid w:val="006642B9"/>
    <w:rsid w:val="00665423"/>
    <w:rsid w:val="00665F51"/>
    <w:rsid w:val="006674EA"/>
    <w:rsid w:val="0066753B"/>
    <w:rsid w:val="0067126C"/>
    <w:rsid w:val="00671694"/>
    <w:rsid w:val="0067272E"/>
    <w:rsid w:val="00676EE5"/>
    <w:rsid w:val="00677ACD"/>
    <w:rsid w:val="00677DE4"/>
    <w:rsid w:val="00680DEA"/>
    <w:rsid w:val="0068181B"/>
    <w:rsid w:val="00683D40"/>
    <w:rsid w:val="0068424C"/>
    <w:rsid w:val="0068471F"/>
    <w:rsid w:val="0068744E"/>
    <w:rsid w:val="00692C99"/>
    <w:rsid w:val="00692F47"/>
    <w:rsid w:val="00694C24"/>
    <w:rsid w:val="006953B8"/>
    <w:rsid w:val="0069540C"/>
    <w:rsid w:val="006955F7"/>
    <w:rsid w:val="00696C24"/>
    <w:rsid w:val="00696F2C"/>
    <w:rsid w:val="006A027B"/>
    <w:rsid w:val="006A1193"/>
    <w:rsid w:val="006A6A20"/>
    <w:rsid w:val="006A6B8C"/>
    <w:rsid w:val="006A798A"/>
    <w:rsid w:val="006A7B58"/>
    <w:rsid w:val="006B03D2"/>
    <w:rsid w:val="006B0B6F"/>
    <w:rsid w:val="006B0BCD"/>
    <w:rsid w:val="006B0FBF"/>
    <w:rsid w:val="006B1966"/>
    <w:rsid w:val="006B2EB1"/>
    <w:rsid w:val="006B33BF"/>
    <w:rsid w:val="006B4630"/>
    <w:rsid w:val="006B47A0"/>
    <w:rsid w:val="006B4850"/>
    <w:rsid w:val="006B4947"/>
    <w:rsid w:val="006B5509"/>
    <w:rsid w:val="006B7928"/>
    <w:rsid w:val="006C0086"/>
    <w:rsid w:val="006C0829"/>
    <w:rsid w:val="006C0B09"/>
    <w:rsid w:val="006C1767"/>
    <w:rsid w:val="006C28F4"/>
    <w:rsid w:val="006C3081"/>
    <w:rsid w:val="006C388B"/>
    <w:rsid w:val="006C3ECF"/>
    <w:rsid w:val="006C444B"/>
    <w:rsid w:val="006C59CD"/>
    <w:rsid w:val="006C662F"/>
    <w:rsid w:val="006C73C1"/>
    <w:rsid w:val="006D1209"/>
    <w:rsid w:val="006D2DF0"/>
    <w:rsid w:val="006D2F6C"/>
    <w:rsid w:val="006D4B80"/>
    <w:rsid w:val="006D4BD8"/>
    <w:rsid w:val="006D5C6A"/>
    <w:rsid w:val="006D5CCC"/>
    <w:rsid w:val="006D5F3C"/>
    <w:rsid w:val="006D610F"/>
    <w:rsid w:val="006D61A2"/>
    <w:rsid w:val="006E056A"/>
    <w:rsid w:val="006E15BE"/>
    <w:rsid w:val="006E4540"/>
    <w:rsid w:val="006E4A99"/>
    <w:rsid w:val="006E5142"/>
    <w:rsid w:val="006E6138"/>
    <w:rsid w:val="006E6D8C"/>
    <w:rsid w:val="006E782D"/>
    <w:rsid w:val="006F07C6"/>
    <w:rsid w:val="006F13D7"/>
    <w:rsid w:val="006F283D"/>
    <w:rsid w:val="006F2CF6"/>
    <w:rsid w:val="006F315A"/>
    <w:rsid w:val="006F4358"/>
    <w:rsid w:val="006F4AB0"/>
    <w:rsid w:val="006F5612"/>
    <w:rsid w:val="006F6E38"/>
    <w:rsid w:val="006F6E62"/>
    <w:rsid w:val="006F7152"/>
    <w:rsid w:val="00701F4F"/>
    <w:rsid w:val="0070448F"/>
    <w:rsid w:val="007048FF"/>
    <w:rsid w:val="00706536"/>
    <w:rsid w:val="00707A1B"/>
    <w:rsid w:val="00707FBE"/>
    <w:rsid w:val="00710669"/>
    <w:rsid w:val="007114AF"/>
    <w:rsid w:val="007123A3"/>
    <w:rsid w:val="00712725"/>
    <w:rsid w:val="0071330E"/>
    <w:rsid w:val="0071467A"/>
    <w:rsid w:val="007147ED"/>
    <w:rsid w:val="007154E1"/>
    <w:rsid w:val="00715817"/>
    <w:rsid w:val="007168D6"/>
    <w:rsid w:val="00716971"/>
    <w:rsid w:val="007206FC"/>
    <w:rsid w:val="0072114F"/>
    <w:rsid w:val="0072117A"/>
    <w:rsid w:val="00721905"/>
    <w:rsid w:val="00722750"/>
    <w:rsid w:val="00724BDD"/>
    <w:rsid w:val="00724F15"/>
    <w:rsid w:val="007257D3"/>
    <w:rsid w:val="00726801"/>
    <w:rsid w:val="00726849"/>
    <w:rsid w:val="00727674"/>
    <w:rsid w:val="00727878"/>
    <w:rsid w:val="00727D2A"/>
    <w:rsid w:val="00731066"/>
    <w:rsid w:val="00733204"/>
    <w:rsid w:val="00733E1D"/>
    <w:rsid w:val="00734517"/>
    <w:rsid w:val="007352AC"/>
    <w:rsid w:val="00735384"/>
    <w:rsid w:val="00736A82"/>
    <w:rsid w:val="00736C78"/>
    <w:rsid w:val="00736DE5"/>
    <w:rsid w:val="00736EDE"/>
    <w:rsid w:val="007370AE"/>
    <w:rsid w:val="00737D39"/>
    <w:rsid w:val="00742288"/>
    <w:rsid w:val="00742650"/>
    <w:rsid w:val="00742D78"/>
    <w:rsid w:val="00743815"/>
    <w:rsid w:val="00743ED1"/>
    <w:rsid w:val="00744233"/>
    <w:rsid w:val="007442E5"/>
    <w:rsid w:val="00745576"/>
    <w:rsid w:val="007459A1"/>
    <w:rsid w:val="0074613C"/>
    <w:rsid w:val="00746B06"/>
    <w:rsid w:val="00746DCB"/>
    <w:rsid w:val="007479DF"/>
    <w:rsid w:val="00747A26"/>
    <w:rsid w:val="00750266"/>
    <w:rsid w:val="00751726"/>
    <w:rsid w:val="007528F9"/>
    <w:rsid w:val="00753E47"/>
    <w:rsid w:val="0075435C"/>
    <w:rsid w:val="007544FF"/>
    <w:rsid w:val="007568A7"/>
    <w:rsid w:val="00757D0F"/>
    <w:rsid w:val="00760478"/>
    <w:rsid w:val="00763179"/>
    <w:rsid w:val="007637D0"/>
    <w:rsid w:val="007642F0"/>
    <w:rsid w:val="007646BC"/>
    <w:rsid w:val="0076557D"/>
    <w:rsid w:val="00765641"/>
    <w:rsid w:val="0076608A"/>
    <w:rsid w:val="007675ED"/>
    <w:rsid w:val="00767F28"/>
    <w:rsid w:val="0077300F"/>
    <w:rsid w:val="00774D40"/>
    <w:rsid w:val="0077529C"/>
    <w:rsid w:val="007809E1"/>
    <w:rsid w:val="00781260"/>
    <w:rsid w:val="007837FF"/>
    <w:rsid w:val="00784678"/>
    <w:rsid w:val="00784F24"/>
    <w:rsid w:val="00784FCA"/>
    <w:rsid w:val="00785A01"/>
    <w:rsid w:val="00786D38"/>
    <w:rsid w:val="007870E0"/>
    <w:rsid w:val="00787415"/>
    <w:rsid w:val="0079008B"/>
    <w:rsid w:val="0079009A"/>
    <w:rsid w:val="007910C7"/>
    <w:rsid w:val="00791490"/>
    <w:rsid w:val="007936F2"/>
    <w:rsid w:val="007940FC"/>
    <w:rsid w:val="00795F83"/>
    <w:rsid w:val="007964BA"/>
    <w:rsid w:val="00796802"/>
    <w:rsid w:val="007971F9"/>
    <w:rsid w:val="0079783F"/>
    <w:rsid w:val="007A0D6D"/>
    <w:rsid w:val="007A1388"/>
    <w:rsid w:val="007A2092"/>
    <w:rsid w:val="007A2F5A"/>
    <w:rsid w:val="007A4331"/>
    <w:rsid w:val="007A4839"/>
    <w:rsid w:val="007A556B"/>
    <w:rsid w:val="007A5628"/>
    <w:rsid w:val="007A65D7"/>
    <w:rsid w:val="007A6F0E"/>
    <w:rsid w:val="007A7907"/>
    <w:rsid w:val="007A7E7A"/>
    <w:rsid w:val="007B0280"/>
    <w:rsid w:val="007B04D3"/>
    <w:rsid w:val="007B0510"/>
    <w:rsid w:val="007B0A09"/>
    <w:rsid w:val="007B1384"/>
    <w:rsid w:val="007B1676"/>
    <w:rsid w:val="007B16A7"/>
    <w:rsid w:val="007B2A7B"/>
    <w:rsid w:val="007B376C"/>
    <w:rsid w:val="007B48CA"/>
    <w:rsid w:val="007B57DF"/>
    <w:rsid w:val="007B5AC8"/>
    <w:rsid w:val="007B5E44"/>
    <w:rsid w:val="007B627E"/>
    <w:rsid w:val="007C0A8B"/>
    <w:rsid w:val="007C283C"/>
    <w:rsid w:val="007C2F79"/>
    <w:rsid w:val="007C32B3"/>
    <w:rsid w:val="007C34C6"/>
    <w:rsid w:val="007C3549"/>
    <w:rsid w:val="007C3C8A"/>
    <w:rsid w:val="007C6B25"/>
    <w:rsid w:val="007D1EC0"/>
    <w:rsid w:val="007D3BF8"/>
    <w:rsid w:val="007D4B3E"/>
    <w:rsid w:val="007D4D4A"/>
    <w:rsid w:val="007D5EDB"/>
    <w:rsid w:val="007D6F20"/>
    <w:rsid w:val="007D74CC"/>
    <w:rsid w:val="007E05EF"/>
    <w:rsid w:val="007E0778"/>
    <w:rsid w:val="007E10B0"/>
    <w:rsid w:val="007E1221"/>
    <w:rsid w:val="007E22DE"/>
    <w:rsid w:val="007E2301"/>
    <w:rsid w:val="007E3247"/>
    <w:rsid w:val="007E34FA"/>
    <w:rsid w:val="007E3953"/>
    <w:rsid w:val="007E583E"/>
    <w:rsid w:val="007E61CB"/>
    <w:rsid w:val="007E654A"/>
    <w:rsid w:val="007E759F"/>
    <w:rsid w:val="007E7993"/>
    <w:rsid w:val="007E7E27"/>
    <w:rsid w:val="007E7FF2"/>
    <w:rsid w:val="007F0AF8"/>
    <w:rsid w:val="007F1938"/>
    <w:rsid w:val="007F1A16"/>
    <w:rsid w:val="007F1C89"/>
    <w:rsid w:val="007F21D8"/>
    <w:rsid w:val="007F536D"/>
    <w:rsid w:val="007F620F"/>
    <w:rsid w:val="007F753E"/>
    <w:rsid w:val="008002D2"/>
    <w:rsid w:val="008015BF"/>
    <w:rsid w:val="00801B32"/>
    <w:rsid w:val="00801EF1"/>
    <w:rsid w:val="008020CE"/>
    <w:rsid w:val="00802BE0"/>
    <w:rsid w:val="008050EE"/>
    <w:rsid w:val="00805AB1"/>
    <w:rsid w:val="00806969"/>
    <w:rsid w:val="00806F97"/>
    <w:rsid w:val="008109CF"/>
    <w:rsid w:val="0081142E"/>
    <w:rsid w:val="008114DD"/>
    <w:rsid w:val="00812664"/>
    <w:rsid w:val="00814090"/>
    <w:rsid w:val="00814127"/>
    <w:rsid w:val="0081416C"/>
    <w:rsid w:val="0081465C"/>
    <w:rsid w:val="00815602"/>
    <w:rsid w:val="00816E38"/>
    <w:rsid w:val="00817022"/>
    <w:rsid w:val="008170DB"/>
    <w:rsid w:val="00820C52"/>
    <w:rsid w:val="00821112"/>
    <w:rsid w:val="008217C4"/>
    <w:rsid w:val="0082224A"/>
    <w:rsid w:val="00822526"/>
    <w:rsid w:val="008225BE"/>
    <w:rsid w:val="00823797"/>
    <w:rsid w:val="00823972"/>
    <w:rsid w:val="0082483C"/>
    <w:rsid w:val="00824CE3"/>
    <w:rsid w:val="00824EED"/>
    <w:rsid w:val="008255C7"/>
    <w:rsid w:val="0082668F"/>
    <w:rsid w:val="00830074"/>
    <w:rsid w:val="00833276"/>
    <w:rsid w:val="00833656"/>
    <w:rsid w:val="00834630"/>
    <w:rsid w:val="008368AF"/>
    <w:rsid w:val="008374AB"/>
    <w:rsid w:val="008411A3"/>
    <w:rsid w:val="00841862"/>
    <w:rsid w:val="008423AF"/>
    <w:rsid w:val="008423CD"/>
    <w:rsid w:val="00843AC1"/>
    <w:rsid w:val="0084423A"/>
    <w:rsid w:val="00844550"/>
    <w:rsid w:val="00844BC3"/>
    <w:rsid w:val="008459BC"/>
    <w:rsid w:val="00845E1B"/>
    <w:rsid w:val="0084736A"/>
    <w:rsid w:val="008501B9"/>
    <w:rsid w:val="00850715"/>
    <w:rsid w:val="00850C8A"/>
    <w:rsid w:val="008515A0"/>
    <w:rsid w:val="00852285"/>
    <w:rsid w:val="0085302C"/>
    <w:rsid w:val="00853F66"/>
    <w:rsid w:val="008560C2"/>
    <w:rsid w:val="0085691A"/>
    <w:rsid w:val="008575C6"/>
    <w:rsid w:val="00857950"/>
    <w:rsid w:val="00857AB7"/>
    <w:rsid w:val="00860177"/>
    <w:rsid w:val="00861415"/>
    <w:rsid w:val="00861488"/>
    <w:rsid w:val="0086189C"/>
    <w:rsid w:val="0086275A"/>
    <w:rsid w:val="0086546F"/>
    <w:rsid w:val="00866EE6"/>
    <w:rsid w:val="00866FEA"/>
    <w:rsid w:val="0087100C"/>
    <w:rsid w:val="00871243"/>
    <w:rsid w:val="008712E7"/>
    <w:rsid w:val="0087317E"/>
    <w:rsid w:val="0087374F"/>
    <w:rsid w:val="00873809"/>
    <w:rsid w:val="00873936"/>
    <w:rsid w:val="00874419"/>
    <w:rsid w:val="00874E89"/>
    <w:rsid w:val="00875290"/>
    <w:rsid w:val="00875FDD"/>
    <w:rsid w:val="00876004"/>
    <w:rsid w:val="008767D4"/>
    <w:rsid w:val="00876AFF"/>
    <w:rsid w:val="00877AB0"/>
    <w:rsid w:val="00880A40"/>
    <w:rsid w:val="00883422"/>
    <w:rsid w:val="00883C46"/>
    <w:rsid w:val="00883D5B"/>
    <w:rsid w:val="00884770"/>
    <w:rsid w:val="0088541B"/>
    <w:rsid w:val="00886849"/>
    <w:rsid w:val="00886D94"/>
    <w:rsid w:val="00887E71"/>
    <w:rsid w:val="00891A18"/>
    <w:rsid w:val="00891B7A"/>
    <w:rsid w:val="008925F2"/>
    <w:rsid w:val="00892E6A"/>
    <w:rsid w:val="00893A52"/>
    <w:rsid w:val="008978F7"/>
    <w:rsid w:val="008A0B1E"/>
    <w:rsid w:val="008A1722"/>
    <w:rsid w:val="008A1BE8"/>
    <w:rsid w:val="008A2271"/>
    <w:rsid w:val="008A3E94"/>
    <w:rsid w:val="008A553A"/>
    <w:rsid w:val="008A6E4C"/>
    <w:rsid w:val="008A7B07"/>
    <w:rsid w:val="008B0158"/>
    <w:rsid w:val="008B0288"/>
    <w:rsid w:val="008B08AB"/>
    <w:rsid w:val="008B0E95"/>
    <w:rsid w:val="008B23D0"/>
    <w:rsid w:val="008B260A"/>
    <w:rsid w:val="008B3D7F"/>
    <w:rsid w:val="008B4219"/>
    <w:rsid w:val="008B4DB7"/>
    <w:rsid w:val="008B5EDA"/>
    <w:rsid w:val="008B635D"/>
    <w:rsid w:val="008B66B7"/>
    <w:rsid w:val="008B6829"/>
    <w:rsid w:val="008B7792"/>
    <w:rsid w:val="008C0CAA"/>
    <w:rsid w:val="008C0D9D"/>
    <w:rsid w:val="008C10C6"/>
    <w:rsid w:val="008C210E"/>
    <w:rsid w:val="008C3905"/>
    <w:rsid w:val="008C3C2A"/>
    <w:rsid w:val="008C3EA7"/>
    <w:rsid w:val="008C4F2F"/>
    <w:rsid w:val="008C60F3"/>
    <w:rsid w:val="008D158A"/>
    <w:rsid w:val="008D1ADB"/>
    <w:rsid w:val="008D292B"/>
    <w:rsid w:val="008D29BC"/>
    <w:rsid w:val="008D2C67"/>
    <w:rsid w:val="008D2E4A"/>
    <w:rsid w:val="008D4CE6"/>
    <w:rsid w:val="008D57CC"/>
    <w:rsid w:val="008D58E2"/>
    <w:rsid w:val="008D61DB"/>
    <w:rsid w:val="008D64D1"/>
    <w:rsid w:val="008D7283"/>
    <w:rsid w:val="008E0830"/>
    <w:rsid w:val="008E172E"/>
    <w:rsid w:val="008E1FE4"/>
    <w:rsid w:val="008E2B5A"/>
    <w:rsid w:val="008E38DF"/>
    <w:rsid w:val="008E3CF6"/>
    <w:rsid w:val="008E41BD"/>
    <w:rsid w:val="008E4580"/>
    <w:rsid w:val="008E53BC"/>
    <w:rsid w:val="008E64E1"/>
    <w:rsid w:val="008E77C3"/>
    <w:rsid w:val="008E7C05"/>
    <w:rsid w:val="008F078C"/>
    <w:rsid w:val="008F2D44"/>
    <w:rsid w:val="008F358F"/>
    <w:rsid w:val="008F5478"/>
    <w:rsid w:val="008F6A2A"/>
    <w:rsid w:val="008F7385"/>
    <w:rsid w:val="008F7764"/>
    <w:rsid w:val="00900A65"/>
    <w:rsid w:val="00900F7F"/>
    <w:rsid w:val="00901434"/>
    <w:rsid w:val="0090287F"/>
    <w:rsid w:val="009047BC"/>
    <w:rsid w:val="00904E05"/>
    <w:rsid w:val="00904F0E"/>
    <w:rsid w:val="00905130"/>
    <w:rsid w:val="00906489"/>
    <w:rsid w:val="0091002A"/>
    <w:rsid w:val="00910883"/>
    <w:rsid w:val="00911170"/>
    <w:rsid w:val="00913B41"/>
    <w:rsid w:val="00913BC9"/>
    <w:rsid w:val="00915462"/>
    <w:rsid w:val="00915772"/>
    <w:rsid w:val="00915DD5"/>
    <w:rsid w:val="009160C3"/>
    <w:rsid w:val="00916EAC"/>
    <w:rsid w:val="00917928"/>
    <w:rsid w:val="009216FC"/>
    <w:rsid w:val="00921CB3"/>
    <w:rsid w:val="009221C1"/>
    <w:rsid w:val="0092381C"/>
    <w:rsid w:val="00924F0C"/>
    <w:rsid w:val="0092542B"/>
    <w:rsid w:val="00926569"/>
    <w:rsid w:val="00926EDD"/>
    <w:rsid w:val="00927C61"/>
    <w:rsid w:val="0093026B"/>
    <w:rsid w:val="0093053A"/>
    <w:rsid w:val="00930699"/>
    <w:rsid w:val="00933D19"/>
    <w:rsid w:val="00934A91"/>
    <w:rsid w:val="00934EAD"/>
    <w:rsid w:val="009363CF"/>
    <w:rsid w:val="00936AB2"/>
    <w:rsid w:val="0093708C"/>
    <w:rsid w:val="00937656"/>
    <w:rsid w:val="00940DFC"/>
    <w:rsid w:val="00941E12"/>
    <w:rsid w:val="0094269E"/>
    <w:rsid w:val="009427A7"/>
    <w:rsid w:val="0094406C"/>
    <w:rsid w:val="009440A5"/>
    <w:rsid w:val="00944995"/>
    <w:rsid w:val="00945E40"/>
    <w:rsid w:val="00946994"/>
    <w:rsid w:val="00947A21"/>
    <w:rsid w:val="00947C9A"/>
    <w:rsid w:val="00950271"/>
    <w:rsid w:val="00950710"/>
    <w:rsid w:val="00951C21"/>
    <w:rsid w:val="00952440"/>
    <w:rsid w:val="00953731"/>
    <w:rsid w:val="00954C3D"/>
    <w:rsid w:val="00954F01"/>
    <w:rsid w:val="00956715"/>
    <w:rsid w:val="009570E8"/>
    <w:rsid w:val="0095745D"/>
    <w:rsid w:val="00960A3A"/>
    <w:rsid w:val="009616AB"/>
    <w:rsid w:val="009616D7"/>
    <w:rsid w:val="00962CCF"/>
    <w:rsid w:val="00962E3F"/>
    <w:rsid w:val="00963432"/>
    <w:rsid w:val="0096371F"/>
    <w:rsid w:val="00963A45"/>
    <w:rsid w:val="0096402C"/>
    <w:rsid w:val="009656E5"/>
    <w:rsid w:val="009667F7"/>
    <w:rsid w:val="00967757"/>
    <w:rsid w:val="009707D9"/>
    <w:rsid w:val="00971002"/>
    <w:rsid w:val="009714FF"/>
    <w:rsid w:val="00971A23"/>
    <w:rsid w:val="00971F3D"/>
    <w:rsid w:val="00972A95"/>
    <w:rsid w:val="009732F2"/>
    <w:rsid w:val="00973C14"/>
    <w:rsid w:val="00973D75"/>
    <w:rsid w:val="00973E48"/>
    <w:rsid w:val="009743AF"/>
    <w:rsid w:val="0097597B"/>
    <w:rsid w:val="00975C55"/>
    <w:rsid w:val="00976B70"/>
    <w:rsid w:val="00977E9D"/>
    <w:rsid w:val="0098262F"/>
    <w:rsid w:val="00983A55"/>
    <w:rsid w:val="009865B2"/>
    <w:rsid w:val="0098757B"/>
    <w:rsid w:val="00990022"/>
    <w:rsid w:val="00991731"/>
    <w:rsid w:val="00991A68"/>
    <w:rsid w:val="009932F6"/>
    <w:rsid w:val="00993B8D"/>
    <w:rsid w:val="00994DA0"/>
    <w:rsid w:val="00994E56"/>
    <w:rsid w:val="00995434"/>
    <w:rsid w:val="009963E1"/>
    <w:rsid w:val="009A0C69"/>
    <w:rsid w:val="009A1AF4"/>
    <w:rsid w:val="009A225F"/>
    <w:rsid w:val="009A4705"/>
    <w:rsid w:val="009A5947"/>
    <w:rsid w:val="009A5A56"/>
    <w:rsid w:val="009A6A62"/>
    <w:rsid w:val="009A6FA9"/>
    <w:rsid w:val="009B2426"/>
    <w:rsid w:val="009B2AA6"/>
    <w:rsid w:val="009B2B60"/>
    <w:rsid w:val="009B3D56"/>
    <w:rsid w:val="009B5095"/>
    <w:rsid w:val="009B5D42"/>
    <w:rsid w:val="009C053E"/>
    <w:rsid w:val="009C0834"/>
    <w:rsid w:val="009C09B2"/>
    <w:rsid w:val="009C29D1"/>
    <w:rsid w:val="009C32CF"/>
    <w:rsid w:val="009C3C4B"/>
    <w:rsid w:val="009C3E23"/>
    <w:rsid w:val="009C4566"/>
    <w:rsid w:val="009C4DE3"/>
    <w:rsid w:val="009C549C"/>
    <w:rsid w:val="009C60D5"/>
    <w:rsid w:val="009C7415"/>
    <w:rsid w:val="009C74D3"/>
    <w:rsid w:val="009D02E0"/>
    <w:rsid w:val="009D0459"/>
    <w:rsid w:val="009D1438"/>
    <w:rsid w:val="009D1EB8"/>
    <w:rsid w:val="009D22FB"/>
    <w:rsid w:val="009D2A87"/>
    <w:rsid w:val="009D38C1"/>
    <w:rsid w:val="009D4FFB"/>
    <w:rsid w:val="009D65DD"/>
    <w:rsid w:val="009D7446"/>
    <w:rsid w:val="009E0F37"/>
    <w:rsid w:val="009E14B2"/>
    <w:rsid w:val="009E2A3C"/>
    <w:rsid w:val="009E2E8D"/>
    <w:rsid w:val="009E375D"/>
    <w:rsid w:val="009E391E"/>
    <w:rsid w:val="009E3A33"/>
    <w:rsid w:val="009E3A8C"/>
    <w:rsid w:val="009E3B3C"/>
    <w:rsid w:val="009E55E8"/>
    <w:rsid w:val="009E6B44"/>
    <w:rsid w:val="009E7DC3"/>
    <w:rsid w:val="009F0DBC"/>
    <w:rsid w:val="009F11A7"/>
    <w:rsid w:val="009F17C2"/>
    <w:rsid w:val="009F217A"/>
    <w:rsid w:val="009F2C83"/>
    <w:rsid w:val="009F2E1E"/>
    <w:rsid w:val="009F5541"/>
    <w:rsid w:val="009F5FD3"/>
    <w:rsid w:val="009F6BBB"/>
    <w:rsid w:val="009F7D58"/>
    <w:rsid w:val="00A00F43"/>
    <w:rsid w:val="00A029A5"/>
    <w:rsid w:val="00A02B7E"/>
    <w:rsid w:val="00A0646F"/>
    <w:rsid w:val="00A06AE9"/>
    <w:rsid w:val="00A06E95"/>
    <w:rsid w:val="00A11824"/>
    <w:rsid w:val="00A11CEA"/>
    <w:rsid w:val="00A12302"/>
    <w:rsid w:val="00A14185"/>
    <w:rsid w:val="00A1442A"/>
    <w:rsid w:val="00A15CEF"/>
    <w:rsid w:val="00A16581"/>
    <w:rsid w:val="00A1740D"/>
    <w:rsid w:val="00A20919"/>
    <w:rsid w:val="00A22DBD"/>
    <w:rsid w:val="00A2397B"/>
    <w:rsid w:val="00A24586"/>
    <w:rsid w:val="00A24CC0"/>
    <w:rsid w:val="00A25983"/>
    <w:rsid w:val="00A26A8A"/>
    <w:rsid w:val="00A26E75"/>
    <w:rsid w:val="00A30015"/>
    <w:rsid w:val="00A30DF7"/>
    <w:rsid w:val="00A310AB"/>
    <w:rsid w:val="00A31268"/>
    <w:rsid w:val="00A326C5"/>
    <w:rsid w:val="00A32F46"/>
    <w:rsid w:val="00A33B16"/>
    <w:rsid w:val="00A33BD0"/>
    <w:rsid w:val="00A3494D"/>
    <w:rsid w:val="00A34EEC"/>
    <w:rsid w:val="00A3609D"/>
    <w:rsid w:val="00A364E3"/>
    <w:rsid w:val="00A36C58"/>
    <w:rsid w:val="00A36D69"/>
    <w:rsid w:val="00A37257"/>
    <w:rsid w:val="00A37F45"/>
    <w:rsid w:val="00A40E50"/>
    <w:rsid w:val="00A41008"/>
    <w:rsid w:val="00A43381"/>
    <w:rsid w:val="00A433A9"/>
    <w:rsid w:val="00A46030"/>
    <w:rsid w:val="00A478BF"/>
    <w:rsid w:val="00A51405"/>
    <w:rsid w:val="00A529C9"/>
    <w:rsid w:val="00A52D1D"/>
    <w:rsid w:val="00A54972"/>
    <w:rsid w:val="00A54BA5"/>
    <w:rsid w:val="00A55A6F"/>
    <w:rsid w:val="00A57023"/>
    <w:rsid w:val="00A5759F"/>
    <w:rsid w:val="00A6210F"/>
    <w:rsid w:val="00A63598"/>
    <w:rsid w:val="00A635A8"/>
    <w:rsid w:val="00A63FE2"/>
    <w:rsid w:val="00A65585"/>
    <w:rsid w:val="00A65996"/>
    <w:rsid w:val="00A659E7"/>
    <w:rsid w:val="00A66E4C"/>
    <w:rsid w:val="00A6768B"/>
    <w:rsid w:val="00A701C5"/>
    <w:rsid w:val="00A7333F"/>
    <w:rsid w:val="00A73428"/>
    <w:rsid w:val="00A73624"/>
    <w:rsid w:val="00A73B4D"/>
    <w:rsid w:val="00A73FEF"/>
    <w:rsid w:val="00A74517"/>
    <w:rsid w:val="00A75005"/>
    <w:rsid w:val="00A75ED8"/>
    <w:rsid w:val="00A76AD1"/>
    <w:rsid w:val="00A76BC6"/>
    <w:rsid w:val="00A774ED"/>
    <w:rsid w:val="00A81DBD"/>
    <w:rsid w:val="00A82101"/>
    <w:rsid w:val="00A82C17"/>
    <w:rsid w:val="00A859F6"/>
    <w:rsid w:val="00A863C3"/>
    <w:rsid w:val="00A86400"/>
    <w:rsid w:val="00A86608"/>
    <w:rsid w:val="00A86EAA"/>
    <w:rsid w:val="00A87DF8"/>
    <w:rsid w:val="00A87EAC"/>
    <w:rsid w:val="00A93216"/>
    <w:rsid w:val="00A9415D"/>
    <w:rsid w:val="00A95344"/>
    <w:rsid w:val="00A95645"/>
    <w:rsid w:val="00A95D34"/>
    <w:rsid w:val="00A96B89"/>
    <w:rsid w:val="00A97FB3"/>
    <w:rsid w:val="00AA15C9"/>
    <w:rsid w:val="00AA1D89"/>
    <w:rsid w:val="00AA5133"/>
    <w:rsid w:val="00AA55F5"/>
    <w:rsid w:val="00AB00E4"/>
    <w:rsid w:val="00AB0965"/>
    <w:rsid w:val="00AB0A2B"/>
    <w:rsid w:val="00AB0BBD"/>
    <w:rsid w:val="00AB13B3"/>
    <w:rsid w:val="00AB1D49"/>
    <w:rsid w:val="00AB2401"/>
    <w:rsid w:val="00AB3222"/>
    <w:rsid w:val="00AB37EA"/>
    <w:rsid w:val="00AB472E"/>
    <w:rsid w:val="00AB54DA"/>
    <w:rsid w:val="00AC1B60"/>
    <w:rsid w:val="00AC1D44"/>
    <w:rsid w:val="00AC1DDF"/>
    <w:rsid w:val="00AC35FF"/>
    <w:rsid w:val="00AC39D8"/>
    <w:rsid w:val="00AC43B4"/>
    <w:rsid w:val="00AC5AF6"/>
    <w:rsid w:val="00AC6EEB"/>
    <w:rsid w:val="00AC7A98"/>
    <w:rsid w:val="00AD0023"/>
    <w:rsid w:val="00AD0E34"/>
    <w:rsid w:val="00AD16BD"/>
    <w:rsid w:val="00AD1CB0"/>
    <w:rsid w:val="00AD20AC"/>
    <w:rsid w:val="00AD26FF"/>
    <w:rsid w:val="00AD38A7"/>
    <w:rsid w:val="00AD47BB"/>
    <w:rsid w:val="00AD4CE0"/>
    <w:rsid w:val="00AD4F93"/>
    <w:rsid w:val="00AD6905"/>
    <w:rsid w:val="00AD72F8"/>
    <w:rsid w:val="00AD78CF"/>
    <w:rsid w:val="00AE035F"/>
    <w:rsid w:val="00AE0642"/>
    <w:rsid w:val="00AE0EE2"/>
    <w:rsid w:val="00AE11D1"/>
    <w:rsid w:val="00AE1515"/>
    <w:rsid w:val="00AE2284"/>
    <w:rsid w:val="00AE3512"/>
    <w:rsid w:val="00AE54B0"/>
    <w:rsid w:val="00AE5939"/>
    <w:rsid w:val="00AE5FB9"/>
    <w:rsid w:val="00AE6B36"/>
    <w:rsid w:val="00AE7748"/>
    <w:rsid w:val="00AE7E64"/>
    <w:rsid w:val="00AE7F9F"/>
    <w:rsid w:val="00AF08D5"/>
    <w:rsid w:val="00AF1251"/>
    <w:rsid w:val="00AF16F2"/>
    <w:rsid w:val="00AF2156"/>
    <w:rsid w:val="00AF47F0"/>
    <w:rsid w:val="00AF4B09"/>
    <w:rsid w:val="00AF59BD"/>
    <w:rsid w:val="00AF5E03"/>
    <w:rsid w:val="00B00465"/>
    <w:rsid w:val="00B016A2"/>
    <w:rsid w:val="00B02074"/>
    <w:rsid w:val="00B031D9"/>
    <w:rsid w:val="00B0332F"/>
    <w:rsid w:val="00B03B44"/>
    <w:rsid w:val="00B040A0"/>
    <w:rsid w:val="00B041F7"/>
    <w:rsid w:val="00B0626A"/>
    <w:rsid w:val="00B064F3"/>
    <w:rsid w:val="00B068EB"/>
    <w:rsid w:val="00B07A22"/>
    <w:rsid w:val="00B104AA"/>
    <w:rsid w:val="00B106D1"/>
    <w:rsid w:val="00B118E9"/>
    <w:rsid w:val="00B135C7"/>
    <w:rsid w:val="00B1436D"/>
    <w:rsid w:val="00B14ADF"/>
    <w:rsid w:val="00B14C87"/>
    <w:rsid w:val="00B14EBE"/>
    <w:rsid w:val="00B16B0C"/>
    <w:rsid w:val="00B16FE5"/>
    <w:rsid w:val="00B1798C"/>
    <w:rsid w:val="00B21852"/>
    <w:rsid w:val="00B22286"/>
    <w:rsid w:val="00B23B5E"/>
    <w:rsid w:val="00B25811"/>
    <w:rsid w:val="00B25927"/>
    <w:rsid w:val="00B267F3"/>
    <w:rsid w:val="00B26E69"/>
    <w:rsid w:val="00B2772C"/>
    <w:rsid w:val="00B314D3"/>
    <w:rsid w:val="00B3194B"/>
    <w:rsid w:val="00B3269B"/>
    <w:rsid w:val="00B32B08"/>
    <w:rsid w:val="00B33E4A"/>
    <w:rsid w:val="00B3411E"/>
    <w:rsid w:val="00B344D8"/>
    <w:rsid w:val="00B34798"/>
    <w:rsid w:val="00B354B7"/>
    <w:rsid w:val="00B3557B"/>
    <w:rsid w:val="00B355FF"/>
    <w:rsid w:val="00B35E78"/>
    <w:rsid w:val="00B374E7"/>
    <w:rsid w:val="00B37506"/>
    <w:rsid w:val="00B3777E"/>
    <w:rsid w:val="00B379A9"/>
    <w:rsid w:val="00B40579"/>
    <w:rsid w:val="00B408F8"/>
    <w:rsid w:val="00B40DBB"/>
    <w:rsid w:val="00B420E1"/>
    <w:rsid w:val="00B42BDC"/>
    <w:rsid w:val="00B42CBC"/>
    <w:rsid w:val="00B42FA2"/>
    <w:rsid w:val="00B45397"/>
    <w:rsid w:val="00B45BE6"/>
    <w:rsid w:val="00B4637E"/>
    <w:rsid w:val="00B501FA"/>
    <w:rsid w:val="00B5078F"/>
    <w:rsid w:val="00B50BE6"/>
    <w:rsid w:val="00B50C1B"/>
    <w:rsid w:val="00B52B41"/>
    <w:rsid w:val="00B533A4"/>
    <w:rsid w:val="00B5413B"/>
    <w:rsid w:val="00B5482B"/>
    <w:rsid w:val="00B54CB3"/>
    <w:rsid w:val="00B550EF"/>
    <w:rsid w:val="00B5510B"/>
    <w:rsid w:val="00B56604"/>
    <w:rsid w:val="00B5676D"/>
    <w:rsid w:val="00B573CD"/>
    <w:rsid w:val="00B60378"/>
    <w:rsid w:val="00B643EE"/>
    <w:rsid w:val="00B64BF1"/>
    <w:rsid w:val="00B656F9"/>
    <w:rsid w:val="00B65E21"/>
    <w:rsid w:val="00B6626D"/>
    <w:rsid w:val="00B662F1"/>
    <w:rsid w:val="00B66598"/>
    <w:rsid w:val="00B667BA"/>
    <w:rsid w:val="00B66C4C"/>
    <w:rsid w:val="00B674BF"/>
    <w:rsid w:val="00B6750A"/>
    <w:rsid w:val="00B6791E"/>
    <w:rsid w:val="00B70BB0"/>
    <w:rsid w:val="00B71560"/>
    <w:rsid w:val="00B71786"/>
    <w:rsid w:val="00B734D4"/>
    <w:rsid w:val="00B73EB8"/>
    <w:rsid w:val="00B759FB"/>
    <w:rsid w:val="00B75BB6"/>
    <w:rsid w:val="00B760A1"/>
    <w:rsid w:val="00B76638"/>
    <w:rsid w:val="00B81BC1"/>
    <w:rsid w:val="00B822E4"/>
    <w:rsid w:val="00B82893"/>
    <w:rsid w:val="00B86E32"/>
    <w:rsid w:val="00B870F1"/>
    <w:rsid w:val="00B875AF"/>
    <w:rsid w:val="00B9036C"/>
    <w:rsid w:val="00B9037E"/>
    <w:rsid w:val="00B904A7"/>
    <w:rsid w:val="00B91A97"/>
    <w:rsid w:val="00B926DA"/>
    <w:rsid w:val="00B927A8"/>
    <w:rsid w:val="00B92CF5"/>
    <w:rsid w:val="00B93FDE"/>
    <w:rsid w:val="00B941FA"/>
    <w:rsid w:val="00B94E4B"/>
    <w:rsid w:val="00B9519E"/>
    <w:rsid w:val="00B95306"/>
    <w:rsid w:val="00B95710"/>
    <w:rsid w:val="00B96724"/>
    <w:rsid w:val="00B973CF"/>
    <w:rsid w:val="00BA0290"/>
    <w:rsid w:val="00BA08B4"/>
    <w:rsid w:val="00BA266D"/>
    <w:rsid w:val="00BA3B02"/>
    <w:rsid w:val="00BA3FFD"/>
    <w:rsid w:val="00BA413D"/>
    <w:rsid w:val="00BA5623"/>
    <w:rsid w:val="00BA5C06"/>
    <w:rsid w:val="00BA5C73"/>
    <w:rsid w:val="00BA610F"/>
    <w:rsid w:val="00BA68B4"/>
    <w:rsid w:val="00BA6CA5"/>
    <w:rsid w:val="00BA6FB5"/>
    <w:rsid w:val="00BB00D0"/>
    <w:rsid w:val="00BB035F"/>
    <w:rsid w:val="00BB102D"/>
    <w:rsid w:val="00BB16E9"/>
    <w:rsid w:val="00BB17E0"/>
    <w:rsid w:val="00BB316F"/>
    <w:rsid w:val="00BB331B"/>
    <w:rsid w:val="00BB3843"/>
    <w:rsid w:val="00BB3ACF"/>
    <w:rsid w:val="00BB483D"/>
    <w:rsid w:val="00BB5435"/>
    <w:rsid w:val="00BB566F"/>
    <w:rsid w:val="00BB5C36"/>
    <w:rsid w:val="00BB5EB8"/>
    <w:rsid w:val="00BB61D7"/>
    <w:rsid w:val="00BB682B"/>
    <w:rsid w:val="00BC0458"/>
    <w:rsid w:val="00BC0F67"/>
    <w:rsid w:val="00BC209B"/>
    <w:rsid w:val="00BC27B1"/>
    <w:rsid w:val="00BC4CF7"/>
    <w:rsid w:val="00BC4F76"/>
    <w:rsid w:val="00BC5CFD"/>
    <w:rsid w:val="00BC6338"/>
    <w:rsid w:val="00BD1DB9"/>
    <w:rsid w:val="00BD1E15"/>
    <w:rsid w:val="00BD467D"/>
    <w:rsid w:val="00BD46BB"/>
    <w:rsid w:val="00BD538F"/>
    <w:rsid w:val="00BD6791"/>
    <w:rsid w:val="00BD6933"/>
    <w:rsid w:val="00BD7B09"/>
    <w:rsid w:val="00BE148B"/>
    <w:rsid w:val="00BE2A88"/>
    <w:rsid w:val="00BE2D08"/>
    <w:rsid w:val="00BE2E49"/>
    <w:rsid w:val="00BE325A"/>
    <w:rsid w:val="00BE3A27"/>
    <w:rsid w:val="00BE431B"/>
    <w:rsid w:val="00BE4B4D"/>
    <w:rsid w:val="00BE4CBF"/>
    <w:rsid w:val="00BE51CC"/>
    <w:rsid w:val="00BE547B"/>
    <w:rsid w:val="00BE654C"/>
    <w:rsid w:val="00BE679B"/>
    <w:rsid w:val="00BE6958"/>
    <w:rsid w:val="00BE6D2F"/>
    <w:rsid w:val="00BF02E6"/>
    <w:rsid w:val="00BF07A6"/>
    <w:rsid w:val="00BF0FD5"/>
    <w:rsid w:val="00BF335E"/>
    <w:rsid w:val="00BF4410"/>
    <w:rsid w:val="00BF56CC"/>
    <w:rsid w:val="00BF61F9"/>
    <w:rsid w:val="00BF64D8"/>
    <w:rsid w:val="00BF73AD"/>
    <w:rsid w:val="00BF7481"/>
    <w:rsid w:val="00BF7A18"/>
    <w:rsid w:val="00C00B2B"/>
    <w:rsid w:val="00C01053"/>
    <w:rsid w:val="00C0193C"/>
    <w:rsid w:val="00C03173"/>
    <w:rsid w:val="00C03D9B"/>
    <w:rsid w:val="00C041B8"/>
    <w:rsid w:val="00C04CF8"/>
    <w:rsid w:val="00C05EF3"/>
    <w:rsid w:val="00C06CB6"/>
    <w:rsid w:val="00C0736C"/>
    <w:rsid w:val="00C10425"/>
    <w:rsid w:val="00C10AE2"/>
    <w:rsid w:val="00C1275B"/>
    <w:rsid w:val="00C1487E"/>
    <w:rsid w:val="00C14F75"/>
    <w:rsid w:val="00C15091"/>
    <w:rsid w:val="00C2141E"/>
    <w:rsid w:val="00C21BAD"/>
    <w:rsid w:val="00C231A7"/>
    <w:rsid w:val="00C23CB8"/>
    <w:rsid w:val="00C245A0"/>
    <w:rsid w:val="00C24B59"/>
    <w:rsid w:val="00C27AA4"/>
    <w:rsid w:val="00C27C2D"/>
    <w:rsid w:val="00C30365"/>
    <w:rsid w:val="00C31A68"/>
    <w:rsid w:val="00C31D1F"/>
    <w:rsid w:val="00C320E2"/>
    <w:rsid w:val="00C35076"/>
    <w:rsid w:val="00C3533A"/>
    <w:rsid w:val="00C36DBB"/>
    <w:rsid w:val="00C37117"/>
    <w:rsid w:val="00C3773A"/>
    <w:rsid w:val="00C4326F"/>
    <w:rsid w:val="00C43532"/>
    <w:rsid w:val="00C45F3A"/>
    <w:rsid w:val="00C461DC"/>
    <w:rsid w:val="00C46D66"/>
    <w:rsid w:val="00C51719"/>
    <w:rsid w:val="00C51DE8"/>
    <w:rsid w:val="00C524B2"/>
    <w:rsid w:val="00C5307C"/>
    <w:rsid w:val="00C53DD4"/>
    <w:rsid w:val="00C543FD"/>
    <w:rsid w:val="00C54ED1"/>
    <w:rsid w:val="00C5769E"/>
    <w:rsid w:val="00C61D36"/>
    <w:rsid w:val="00C61EB2"/>
    <w:rsid w:val="00C626FF"/>
    <w:rsid w:val="00C6276D"/>
    <w:rsid w:val="00C64AE9"/>
    <w:rsid w:val="00C650ED"/>
    <w:rsid w:val="00C66058"/>
    <w:rsid w:val="00C663CF"/>
    <w:rsid w:val="00C70639"/>
    <w:rsid w:val="00C71580"/>
    <w:rsid w:val="00C71F61"/>
    <w:rsid w:val="00C722F4"/>
    <w:rsid w:val="00C752C0"/>
    <w:rsid w:val="00C76548"/>
    <w:rsid w:val="00C77356"/>
    <w:rsid w:val="00C80FDC"/>
    <w:rsid w:val="00C825D1"/>
    <w:rsid w:val="00C83734"/>
    <w:rsid w:val="00C83C5B"/>
    <w:rsid w:val="00C85214"/>
    <w:rsid w:val="00C85E36"/>
    <w:rsid w:val="00C8630E"/>
    <w:rsid w:val="00C86533"/>
    <w:rsid w:val="00C87362"/>
    <w:rsid w:val="00C879E3"/>
    <w:rsid w:val="00C90103"/>
    <w:rsid w:val="00C93D19"/>
    <w:rsid w:val="00C93FFF"/>
    <w:rsid w:val="00C9541B"/>
    <w:rsid w:val="00C95B5D"/>
    <w:rsid w:val="00C95EE5"/>
    <w:rsid w:val="00C96ADD"/>
    <w:rsid w:val="00C971D7"/>
    <w:rsid w:val="00C97E86"/>
    <w:rsid w:val="00CA0F60"/>
    <w:rsid w:val="00CA1CA8"/>
    <w:rsid w:val="00CA1E43"/>
    <w:rsid w:val="00CA2D12"/>
    <w:rsid w:val="00CA2EB6"/>
    <w:rsid w:val="00CA30E8"/>
    <w:rsid w:val="00CA3B21"/>
    <w:rsid w:val="00CA40CA"/>
    <w:rsid w:val="00CA5BBD"/>
    <w:rsid w:val="00CA5D51"/>
    <w:rsid w:val="00CB0382"/>
    <w:rsid w:val="00CB057E"/>
    <w:rsid w:val="00CB1B87"/>
    <w:rsid w:val="00CB294E"/>
    <w:rsid w:val="00CB51B7"/>
    <w:rsid w:val="00CB7201"/>
    <w:rsid w:val="00CC00C5"/>
    <w:rsid w:val="00CC11A9"/>
    <w:rsid w:val="00CC1E64"/>
    <w:rsid w:val="00CC2482"/>
    <w:rsid w:val="00CC35D7"/>
    <w:rsid w:val="00CC38A8"/>
    <w:rsid w:val="00CC3A50"/>
    <w:rsid w:val="00CC3AFB"/>
    <w:rsid w:val="00CC4408"/>
    <w:rsid w:val="00CC49D5"/>
    <w:rsid w:val="00CC49FE"/>
    <w:rsid w:val="00CC5574"/>
    <w:rsid w:val="00CC5C48"/>
    <w:rsid w:val="00CC65F6"/>
    <w:rsid w:val="00CC7F39"/>
    <w:rsid w:val="00CD09E0"/>
    <w:rsid w:val="00CD23F3"/>
    <w:rsid w:val="00CD298F"/>
    <w:rsid w:val="00CD2C45"/>
    <w:rsid w:val="00CD5729"/>
    <w:rsid w:val="00CD57F5"/>
    <w:rsid w:val="00CD5B18"/>
    <w:rsid w:val="00CD5CFE"/>
    <w:rsid w:val="00CD7507"/>
    <w:rsid w:val="00CE18A6"/>
    <w:rsid w:val="00CE2482"/>
    <w:rsid w:val="00CE24A6"/>
    <w:rsid w:val="00CE26EB"/>
    <w:rsid w:val="00CE282C"/>
    <w:rsid w:val="00CE2C7D"/>
    <w:rsid w:val="00CE3F2E"/>
    <w:rsid w:val="00CE6EA8"/>
    <w:rsid w:val="00CE78DE"/>
    <w:rsid w:val="00CE7AEF"/>
    <w:rsid w:val="00CF0F7F"/>
    <w:rsid w:val="00CF25EC"/>
    <w:rsid w:val="00CF381F"/>
    <w:rsid w:val="00CF448A"/>
    <w:rsid w:val="00CF6533"/>
    <w:rsid w:val="00CF6A96"/>
    <w:rsid w:val="00CF7FDB"/>
    <w:rsid w:val="00D00E7C"/>
    <w:rsid w:val="00D02C08"/>
    <w:rsid w:val="00D05E9B"/>
    <w:rsid w:val="00D06642"/>
    <w:rsid w:val="00D10A8E"/>
    <w:rsid w:val="00D10C9F"/>
    <w:rsid w:val="00D11E27"/>
    <w:rsid w:val="00D12AA8"/>
    <w:rsid w:val="00D157EF"/>
    <w:rsid w:val="00D16EF9"/>
    <w:rsid w:val="00D20107"/>
    <w:rsid w:val="00D223CE"/>
    <w:rsid w:val="00D22B1F"/>
    <w:rsid w:val="00D2350C"/>
    <w:rsid w:val="00D23558"/>
    <w:rsid w:val="00D26FBC"/>
    <w:rsid w:val="00D301A7"/>
    <w:rsid w:val="00D30439"/>
    <w:rsid w:val="00D3075A"/>
    <w:rsid w:val="00D308C8"/>
    <w:rsid w:val="00D3107D"/>
    <w:rsid w:val="00D31961"/>
    <w:rsid w:val="00D31A61"/>
    <w:rsid w:val="00D31B83"/>
    <w:rsid w:val="00D3280F"/>
    <w:rsid w:val="00D32F24"/>
    <w:rsid w:val="00D33D7C"/>
    <w:rsid w:val="00D33FD7"/>
    <w:rsid w:val="00D35682"/>
    <w:rsid w:val="00D35DCA"/>
    <w:rsid w:val="00D365B6"/>
    <w:rsid w:val="00D4134C"/>
    <w:rsid w:val="00D42087"/>
    <w:rsid w:val="00D429FB"/>
    <w:rsid w:val="00D42BB6"/>
    <w:rsid w:val="00D42E42"/>
    <w:rsid w:val="00D43BD5"/>
    <w:rsid w:val="00D43CBA"/>
    <w:rsid w:val="00D44372"/>
    <w:rsid w:val="00D44830"/>
    <w:rsid w:val="00D46AB3"/>
    <w:rsid w:val="00D46B73"/>
    <w:rsid w:val="00D47C09"/>
    <w:rsid w:val="00D51363"/>
    <w:rsid w:val="00D51E19"/>
    <w:rsid w:val="00D52D01"/>
    <w:rsid w:val="00D5330C"/>
    <w:rsid w:val="00D557B5"/>
    <w:rsid w:val="00D55D8F"/>
    <w:rsid w:val="00D57331"/>
    <w:rsid w:val="00D63397"/>
    <w:rsid w:val="00D644FB"/>
    <w:rsid w:val="00D64714"/>
    <w:rsid w:val="00D649C7"/>
    <w:rsid w:val="00D64A1F"/>
    <w:rsid w:val="00D656EE"/>
    <w:rsid w:val="00D66B01"/>
    <w:rsid w:val="00D66DDC"/>
    <w:rsid w:val="00D72245"/>
    <w:rsid w:val="00D72F4E"/>
    <w:rsid w:val="00D73AB1"/>
    <w:rsid w:val="00D7493C"/>
    <w:rsid w:val="00D7670F"/>
    <w:rsid w:val="00D76D9A"/>
    <w:rsid w:val="00D76FB1"/>
    <w:rsid w:val="00D772D8"/>
    <w:rsid w:val="00D80540"/>
    <w:rsid w:val="00D80725"/>
    <w:rsid w:val="00D81074"/>
    <w:rsid w:val="00D82783"/>
    <w:rsid w:val="00D83005"/>
    <w:rsid w:val="00D8418C"/>
    <w:rsid w:val="00D851EF"/>
    <w:rsid w:val="00D874BA"/>
    <w:rsid w:val="00D877EA"/>
    <w:rsid w:val="00D905E5"/>
    <w:rsid w:val="00D91A00"/>
    <w:rsid w:val="00D91D58"/>
    <w:rsid w:val="00D91D5C"/>
    <w:rsid w:val="00D939D7"/>
    <w:rsid w:val="00D93BBA"/>
    <w:rsid w:val="00D93BC3"/>
    <w:rsid w:val="00D94117"/>
    <w:rsid w:val="00D94205"/>
    <w:rsid w:val="00D943FF"/>
    <w:rsid w:val="00D95302"/>
    <w:rsid w:val="00D957C6"/>
    <w:rsid w:val="00D9610F"/>
    <w:rsid w:val="00D9707F"/>
    <w:rsid w:val="00D97567"/>
    <w:rsid w:val="00DA2D73"/>
    <w:rsid w:val="00DA508F"/>
    <w:rsid w:val="00DA5F41"/>
    <w:rsid w:val="00DA6B53"/>
    <w:rsid w:val="00DA7D7F"/>
    <w:rsid w:val="00DB5297"/>
    <w:rsid w:val="00DB61D7"/>
    <w:rsid w:val="00DB693E"/>
    <w:rsid w:val="00DB6CB9"/>
    <w:rsid w:val="00DB7665"/>
    <w:rsid w:val="00DB7AA0"/>
    <w:rsid w:val="00DC01D1"/>
    <w:rsid w:val="00DC0796"/>
    <w:rsid w:val="00DC21B5"/>
    <w:rsid w:val="00DC270B"/>
    <w:rsid w:val="00DC378E"/>
    <w:rsid w:val="00DC3B7C"/>
    <w:rsid w:val="00DC3C54"/>
    <w:rsid w:val="00DC3E76"/>
    <w:rsid w:val="00DC4B19"/>
    <w:rsid w:val="00DC61CC"/>
    <w:rsid w:val="00DC63F4"/>
    <w:rsid w:val="00DC6912"/>
    <w:rsid w:val="00DC70B3"/>
    <w:rsid w:val="00DD089D"/>
    <w:rsid w:val="00DD146F"/>
    <w:rsid w:val="00DD415B"/>
    <w:rsid w:val="00DD4FCD"/>
    <w:rsid w:val="00DD5F7D"/>
    <w:rsid w:val="00DD7D6D"/>
    <w:rsid w:val="00DE035A"/>
    <w:rsid w:val="00DE246D"/>
    <w:rsid w:val="00DE27E1"/>
    <w:rsid w:val="00DE3177"/>
    <w:rsid w:val="00DE4CDF"/>
    <w:rsid w:val="00DE59A9"/>
    <w:rsid w:val="00DE737E"/>
    <w:rsid w:val="00DE7955"/>
    <w:rsid w:val="00DF268F"/>
    <w:rsid w:val="00DF2EDB"/>
    <w:rsid w:val="00DF39A0"/>
    <w:rsid w:val="00DF4897"/>
    <w:rsid w:val="00DF585F"/>
    <w:rsid w:val="00DF65BB"/>
    <w:rsid w:val="00DF694D"/>
    <w:rsid w:val="00DF70F5"/>
    <w:rsid w:val="00E0034B"/>
    <w:rsid w:val="00E004FB"/>
    <w:rsid w:val="00E00793"/>
    <w:rsid w:val="00E00CE6"/>
    <w:rsid w:val="00E01AF6"/>
    <w:rsid w:val="00E01B9F"/>
    <w:rsid w:val="00E02148"/>
    <w:rsid w:val="00E025D6"/>
    <w:rsid w:val="00E02902"/>
    <w:rsid w:val="00E05BA0"/>
    <w:rsid w:val="00E06512"/>
    <w:rsid w:val="00E10592"/>
    <w:rsid w:val="00E10B95"/>
    <w:rsid w:val="00E11090"/>
    <w:rsid w:val="00E17071"/>
    <w:rsid w:val="00E2068D"/>
    <w:rsid w:val="00E22989"/>
    <w:rsid w:val="00E25A00"/>
    <w:rsid w:val="00E26AFF"/>
    <w:rsid w:val="00E271B4"/>
    <w:rsid w:val="00E27592"/>
    <w:rsid w:val="00E27841"/>
    <w:rsid w:val="00E32651"/>
    <w:rsid w:val="00E331FA"/>
    <w:rsid w:val="00E334BF"/>
    <w:rsid w:val="00E338B9"/>
    <w:rsid w:val="00E34C13"/>
    <w:rsid w:val="00E36527"/>
    <w:rsid w:val="00E41966"/>
    <w:rsid w:val="00E4601C"/>
    <w:rsid w:val="00E46703"/>
    <w:rsid w:val="00E46834"/>
    <w:rsid w:val="00E4706C"/>
    <w:rsid w:val="00E4754E"/>
    <w:rsid w:val="00E50C96"/>
    <w:rsid w:val="00E50ED1"/>
    <w:rsid w:val="00E5480E"/>
    <w:rsid w:val="00E55E0B"/>
    <w:rsid w:val="00E57518"/>
    <w:rsid w:val="00E57806"/>
    <w:rsid w:val="00E57B79"/>
    <w:rsid w:val="00E61146"/>
    <w:rsid w:val="00E6194A"/>
    <w:rsid w:val="00E647AE"/>
    <w:rsid w:val="00E64B2B"/>
    <w:rsid w:val="00E64BCE"/>
    <w:rsid w:val="00E671D6"/>
    <w:rsid w:val="00E70E15"/>
    <w:rsid w:val="00E71800"/>
    <w:rsid w:val="00E7235C"/>
    <w:rsid w:val="00E73024"/>
    <w:rsid w:val="00E7355C"/>
    <w:rsid w:val="00E73EB3"/>
    <w:rsid w:val="00E74C63"/>
    <w:rsid w:val="00E759D4"/>
    <w:rsid w:val="00E76EC0"/>
    <w:rsid w:val="00E77200"/>
    <w:rsid w:val="00E775F0"/>
    <w:rsid w:val="00E808C2"/>
    <w:rsid w:val="00E80F4E"/>
    <w:rsid w:val="00E810F1"/>
    <w:rsid w:val="00E81B37"/>
    <w:rsid w:val="00E852E8"/>
    <w:rsid w:val="00E862FC"/>
    <w:rsid w:val="00E86B65"/>
    <w:rsid w:val="00E86EF7"/>
    <w:rsid w:val="00E8741B"/>
    <w:rsid w:val="00E87CF4"/>
    <w:rsid w:val="00E900F6"/>
    <w:rsid w:val="00E908D3"/>
    <w:rsid w:val="00E90DC2"/>
    <w:rsid w:val="00E9461B"/>
    <w:rsid w:val="00E955C9"/>
    <w:rsid w:val="00E957A6"/>
    <w:rsid w:val="00E96644"/>
    <w:rsid w:val="00EA021B"/>
    <w:rsid w:val="00EA1DDC"/>
    <w:rsid w:val="00EA2498"/>
    <w:rsid w:val="00EA452E"/>
    <w:rsid w:val="00EA4BF5"/>
    <w:rsid w:val="00EA55FB"/>
    <w:rsid w:val="00EA5804"/>
    <w:rsid w:val="00EA5C54"/>
    <w:rsid w:val="00EA7275"/>
    <w:rsid w:val="00EB0593"/>
    <w:rsid w:val="00EB05A8"/>
    <w:rsid w:val="00EB0BFB"/>
    <w:rsid w:val="00EB3D0F"/>
    <w:rsid w:val="00EB6184"/>
    <w:rsid w:val="00EB6F50"/>
    <w:rsid w:val="00EB7B13"/>
    <w:rsid w:val="00EB7FEE"/>
    <w:rsid w:val="00EC039D"/>
    <w:rsid w:val="00EC2391"/>
    <w:rsid w:val="00EC2988"/>
    <w:rsid w:val="00EC2F86"/>
    <w:rsid w:val="00EC32E2"/>
    <w:rsid w:val="00EC3513"/>
    <w:rsid w:val="00EC3515"/>
    <w:rsid w:val="00EC4A40"/>
    <w:rsid w:val="00EC4B10"/>
    <w:rsid w:val="00EC537F"/>
    <w:rsid w:val="00EC5458"/>
    <w:rsid w:val="00ED2692"/>
    <w:rsid w:val="00ED45A5"/>
    <w:rsid w:val="00ED6D1E"/>
    <w:rsid w:val="00ED707B"/>
    <w:rsid w:val="00ED754B"/>
    <w:rsid w:val="00ED7FCE"/>
    <w:rsid w:val="00EE56F2"/>
    <w:rsid w:val="00EE58F9"/>
    <w:rsid w:val="00EE677E"/>
    <w:rsid w:val="00EE7A94"/>
    <w:rsid w:val="00EE7F04"/>
    <w:rsid w:val="00EF017F"/>
    <w:rsid w:val="00EF0849"/>
    <w:rsid w:val="00EF09E7"/>
    <w:rsid w:val="00EF1B03"/>
    <w:rsid w:val="00EF1E0A"/>
    <w:rsid w:val="00EF2A1B"/>
    <w:rsid w:val="00EF2E37"/>
    <w:rsid w:val="00EF40EC"/>
    <w:rsid w:val="00EF4DE4"/>
    <w:rsid w:val="00EF4F25"/>
    <w:rsid w:val="00EF642B"/>
    <w:rsid w:val="00F01864"/>
    <w:rsid w:val="00F01B48"/>
    <w:rsid w:val="00F0204B"/>
    <w:rsid w:val="00F020EE"/>
    <w:rsid w:val="00F02731"/>
    <w:rsid w:val="00F03169"/>
    <w:rsid w:val="00F04608"/>
    <w:rsid w:val="00F04708"/>
    <w:rsid w:val="00F05F13"/>
    <w:rsid w:val="00F0641D"/>
    <w:rsid w:val="00F068AF"/>
    <w:rsid w:val="00F11600"/>
    <w:rsid w:val="00F11E13"/>
    <w:rsid w:val="00F132B8"/>
    <w:rsid w:val="00F13DDE"/>
    <w:rsid w:val="00F14223"/>
    <w:rsid w:val="00F158B6"/>
    <w:rsid w:val="00F15C64"/>
    <w:rsid w:val="00F15F9D"/>
    <w:rsid w:val="00F17945"/>
    <w:rsid w:val="00F17C3B"/>
    <w:rsid w:val="00F232FA"/>
    <w:rsid w:val="00F23ACF"/>
    <w:rsid w:val="00F2660A"/>
    <w:rsid w:val="00F267B2"/>
    <w:rsid w:val="00F30536"/>
    <w:rsid w:val="00F30CE9"/>
    <w:rsid w:val="00F319E8"/>
    <w:rsid w:val="00F335A0"/>
    <w:rsid w:val="00F3367A"/>
    <w:rsid w:val="00F34BD3"/>
    <w:rsid w:val="00F356D5"/>
    <w:rsid w:val="00F356ED"/>
    <w:rsid w:val="00F35E1C"/>
    <w:rsid w:val="00F37118"/>
    <w:rsid w:val="00F430C5"/>
    <w:rsid w:val="00F4360F"/>
    <w:rsid w:val="00F43C7E"/>
    <w:rsid w:val="00F43DB8"/>
    <w:rsid w:val="00F448A7"/>
    <w:rsid w:val="00F4601D"/>
    <w:rsid w:val="00F46389"/>
    <w:rsid w:val="00F50AA2"/>
    <w:rsid w:val="00F5110F"/>
    <w:rsid w:val="00F51FDA"/>
    <w:rsid w:val="00F521CD"/>
    <w:rsid w:val="00F529D3"/>
    <w:rsid w:val="00F52CA5"/>
    <w:rsid w:val="00F53D51"/>
    <w:rsid w:val="00F55092"/>
    <w:rsid w:val="00F56580"/>
    <w:rsid w:val="00F5680D"/>
    <w:rsid w:val="00F6007E"/>
    <w:rsid w:val="00F60787"/>
    <w:rsid w:val="00F6094B"/>
    <w:rsid w:val="00F60C41"/>
    <w:rsid w:val="00F625E3"/>
    <w:rsid w:val="00F66044"/>
    <w:rsid w:val="00F668AC"/>
    <w:rsid w:val="00F70075"/>
    <w:rsid w:val="00F70339"/>
    <w:rsid w:val="00F71DA1"/>
    <w:rsid w:val="00F71ECC"/>
    <w:rsid w:val="00F7288C"/>
    <w:rsid w:val="00F72CD3"/>
    <w:rsid w:val="00F73097"/>
    <w:rsid w:val="00F7311B"/>
    <w:rsid w:val="00F73E11"/>
    <w:rsid w:val="00F75CED"/>
    <w:rsid w:val="00F76184"/>
    <w:rsid w:val="00F7638A"/>
    <w:rsid w:val="00F76642"/>
    <w:rsid w:val="00F803C3"/>
    <w:rsid w:val="00F80466"/>
    <w:rsid w:val="00F81185"/>
    <w:rsid w:val="00F81AAE"/>
    <w:rsid w:val="00F82DB9"/>
    <w:rsid w:val="00F860A6"/>
    <w:rsid w:val="00F87B9E"/>
    <w:rsid w:val="00F9009F"/>
    <w:rsid w:val="00F90215"/>
    <w:rsid w:val="00F90348"/>
    <w:rsid w:val="00F90949"/>
    <w:rsid w:val="00F90A92"/>
    <w:rsid w:val="00F92A75"/>
    <w:rsid w:val="00F93A68"/>
    <w:rsid w:val="00F94166"/>
    <w:rsid w:val="00F9497D"/>
    <w:rsid w:val="00F9634B"/>
    <w:rsid w:val="00F966D1"/>
    <w:rsid w:val="00F972CC"/>
    <w:rsid w:val="00F9738F"/>
    <w:rsid w:val="00FA0060"/>
    <w:rsid w:val="00FA0757"/>
    <w:rsid w:val="00FA0A86"/>
    <w:rsid w:val="00FA1191"/>
    <w:rsid w:val="00FA1A92"/>
    <w:rsid w:val="00FA32EC"/>
    <w:rsid w:val="00FA5A51"/>
    <w:rsid w:val="00FA6028"/>
    <w:rsid w:val="00FA6D0E"/>
    <w:rsid w:val="00FB1E64"/>
    <w:rsid w:val="00FB2127"/>
    <w:rsid w:val="00FB24FF"/>
    <w:rsid w:val="00FB5838"/>
    <w:rsid w:val="00FB5B01"/>
    <w:rsid w:val="00FB5B18"/>
    <w:rsid w:val="00FB5DBA"/>
    <w:rsid w:val="00FB75F9"/>
    <w:rsid w:val="00FB7A2E"/>
    <w:rsid w:val="00FB7E5A"/>
    <w:rsid w:val="00FC0143"/>
    <w:rsid w:val="00FC0B94"/>
    <w:rsid w:val="00FC267B"/>
    <w:rsid w:val="00FC3A50"/>
    <w:rsid w:val="00FC4416"/>
    <w:rsid w:val="00FC460E"/>
    <w:rsid w:val="00FC467C"/>
    <w:rsid w:val="00FC4BC4"/>
    <w:rsid w:val="00FC505D"/>
    <w:rsid w:val="00FC52E5"/>
    <w:rsid w:val="00FC55A5"/>
    <w:rsid w:val="00FC5948"/>
    <w:rsid w:val="00FC6FD1"/>
    <w:rsid w:val="00FC7A46"/>
    <w:rsid w:val="00FD065B"/>
    <w:rsid w:val="00FD0F65"/>
    <w:rsid w:val="00FD1164"/>
    <w:rsid w:val="00FD37C5"/>
    <w:rsid w:val="00FD39B8"/>
    <w:rsid w:val="00FD3B36"/>
    <w:rsid w:val="00FD45CC"/>
    <w:rsid w:val="00FD4891"/>
    <w:rsid w:val="00FD5990"/>
    <w:rsid w:val="00FD69DD"/>
    <w:rsid w:val="00FD6F7F"/>
    <w:rsid w:val="00FE23E6"/>
    <w:rsid w:val="00FE2851"/>
    <w:rsid w:val="00FE2F68"/>
    <w:rsid w:val="00FE3D17"/>
    <w:rsid w:val="00FE41FF"/>
    <w:rsid w:val="00FE647D"/>
    <w:rsid w:val="00FF06C0"/>
    <w:rsid w:val="00FF129C"/>
    <w:rsid w:val="00FF2956"/>
    <w:rsid w:val="00FF3662"/>
    <w:rsid w:val="00FF37E0"/>
    <w:rsid w:val="00FF64DF"/>
    <w:rsid w:val="00FF698E"/>
    <w:rsid w:val="00FF6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5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6A"/>
    <w:pPr>
      <w:spacing w:after="200" w:line="276" w:lineRule="auto"/>
    </w:pPr>
    <w:rPr>
      <w:rFonts w:ascii="Calibri" w:eastAsia="SimSun" w:hAnsi="Calibri" w:cs="Times New Roman"/>
      <w:kern w:val="0"/>
      <w:sz w:val="22"/>
      <w:lang w:eastAsia="zh-CN"/>
    </w:rPr>
  </w:style>
  <w:style w:type="paragraph" w:styleId="Heading1">
    <w:name w:val="heading 1"/>
    <w:basedOn w:val="Normal"/>
    <w:next w:val="Normal"/>
    <w:link w:val="Heading1Char"/>
    <w:uiPriority w:val="9"/>
    <w:qFormat/>
    <w:rsid w:val="0061466A"/>
    <w:pPr>
      <w:keepNext/>
      <w:keepLines/>
      <w:spacing w:before="480" w:after="0"/>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6A"/>
    <w:rPr>
      <w:rFonts w:ascii="Times New Roman" w:eastAsia="SimSun" w:hAnsi="Times New Roman" w:cs="Times New Roman"/>
      <w:b/>
      <w:bCs/>
      <w:kern w:val="0"/>
      <w:sz w:val="28"/>
      <w:szCs w:val="28"/>
      <w:lang w:eastAsia="zh-CN"/>
    </w:rPr>
  </w:style>
  <w:style w:type="character" w:styleId="Hyperlink">
    <w:name w:val="Hyperlink"/>
    <w:basedOn w:val="DefaultParagraphFont"/>
    <w:uiPriority w:val="99"/>
    <w:unhideWhenUsed/>
    <w:rsid w:val="009F217A"/>
    <w:rPr>
      <w:color w:val="0000FF" w:themeColor="hyperlink"/>
      <w:u w:val="single"/>
    </w:rPr>
  </w:style>
  <w:style w:type="paragraph" w:styleId="Header">
    <w:name w:val="header"/>
    <w:basedOn w:val="Normal"/>
    <w:link w:val="HeaderChar"/>
    <w:uiPriority w:val="99"/>
    <w:unhideWhenUsed/>
    <w:rsid w:val="00BF748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F7481"/>
    <w:rPr>
      <w:rFonts w:ascii="Calibri" w:eastAsia="SimSun" w:hAnsi="Calibri" w:cs="Times New Roman"/>
      <w:kern w:val="0"/>
      <w:sz w:val="20"/>
      <w:szCs w:val="20"/>
      <w:lang w:eastAsia="zh-CN"/>
    </w:rPr>
  </w:style>
  <w:style w:type="paragraph" w:styleId="Footer">
    <w:name w:val="footer"/>
    <w:basedOn w:val="Normal"/>
    <w:link w:val="FooterChar"/>
    <w:uiPriority w:val="99"/>
    <w:unhideWhenUsed/>
    <w:rsid w:val="00BF748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F7481"/>
    <w:rPr>
      <w:rFonts w:ascii="Calibri" w:eastAsia="SimSun" w:hAnsi="Calibri" w:cs="Times New Roman"/>
      <w:kern w:val="0"/>
      <w:sz w:val="20"/>
      <w:szCs w:val="20"/>
      <w:lang w:eastAsia="zh-CN"/>
    </w:rPr>
  </w:style>
  <w:style w:type="paragraph" w:styleId="ListParagraph">
    <w:name w:val="List Paragraph"/>
    <w:basedOn w:val="Normal"/>
    <w:uiPriority w:val="34"/>
    <w:qFormat/>
    <w:rsid w:val="009616AB"/>
    <w:pPr>
      <w:ind w:leftChars="200" w:left="480"/>
    </w:pPr>
  </w:style>
  <w:style w:type="paragraph" w:styleId="FootnoteText">
    <w:name w:val="footnote text"/>
    <w:basedOn w:val="Normal"/>
    <w:link w:val="FootnoteTextChar"/>
    <w:uiPriority w:val="99"/>
    <w:semiHidden/>
    <w:unhideWhenUsed/>
    <w:rsid w:val="00EB6F50"/>
    <w:pPr>
      <w:snapToGrid w:val="0"/>
    </w:pPr>
    <w:rPr>
      <w:sz w:val="20"/>
      <w:szCs w:val="20"/>
    </w:rPr>
  </w:style>
  <w:style w:type="character" w:customStyle="1" w:styleId="FootnoteTextChar">
    <w:name w:val="Footnote Text Char"/>
    <w:basedOn w:val="DefaultParagraphFont"/>
    <w:link w:val="FootnoteText"/>
    <w:uiPriority w:val="99"/>
    <w:semiHidden/>
    <w:rsid w:val="00EB6F50"/>
    <w:rPr>
      <w:rFonts w:ascii="Calibri" w:eastAsia="SimSun" w:hAnsi="Calibri" w:cs="Times New Roman"/>
      <w:kern w:val="0"/>
      <w:sz w:val="20"/>
      <w:szCs w:val="20"/>
      <w:lang w:eastAsia="zh-CN"/>
    </w:rPr>
  </w:style>
  <w:style w:type="character" w:styleId="FootnoteReference">
    <w:name w:val="footnote reference"/>
    <w:basedOn w:val="DefaultParagraphFont"/>
    <w:uiPriority w:val="99"/>
    <w:semiHidden/>
    <w:unhideWhenUsed/>
    <w:rsid w:val="00EB6F50"/>
    <w:rPr>
      <w:vertAlign w:val="superscript"/>
    </w:rPr>
  </w:style>
  <w:style w:type="table" w:styleId="TableGrid">
    <w:name w:val="Table Grid"/>
    <w:basedOn w:val="TableNormal"/>
    <w:uiPriority w:val="59"/>
    <w:rsid w:val="00B14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2E42"/>
    <w:pPr>
      <w:snapToGrid w:val="0"/>
    </w:pPr>
  </w:style>
  <w:style w:type="character" w:customStyle="1" w:styleId="EndnoteTextChar">
    <w:name w:val="Endnote Text Char"/>
    <w:basedOn w:val="DefaultParagraphFont"/>
    <w:link w:val="EndnoteText"/>
    <w:uiPriority w:val="99"/>
    <w:semiHidden/>
    <w:rsid w:val="00D42E42"/>
    <w:rPr>
      <w:rFonts w:ascii="Calibri" w:eastAsia="SimSun" w:hAnsi="Calibri" w:cs="Times New Roman"/>
      <w:kern w:val="0"/>
      <w:sz w:val="22"/>
      <w:lang w:eastAsia="zh-CN"/>
    </w:rPr>
  </w:style>
  <w:style w:type="character" w:styleId="EndnoteReference">
    <w:name w:val="endnote reference"/>
    <w:basedOn w:val="DefaultParagraphFont"/>
    <w:uiPriority w:val="99"/>
    <w:semiHidden/>
    <w:unhideWhenUsed/>
    <w:rsid w:val="00D42E42"/>
    <w:rPr>
      <w:vertAlign w:val="superscript"/>
    </w:rPr>
  </w:style>
  <w:style w:type="paragraph" w:styleId="NormalWeb">
    <w:name w:val="Normal (Web)"/>
    <w:basedOn w:val="Normal"/>
    <w:uiPriority w:val="99"/>
    <w:unhideWhenUsed/>
    <w:rsid w:val="00B45BE6"/>
    <w:pPr>
      <w:spacing w:before="100" w:beforeAutospacing="1" w:after="100" w:afterAutospacing="1" w:line="240" w:lineRule="auto"/>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1343A7"/>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343A7"/>
    <w:rPr>
      <w:rFonts w:asciiTheme="majorHAnsi" w:eastAsiaTheme="majorEastAsia" w:hAnsiTheme="majorHAnsi" w:cstheme="majorBidi"/>
      <w:kern w:val="0"/>
      <w:sz w:val="16"/>
      <w:szCs w:val="16"/>
      <w:lang w:eastAsia="zh-CN"/>
    </w:rPr>
  </w:style>
  <w:style w:type="table" w:customStyle="1" w:styleId="TableGrid1">
    <w:name w:val="Table Grid1"/>
    <w:basedOn w:val="TableNormal"/>
    <w:next w:val="TableGrid"/>
    <w:uiPriority w:val="59"/>
    <w:rsid w:val="0070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52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6A"/>
    <w:pPr>
      <w:spacing w:after="200" w:line="276" w:lineRule="auto"/>
    </w:pPr>
    <w:rPr>
      <w:rFonts w:ascii="Calibri" w:eastAsia="SimSun" w:hAnsi="Calibri" w:cs="Times New Roman"/>
      <w:kern w:val="0"/>
      <w:sz w:val="22"/>
      <w:lang w:eastAsia="zh-CN"/>
    </w:rPr>
  </w:style>
  <w:style w:type="paragraph" w:styleId="Heading1">
    <w:name w:val="heading 1"/>
    <w:basedOn w:val="Normal"/>
    <w:next w:val="Normal"/>
    <w:link w:val="Heading1Char"/>
    <w:uiPriority w:val="9"/>
    <w:qFormat/>
    <w:rsid w:val="0061466A"/>
    <w:pPr>
      <w:keepNext/>
      <w:keepLines/>
      <w:spacing w:before="480" w:after="0"/>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6A"/>
    <w:rPr>
      <w:rFonts w:ascii="Times New Roman" w:eastAsia="SimSun" w:hAnsi="Times New Roman" w:cs="Times New Roman"/>
      <w:b/>
      <w:bCs/>
      <w:kern w:val="0"/>
      <w:sz w:val="28"/>
      <w:szCs w:val="28"/>
      <w:lang w:eastAsia="zh-CN"/>
    </w:rPr>
  </w:style>
  <w:style w:type="character" w:styleId="Hyperlink">
    <w:name w:val="Hyperlink"/>
    <w:basedOn w:val="DefaultParagraphFont"/>
    <w:uiPriority w:val="99"/>
    <w:unhideWhenUsed/>
    <w:rsid w:val="009F217A"/>
    <w:rPr>
      <w:color w:val="0000FF" w:themeColor="hyperlink"/>
      <w:u w:val="single"/>
    </w:rPr>
  </w:style>
  <w:style w:type="paragraph" w:styleId="Header">
    <w:name w:val="header"/>
    <w:basedOn w:val="Normal"/>
    <w:link w:val="HeaderChar"/>
    <w:uiPriority w:val="99"/>
    <w:unhideWhenUsed/>
    <w:rsid w:val="00BF748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F7481"/>
    <w:rPr>
      <w:rFonts w:ascii="Calibri" w:eastAsia="SimSun" w:hAnsi="Calibri" w:cs="Times New Roman"/>
      <w:kern w:val="0"/>
      <w:sz w:val="20"/>
      <w:szCs w:val="20"/>
      <w:lang w:eastAsia="zh-CN"/>
    </w:rPr>
  </w:style>
  <w:style w:type="paragraph" w:styleId="Footer">
    <w:name w:val="footer"/>
    <w:basedOn w:val="Normal"/>
    <w:link w:val="FooterChar"/>
    <w:uiPriority w:val="99"/>
    <w:unhideWhenUsed/>
    <w:rsid w:val="00BF748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F7481"/>
    <w:rPr>
      <w:rFonts w:ascii="Calibri" w:eastAsia="SimSun" w:hAnsi="Calibri" w:cs="Times New Roman"/>
      <w:kern w:val="0"/>
      <w:sz w:val="20"/>
      <w:szCs w:val="20"/>
      <w:lang w:eastAsia="zh-CN"/>
    </w:rPr>
  </w:style>
  <w:style w:type="paragraph" w:styleId="ListParagraph">
    <w:name w:val="List Paragraph"/>
    <w:basedOn w:val="Normal"/>
    <w:uiPriority w:val="34"/>
    <w:qFormat/>
    <w:rsid w:val="009616AB"/>
    <w:pPr>
      <w:ind w:leftChars="200" w:left="480"/>
    </w:pPr>
  </w:style>
  <w:style w:type="paragraph" w:styleId="FootnoteText">
    <w:name w:val="footnote text"/>
    <w:basedOn w:val="Normal"/>
    <w:link w:val="FootnoteTextChar"/>
    <w:uiPriority w:val="99"/>
    <w:semiHidden/>
    <w:unhideWhenUsed/>
    <w:rsid w:val="00EB6F50"/>
    <w:pPr>
      <w:snapToGrid w:val="0"/>
    </w:pPr>
    <w:rPr>
      <w:sz w:val="20"/>
      <w:szCs w:val="20"/>
    </w:rPr>
  </w:style>
  <w:style w:type="character" w:customStyle="1" w:styleId="FootnoteTextChar">
    <w:name w:val="Footnote Text Char"/>
    <w:basedOn w:val="DefaultParagraphFont"/>
    <w:link w:val="FootnoteText"/>
    <w:uiPriority w:val="99"/>
    <w:semiHidden/>
    <w:rsid w:val="00EB6F50"/>
    <w:rPr>
      <w:rFonts w:ascii="Calibri" w:eastAsia="SimSun" w:hAnsi="Calibri" w:cs="Times New Roman"/>
      <w:kern w:val="0"/>
      <w:sz w:val="20"/>
      <w:szCs w:val="20"/>
      <w:lang w:eastAsia="zh-CN"/>
    </w:rPr>
  </w:style>
  <w:style w:type="character" w:styleId="FootnoteReference">
    <w:name w:val="footnote reference"/>
    <w:basedOn w:val="DefaultParagraphFont"/>
    <w:uiPriority w:val="99"/>
    <w:semiHidden/>
    <w:unhideWhenUsed/>
    <w:rsid w:val="00EB6F50"/>
    <w:rPr>
      <w:vertAlign w:val="superscript"/>
    </w:rPr>
  </w:style>
  <w:style w:type="table" w:styleId="TableGrid">
    <w:name w:val="Table Grid"/>
    <w:basedOn w:val="TableNormal"/>
    <w:uiPriority w:val="59"/>
    <w:rsid w:val="00B14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2E42"/>
    <w:pPr>
      <w:snapToGrid w:val="0"/>
    </w:pPr>
  </w:style>
  <w:style w:type="character" w:customStyle="1" w:styleId="EndnoteTextChar">
    <w:name w:val="Endnote Text Char"/>
    <w:basedOn w:val="DefaultParagraphFont"/>
    <w:link w:val="EndnoteText"/>
    <w:uiPriority w:val="99"/>
    <w:semiHidden/>
    <w:rsid w:val="00D42E42"/>
    <w:rPr>
      <w:rFonts w:ascii="Calibri" w:eastAsia="SimSun" w:hAnsi="Calibri" w:cs="Times New Roman"/>
      <w:kern w:val="0"/>
      <w:sz w:val="22"/>
      <w:lang w:eastAsia="zh-CN"/>
    </w:rPr>
  </w:style>
  <w:style w:type="character" w:styleId="EndnoteReference">
    <w:name w:val="endnote reference"/>
    <w:basedOn w:val="DefaultParagraphFont"/>
    <w:uiPriority w:val="99"/>
    <w:semiHidden/>
    <w:unhideWhenUsed/>
    <w:rsid w:val="00D42E42"/>
    <w:rPr>
      <w:vertAlign w:val="superscript"/>
    </w:rPr>
  </w:style>
  <w:style w:type="paragraph" w:styleId="NormalWeb">
    <w:name w:val="Normal (Web)"/>
    <w:basedOn w:val="Normal"/>
    <w:uiPriority w:val="99"/>
    <w:unhideWhenUsed/>
    <w:rsid w:val="00B45BE6"/>
    <w:pPr>
      <w:spacing w:before="100" w:beforeAutospacing="1" w:after="100" w:afterAutospacing="1" w:line="240" w:lineRule="auto"/>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1343A7"/>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343A7"/>
    <w:rPr>
      <w:rFonts w:asciiTheme="majorHAnsi" w:eastAsiaTheme="majorEastAsia" w:hAnsiTheme="majorHAnsi" w:cstheme="majorBidi"/>
      <w:kern w:val="0"/>
      <w:sz w:val="16"/>
      <w:szCs w:val="16"/>
      <w:lang w:eastAsia="zh-CN"/>
    </w:rPr>
  </w:style>
  <w:style w:type="table" w:customStyle="1" w:styleId="TableGrid1">
    <w:name w:val="Table Grid1"/>
    <w:basedOn w:val="TableNormal"/>
    <w:next w:val="TableGrid"/>
    <w:uiPriority w:val="59"/>
    <w:rsid w:val="0070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52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208">
      <w:bodyDiv w:val="1"/>
      <w:marLeft w:val="0"/>
      <w:marRight w:val="0"/>
      <w:marTop w:val="0"/>
      <w:marBottom w:val="0"/>
      <w:divBdr>
        <w:top w:val="none" w:sz="0" w:space="0" w:color="auto"/>
        <w:left w:val="none" w:sz="0" w:space="0" w:color="auto"/>
        <w:bottom w:val="none" w:sz="0" w:space="0" w:color="auto"/>
        <w:right w:val="none" w:sz="0" w:space="0" w:color="auto"/>
      </w:divBdr>
    </w:div>
    <w:div w:id="72628915">
      <w:bodyDiv w:val="1"/>
      <w:marLeft w:val="0"/>
      <w:marRight w:val="0"/>
      <w:marTop w:val="0"/>
      <w:marBottom w:val="0"/>
      <w:divBdr>
        <w:top w:val="none" w:sz="0" w:space="0" w:color="auto"/>
        <w:left w:val="none" w:sz="0" w:space="0" w:color="auto"/>
        <w:bottom w:val="none" w:sz="0" w:space="0" w:color="auto"/>
        <w:right w:val="none" w:sz="0" w:space="0" w:color="auto"/>
      </w:divBdr>
    </w:div>
    <w:div w:id="537668693">
      <w:bodyDiv w:val="1"/>
      <w:marLeft w:val="0"/>
      <w:marRight w:val="0"/>
      <w:marTop w:val="0"/>
      <w:marBottom w:val="0"/>
      <w:divBdr>
        <w:top w:val="none" w:sz="0" w:space="0" w:color="auto"/>
        <w:left w:val="none" w:sz="0" w:space="0" w:color="auto"/>
        <w:bottom w:val="none" w:sz="0" w:space="0" w:color="auto"/>
        <w:right w:val="none" w:sz="0" w:space="0" w:color="auto"/>
      </w:divBdr>
    </w:div>
    <w:div w:id="635335886">
      <w:bodyDiv w:val="1"/>
      <w:marLeft w:val="0"/>
      <w:marRight w:val="0"/>
      <w:marTop w:val="0"/>
      <w:marBottom w:val="0"/>
      <w:divBdr>
        <w:top w:val="none" w:sz="0" w:space="0" w:color="auto"/>
        <w:left w:val="none" w:sz="0" w:space="0" w:color="auto"/>
        <w:bottom w:val="none" w:sz="0" w:space="0" w:color="auto"/>
        <w:right w:val="none" w:sz="0" w:space="0" w:color="auto"/>
      </w:divBdr>
    </w:div>
    <w:div w:id="735708321">
      <w:bodyDiv w:val="1"/>
      <w:marLeft w:val="0"/>
      <w:marRight w:val="0"/>
      <w:marTop w:val="0"/>
      <w:marBottom w:val="0"/>
      <w:divBdr>
        <w:top w:val="none" w:sz="0" w:space="0" w:color="auto"/>
        <w:left w:val="none" w:sz="0" w:space="0" w:color="auto"/>
        <w:bottom w:val="none" w:sz="0" w:space="0" w:color="auto"/>
        <w:right w:val="none" w:sz="0" w:space="0" w:color="auto"/>
      </w:divBdr>
    </w:div>
    <w:div w:id="1008098788">
      <w:bodyDiv w:val="1"/>
      <w:marLeft w:val="0"/>
      <w:marRight w:val="0"/>
      <w:marTop w:val="0"/>
      <w:marBottom w:val="0"/>
      <w:divBdr>
        <w:top w:val="none" w:sz="0" w:space="0" w:color="auto"/>
        <w:left w:val="none" w:sz="0" w:space="0" w:color="auto"/>
        <w:bottom w:val="none" w:sz="0" w:space="0" w:color="auto"/>
        <w:right w:val="none" w:sz="0" w:space="0" w:color="auto"/>
      </w:divBdr>
    </w:div>
    <w:div w:id="1093554988">
      <w:bodyDiv w:val="1"/>
      <w:marLeft w:val="0"/>
      <w:marRight w:val="0"/>
      <w:marTop w:val="0"/>
      <w:marBottom w:val="0"/>
      <w:divBdr>
        <w:top w:val="none" w:sz="0" w:space="0" w:color="auto"/>
        <w:left w:val="none" w:sz="0" w:space="0" w:color="auto"/>
        <w:bottom w:val="none" w:sz="0" w:space="0" w:color="auto"/>
        <w:right w:val="none" w:sz="0" w:space="0" w:color="auto"/>
      </w:divBdr>
    </w:div>
    <w:div w:id="1282492928">
      <w:bodyDiv w:val="1"/>
      <w:marLeft w:val="0"/>
      <w:marRight w:val="0"/>
      <w:marTop w:val="0"/>
      <w:marBottom w:val="0"/>
      <w:divBdr>
        <w:top w:val="none" w:sz="0" w:space="0" w:color="auto"/>
        <w:left w:val="none" w:sz="0" w:space="0" w:color="auto"/>
        <w:bottom w:val="none" w:sz="0" w:space="0" w:color="auto"/>
        <w:right w:val="none" w:sz="0" w:space="0" w:color="auto"/>
      </w:divBdr>
    </w:div>
    <w:div w:id="1533110006">
      <w:bodyDiv w:val="1"/>
      <w:marLeft w:val="0"/>
      <w:marRight w:val="0"/>
      <w:marTop w:val="0"/>
      <w:marBottom w:val="0"/>
      <w:divBdr>
        <w:top w:val="none" w:sz="0" w:space="0" w:color="auto"/>
        <w:left w:val="none" w:sz="0" w:space="0" w:color="auto"/>
        <w:bottom w:val="none" w:sz="0" w:space="0" w:color="auto"/>
        <w:right w:val="none" w:sz="0" w:space="0" w:color="auto"/>
      </w:divBdr>
    </w:div>
    <w:div w:id="21209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B677-C352-417D-8324-20DF35BC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12304</Words>
  <Characters>70134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Edith Nicodemus</cp:lastModifiedBy>
  <cp:revision>2</cp:revision>
  <cp:lastPrinted>2016-11-21T03:08:00Z</cp:lastPrinted>
  <dcterms:created xsi:type="dcterms:W3CDTF">2017-06-29T02:00:00Z</dcterms:created>
  <dcterms:modified xsi:type="dcterms:W3CDTF">2017-06-29T02:00:00Z</dcterms:modified>
</cp:coreProperties>
</file>