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2CBB" w14:textId="41533B07" w:rsidR="00E01303" w:rsidRPr="004773D8" w:rsidRDefault="002E05A4" w:rsidP="004773D8">
      <w:pPr>
        <w:pStyle w:val="Title"/>
        <w:ind w:firstLine="0"/>
        <w:rPr>
          <w:rFonts w:ascii="Times New Roman" w:hAnsi="Times New Roman" w:cs="Times New Roman"/>
          <w:sz w:val="28"/>
        </w:rPr>
      </w:pPr>
      <w:bookmarkStart w:id="0" w:name="_GoBack"/>
      <w:bookmarkEnd w:id="0"/>
      <w:r>
        <w:rPr>
          <w:rFonts w:ascii="Times New Roman" w:hAnsi="Times New Roman" w:cs="Times New Roman"/>
          <w:sz w:val="28"/>
        </w:rPr>
        <w:t>APRIA 2017</w:t>
      </w:r>
    </w:p>
    <w:p w14:paraId="7ABBE164" w14:textId="77777777" w:rsidR="00E01303" w:rsidRPr="00356C78" w:rsidRDefault="00E01303" w:rsidP="004773D8">
      <w:pPr>
        <w:spacing w:line="240" w:lineRule="auto"/>
        <w:rPr>
          <w:sz w:val="28"/>
        </w:rPr>
      </w:pPr>
    </w:p>
    <w:p w14:paraId="14C2A2E8" w14:textId="77777777" w:rsidR="00E01303" w:rsidRPr="00356C78" w:rsidRDefault="00E01303" w:rsidP="004773D8">
      <w:pPr>
        <w:spacing w:line="240" w:lineRule="auto"/>
        <w:rPr>
          <w:sz w:val="28"/>
        </w:rPr>
      </w:pPr>
    </w:p>
    <w:p w14:paraId="09F04F37" w14:textId="77777777" w:rsidR="00E01303" w:rsidRPr="00356C78" w:rsidRDefault="00E01303" w:rsidP="004773D8">
      <w:pPr>
        <w:spacing w:line="240" w:lineRule="auto"/>
        <w:rPr>
          <w:sz w:val="28"/>
        </w:rPr>
      </w:pPr>
    </w:p>
    <w:p w14:paraId="631B958B" w14:textId="77777777" w:rsidR="00E01303" w:rsidRPr="00356C78" w:rsidRDefault="00E01303" w:rsidP="00124C3F">
      <w:pPr>
        <w:spacing w:line="240" w:lineRule="auto"/>
        <w:ind w:firstLine="0"/>
        <w:jc w:val="center"/>
        <w:rPr>
          <w:sz w:val="28"/>
        </w:rPr>
      </w:pPr>
      <w:r w:rsidRPr="00356C78">
        <w:rPr>
          <w:b/>
          <w:sz w:val="28"/>
        </w:rPr>
        <w:t xml:space="preserve">An Analysis of </w:t>
      </w:r>
      <w:r w:rsidR="00A0667C" w:rsidRPr="00356C78">
        <w:rPr>
          <w:b/>
          <w:sz w:val="28"/>
        </w:rPr>
        <w:t xml:space="preserve">the Impact of </w:t>
      </w:r>
      <w:r w:rsidRPr="00356C78">
        <w:rPr>
          <w:b/>
          <w:sz w:val="28"/>
        </w:rPr>
        <w:t>Co</w:t>
      </w:r>
      <w:r w:rsidR="00A0667C" w:rsidRPr="00356C78">
        <w:rPr>
          <w:b/>
          <w:sz w:val="28"/>
        </w:rPr>
        <w:t>ntingent Commission Use</w:t>
      </w:r>
      <w:r w:rsidRPr="00356C78">
        <w:rPr>
          <w:b/>
          <w:sz w:val="28"/>
        </w:rPr>
        <w:t xml:space="preserve"> on Underwriting Performance in Property-Liability Insurance Industry</w:t>
      </w:r>
    </w:p>
    <w:p w14:paraId="3444E7EA" w14:textId="77777777" w:rsidR="00E01303" w:rsidRPr="00356C78" w:rsidRDefault="00E01303" w:rsidP="004773D8">
      <w:pPr>
        <w:spacing w:line="240" w:lineRule="auto"/>
        <w:rPr>
          <w:sz w:val="28"/>
        </w:rPr>
      </w:pPr>
    </w:p>
    <w:p w14:paraId="5281BD7F" w14:textId="77777777" w:rsidR="00E01303" w:rsidRPr="00356C78" w:rsidRDefault="00E01303" w:rsidP="004773D8">
      <w:pPr>
        <w:spacing w:line="240" w:lineRule="auto"/>
        <w:rPr>
          <w:sz w:val="28"/>
        </w:rPr>
      </w:pPr>
    </w:p>
    <w:p w14:paraId="564F8189" w14:textId="77777777" w:rsidR="00E01303" w:rsidRPr="00356C78" w:rsidRDefault="00E01303" w:rsidP="004773D8">
      <w:pPr>
        <w:spacing w:line="240" w:lineRule="auto"/>
        <w:rPr>
          <w:sz w:val="28"/>
        </w:rPr>
      </w:pPr>
    </w:p>
    <w:p w14:paraId="43293ACA" w14:textId="77777777" w:rsidR="00E01303" w:rsidRPr="00356C78" w:rsidRDefault="00E01303" w:rsidP="004773D8">
      <w:pPr>
        <w:spacing w:line="240" w:lineRule="auto"/>
        <w:rPr>
          <w:sz w:val="28"/>
        </w:rPr>
      </w:pPr>
    </w:p>
    <w:p w14:paraId="1FC11EF1" w14:textId="77777777" w:rsidR="00E01303" w:rsidRPr="00356C78" w:rsidRDefault="00E01303" w:rsidP="004773D8">
      <w:pPr>
        <w:spacing w:line="240" w:lineRule="auto"/>
        <w:rPr>
          <w:sz w:val="28"/>
        </w:rPr>
      </w:pPr>
    </w:p>
    <w:p w14:paraId="4ECCC8EF" w14:textId="77777777" w:rsidR="00E01303" w:rsidRPr="00356C78" w:rsidRDefault="00E01303" w:rsidP="004773D8">
      <w:pPr>
        <w:spacing w:line="240" w:lineRule="auto"/>
        <w:rPr>
          <w:sz w:val="28"/>
        </w:rPr>
      </w:pPr>
    </w:p>
    <w:p w14:paraId="21455A4F" w14:textId="77777777" w:rsidR="00E01303" w:rsidRPr="00356C78" w:rsidRDefault="00E01303" w:rsidP="004773D8">
      <w:pPr>
        <w:spacing w:line="240" w:lineRule="auto"/>
        <w:rPr>
          <w:sz w:val="28"/>
        </w:rPr>
      </w:pPr>
    </w:p>
    <w:p w14:paraId="7CA6483C" w14:textId="77777777" w:rsidR="00E01303" w:rsidRPr="00356C78" w:rsidRDefault="00E01303" w:rsidP="00124C3F">
      <w:pPr>
        <w:spacing w:line="240" w:lineRule="auto"/>
        <w:ind w:firstLine="0"/>
        <w:jc w:val="center"/>
        <w:rPr>
          <w:sz w:val="28"/>
        </w:rPr>
      </w:pPr>
      <w:r w:rsidRPr="00356C78">
        <w:rPr>
          <w:sz w:val="28"/>
        </w:rPr>
        <w:t>By</w:t>
      </w:r>
    </w:p>
    <w:p w14:paraId="122E2733" w14:textId="77777777" w:rsidR="00E01303" w:rsidRPr="00356C78" w:rsidRDefault="00E01303" w:rsidP="00124C3F">
      <w:pPr>
        <w:spacing w:line="240" w:lineRule="auto"/>
        <w:ind w:firstLine="0"/>
        <w:jc w:val="center"/>
        <w:rPr>
          <w:sz w:val="28"/>
        </w:rPr>
      </w:pPr>
    </w:p>
    <w:p w14:paraId="0FA29DAE" w14:textId="77777777" w:rsidR="00E01303" w:rsidRPr="00356C78" w:rsidRDefault="00E01303" w:rsidP="00124C3F">
      <w:pPr>
        <w:spacing w:line="240" w:lineRule="auto"/>
        <w:ind w:firstLine="0"/>
        <w:jc w:val="center"/>
        <w:rPr>
          <w:sz w:val="28"/>
        </w:rPr>
      </w:pPr>
      <w:r w:rsidRPr="00356C78">
        <w:rPr>
          <w:sz w:val="28"/>
        </w:rPr>
        <w:t>Rui Ju</w:t>
      </w:r>
    </w:p>
    <w:p w14:paraId="6C87E0FE" w14:textId="77777777" w:rsidR="00E01303" w:rsidRPr="00356C78" w:rsidRDefault="00E01303" w:rsidP="00124C3F">
      <w:pPr>
        <w:spacing w:line="240" w:lineRule="auto"/>
        <w:ind w:firstLine="0"/>
        <w:jc w:val="center"/>
        <w:rPr>
          <w:sz w:val="28"/>
        </w:rPr>
      </w:pPr>
    </w:p>
    <w:p w14:paraId="33CF66BC" w14:textId="77777777" w:rsidR="00E01303" w:rsidRPr="00356C78" w:rsidRDefault="00E01303" w:rsidP="00124C3F">
      <w:pPr>
        <w:spacing w:line="240" w:lineRule="auto"/>
        <w:ind w:firstLine="0"/>
        <w:jc w:val="center"/>
        <w:rPr>
          <w:sz w:val="28"/>
        </w:rPr>
      </w:pPr>
      <w:r w:rsidRPr="00356C78">
        <w:rPr>
          <w:sz w:val="28"/>
        </w:rPr>
        <w:t>Temple University</w:t>
      </w:r>
    </w:p>
    <w:p w14:paraId="36A51AE1" w14:textId="77777777" w:rsidR="00E01303" w:rsidRPr="00356C78" w:rsidRDefault="00E01303" w:rsidP="00124C3F">
      <w:pPr>
        <w:spacing w:line="240" w:lineRule="auto"/>
        <w:ind w:firstLine="0"/>
        <w:jc w:val="center"/>
        <w:rPr>
          <w:sz w:val="28"/>
        </w:rPr>
      </w:pPr>
    </w:p>
    <w:p w14:paraId="770508BF" w14:textId="77777777" w:rsidR="00E01303" w:rsidRPr="00356C78" w:rsidRDefault="00E01303" w:rsidP="00124C3F">
      <w:pPr>
        <w:spacing w:line="240" w:lineRule="auto"/>
        <w:ind w:firstLine="0"/>
        <w:jc w:val="center"/>
        <w:rPr>
          <w:sz w:val="28"/>
        </w:rPr>
      </w:pPr>
    </w:p>
    <w:p w14:paraId="172D6D84" w14:textId="77777777" w:rsidR="00E01303" w:rsidRPr="00356C78" w:rsidRDefault="00E01303" w:rsidP="00124C3F">
      <w:pPr>
        <w:spacing w:line="240" w:lineRule="auto"/>
        <w:ind w:firstLine="0"/>
        <w:jc w:val="center"/>
        <w:rPr>
          <w:sz w:val="28"/>
        </w:rPr>
      </w:pPr>
    </w:p>
    <w:p w14:paraId="44CF2A9C" w14:textId="77777777" w:rsidR="00E01303" w:rsidRPr="00356C78" w:rsidRDefault="00E01303" w:rsidP="00124C3F">
      <w:pPr>
        <w:spacing w:line="240" w:lineRule="auto"/>
        <w:ind w:firstLine="0"/>
        <w:jc w:val="center"/>
        <w:rPr>
          <w:sz w:val="28"/>
        </w:rPr>
      </w:pPr>
    </w:p>
    <w:p w14:paraId="5AA26B5A" w14:textId="77777777" w:rsidR="00E01303" w:rsidRPr="00356C78" w:rsidRDefault="00E01303" w:rsidP="00124C3F">
      <w:pPr>
        <w:spacing w:line="240" w:lineRule="auto"/>
        <w:ind w:firstLine="0"/>
        <w:jc w:val="center"/>
        <w:rPr>
          <w:sz w:val="28"/>
        </w:rPr>
      </w:pPr>
    </w:p>
    <w:p w14:paraId="23FD3CE1" w14:textId="77777777" w:rsidR="00E01303" w:rsidRPr="00356C78" w:rsidRDefault="00E01303" w:rsidP="00124C3F">
      <w:pPr>
        <w:spacing w:line="240" w:lineRule="auto"/>
        <w:ind w:firstLine="0"/>
        <w:jc w:val="center"/>
        <w:rPr>
          <w:sz w:val="28"/>
        </w:rPr>
      </w:pPr>
    </w:p>
    <w:p w14:paraId="45154DC4" w14:textId="77777777" w:rsidR="00E01303" w:rsidRPr="00356C78" w:rsidRDefault="00E01303" w:rsidP="00124C3F">
      <w:pPr>
        <w:spacing w:line="240" w:lineRule="auto"/>
        <w:ind w:firstLine="0"/>
        <w:jc w:val="center"/>
        <w:rPr>
          <w:sz w:val="28"/>
        </w:rPr>
      </w:pPr>
    </w:p>
    <w:p w14:paraId="5D5543B9" w14:textId="77777777" w:rsidR="00E01303" w:rsidRPr="00356C78" w:rsidRDefault="00E01303" w:rsidP="00124C3F">
      <w:pPr>
        <w:spacing w:line="240" w:lineRule="auto"/>
        <w:ind w:firstLine="0"/>
        <w:jc w:val="center"/>
        <w:rPr>
          <w:sz w:val="28"/>
        </w:rPr>
      </w:pPr>
    </w:p>
    <w:p w14:paraId="2B140326" w14:textId="77777777" w:rsidR="00E01303" w:rsidRPr="00356C78" w:rsidRDefault="00E01303" w:rsidP="00124C3F">
      <w:pPr>
        <w:pStyle w:val="Default"/>
        <w:widowControl w:val="0"/>
        <w:jc w:val="center"/>
        <w:rPr>
          <w:sz w:val="26"/>
          <w:szCs w:val="26"/>
        </w:rPr>
      </w:pPr>
    </w:p>
    <w:p w14:paraId="39C994B5" w14:textId="77777777" w:rsidR="00E01303" w:rsidRPr="00356C78" w:rsidRDefault="00E01303" w:rsidP="00124C3F">
      <w:pPr>
        <w:pStyle w:val="Default"/>
        <w:widowControl w:val="0"/>
        <w:jc w:val="center"/>
        <w:rPr>
          <w:sz w:val="26"/>
          <w:szCs w:val="26"/>
        </w:rPr>
      </w:pPr>
    </w:p>
    <w:p w14:paraId="055ABDAC" w14:textId="77777777" w:rsidR="00E01303" w:rsidRPr="00356C78" w:rsidRDefault="00E01303" w:rsidP="00124C3F">
      <w:pPr>
        <w:pStyle w:val="Default"/>
        <w:widowControl w:val="0"/>
        <w:jc w:val="center"/>
        <w:rPr>
          <w:sz w:val="26"/>
          <w:szCs w:val="26"/>
        </w:rPr>
      </w:pPr>
    </w:p>
    <w:p w14:paraId="052B21C4" w14:textId="77777777" w:rsidR="00E01303" w:rsidRPr="00356C78" w:rsidRDefault="00E01303" w:rsidP="00124C3F">
      <w:pPr>
        <w:pStyle w:val="Default"/>
        <w:widowControl w:val="0"/>
        <w:jc w:val="center"/>
        <w:rPr>
          <w:sz w:val="26"/>
          <w:szCs w:val="26"/>
        </w:rPr>
      </w:pPr>
    </w:p>
    <w:p w14:paraId="62BB0B1B" w14:textId="77777777" w:rsidR="00E01303" w:rsidRPr="00356C78" w:rsidRDefault="00E01303" w:rsidP="00124C3F">
      <w:pPr>
        <w:pStyle w:val="Default"/>
        <w:widowControl w:val="0"/>
        <w:jc w:val="center"/>
        <w:rPr>
          <w:sz w:val="26"/>
          <w:szCs w:val="26"/>
        </w:rPr>
      </w:pPr>
      <w:r w:rsidRPr="00356C78">
        <w:rPr>
          <w:sz w:val="26"/>
          <w:szCs w:val="26"/>
        </w:rPr>
        <w:t>Department of Risk, Insurance, and Healthcare Management</w:t>
      </w:r>
    </w:p>
    <w:p w14:paraId="3CA5FFC6" w14:textId="77777777" w:rsidR="00E01303" w:rsidRPr="00356C78" w:rsidRDefault="00E01303" w:rsidP="00124C3F">
      <w:pPr>
        <w:pStyle w:val="Default"/>
        <w:widowControl w:val="0"/>
        <w:jc w:val="center"/>
        <w:rPr>
          <w:sz w:val="26"/>
          <w:szCs w:val="26"/>
        </w:rPr>
      </w:pPr>
      <w:r w:rsidRPr="00356C78">
        <w:rPr>
          <w:sz w:val="26"/>
          <w:szCs w:val="26"/>
        </w:rPr>
        <w:t>Temple University</w:t>
      </w:r>
    </w:p>
    <w:p w14:paraId="47521729" w14:textId="77777777" w:rsidR="00E01303" w:rsidRPr="00356C78" w:rsidRDefault="00E01303" w:rsidP="00124C3F">
      <w:pPr>
        <w:pStyle w:val="Default"/>
        <w:widowControl w:val="0"/>
        <w:jc w:val="center"/>
        <w:rPr>
          <w:sz w:val="26"/>
          <w:szCs w:val="26"/>
        </w:rPr>
      </w:pPr>
      <w:r w:rsidRPr="00356C78">
        <w:rPr>
          <w:sz w:val="26"/>
          <w:szCs w:val="26"/>
        </w:rPr>
        <w:t>Alter Hall, 601K</w:t>
      </w:r>
    </w:p>
    <w:p w14:paraId="334F5DA2" w14:textId="77777777" w:rsidR="00E01303" w:rsidRPr="00356C78" w:rsidRDefault="00E01303" w:rsidP="00124C3F">
      <w:pPr>
        <w:pStyle w:val="Default"/>
        <w:widowControl w:val="0"/>
        <w:jc w:val="center"/>
        <w:rPr>
          <w:sz w:val="26"/>
          <w:szCs w:val="26"/>
        </w:rPr>
      </w:pPr>
      <w:r w:rsidRPr="00356C78">
        <w:rPr>
          <w:sz w:val="26"/>
          <w:szCs w:val="26"/>
        </w:rPr>
        <w:t>1801 Liacouras Walk</w:t>
      </w:r>
    </w:p>
    <w:p w14:paraId="06C7CC3F" w14:textId="77777777" w:rsidR="00E01303" w:rsidRPr="00356C78" w:rsidRDefault="00E01303" w:rsidP="00124C3F">
      <w:pPr>
        <w:pStyle w:val="Default"/>
        <w:widowControl w:val="0"/>
        <w:jc w:val="center"/>
        <w:rPr>
          <w:sz w:val="26"/>
          <w:szCs w:val="26"/>
        </w:rPr>
      </w:pPr>
      <w:r w:rsidRPr="00356C78">
        <w:rPr>
          <w:sz w:val="26"/>
          <w:szCs w:val="26"/>
        </w:rPr>
        <w:t>Philadelphia, PA 19122</w:t>
      </w:r>
    </w:p>
    <w:p w14:paraId="39F34FCC" w14:textId="77777777" w:rsidR="00E01303" w:rsidRPr="00356C78" w:rsidRDefault="00E01303" w:rsidP="00124C3F">
      <w:pPr>
        <w:pStyle w:val="Default"/>
        <w:widowControl w:val="0"/>
        <w:jc w:val="center"/>
        <w:rPr>
          <w:sz w:val="26"/>
          <w:szCs w:val="26"/>
        </w:rPr>
      </w:pPr>
    </w:p>
    <w:p w14:paraId="464926D1" w14:textId="77777777" w:rsidR="00E01303" w:rsidRPr="00356C78" w:rsidRDefault="00D23C2E" w:rsidP="00124C3F">
      <w:pPr>
        <w:pStyle w:val="Default"/>
        <w:widowControl w:val="0"/>
        <w:jc w:val="center"/>
        <w:rPr>
          <w:sz w:val="26"/>
          <w:szCs w:val="26"/>
        </w:rPr>
      </w:pPr>
      <w:hyperlink r:id="rId8" w:history="1">
        <w:r w:rsidR="00E01303" w:rsidRPr="00356C78">
          <w:rPr>
            <w:rStyle w:val="Hyperlink"/>
            <w:sz w:val="26"/>
            <w:szCs w:val="26"/>
          </w:rPr>
          <w:t>rui.ju@temple.edu</w:t>
        </w:r>
      </w:hyperlink>
    </w:p>
    <w:p w14:paraId="7F62F45E" w14:textId="77777777" w:rsidR="00E01303" w:rsidRPr="00356C78" w:rsidRDefault="00E01303" w:rsidP="00124C3F">
      <w:pPr>
        <w:pStyle w:val="Default"/>
        <w:widowControl w:val="0"/>
        <w:jc w:val="center"/>
        <w:rPr>
          <w:sz w:val="26"/>
          <w:szCs w:val="26"/>
        </w:rPr>
      </w:pPr>
    </w:p>
    <w:p w14:paraId="1245AF31" w14:textId="45D6F1B7" w:rsidR="00E01303" w:rsidRPr="00356C78" w:rsidRDefault="002E05A4" w:rsidP="00124C3F">
      <w:pPr>
        <w:spacing w:line="240" w:lineRule="auto"/>
        <w:ind w:firstLine="0"/>
        <w:jc w:val="center"/>
        <w:rPr>
          <w:sz w:val="26"/>
          <w:szCs w:val="26"/>
        </w:rPr>
      </w:pPr>
      <w:r>
        <w:rPr>
          <w:sz w:val="26"/>
          <w:szCs w:val="26"/>
        </w:rPr>
        <w:t>February 10, 2017</w:t>
      </w:r>
    </w:p>
    <w:p w14:paraId="165E93CA" w14:textId="77777777" w:rsidR="00E01303" w:rsidRPr="00356C78" w:rsidRDefault="00E01303" w:rsidP="00124C3F">
      <w:pPr>
        <w:pStyle w:val="NoSpacing"/>
        <w:widowControl w:val="0"/>
        <w:jc w:val="center"/>
        <w:rPr>
          <w:rFonts w:cs="Times New Roman"/>
          <w:b/>
          <w:sz w:val="28"/>
        </w:rPr>
      </w:pPr>
    </w:p>
    <w:p w14:paraId="45586D92" w14:textId="77777777" w:rsidR="00E01303" w:rsidRDefault="00E01303" w:rsidP="00124C3F">
      <w:pPr>
        <w:ind w:firstLine="0"/>
        <w:jc w:val="center"/>
        <w:rPr>
          <w:b/>
        </w:rPr>
      </w:pPr>
    </w:p>
    <w:p w14:paraId="6C7054ED" w14:textId="77777777" w:rsidR="00E323CA" w:rsidRPr="00E54457" w:rsidRDefault="00E323CA" w:rsidP="00BF5219">
      <w:pPr>
        <w:ind w:firstLine="0"/>
        <w:jc w:val="center"/>
        <w:rPr>
          <w:b/>
        </w:rPr>
      </w:pPr>
      <w:r w:rsidRPr="00E54457">
        <w:rPr>
          <w:b/>
        </w:rPr>
        <w:lastRenderedPageBreak/>
        <w:t>Abstract</w:t>
      </w:r>
    </w:p>
    <w:p w14:paraId="2C76EE9A" w14:textId="77777777" w:rsidR="00E323CA" w:rsidRDefault="00E323CA" w:rsidP="007B5F76">
      <w:pPr>
        <w:spacing w:line="240" w:lineRule="auto"/>
        <w:ind w:firstLine="0"/>
      </w:pPr>
      <w:r>
        <w:t>Top brokers were banned from receiving contingent commissions following the inquiry into the industry about 12 years ago led by Eliot Spitzer, former New York attorney-general. But the ban raised concerns about whether it created a level playing field across the industry, as smaller brokers carried on taking them. In addition, d</w:t>
      </w:r>
      <w:r w:rsidRPr="00FC3AFB">
        <w:t>espite the possible conflicts of interest, contingent commissions have also been recognized as a way to better align agent and insurer incentives.</w:t>
      </w:r>
      <w:r>
        <w:t xml:space="preserve"> Regulators agreed to change the terms for the leading brokers in 2010, resulting in a less onerous compliance regime.</w:t>
      </w:r>
      <w:r w:rsidRPr="00E54457">
        <w:t xml:space="preserve"> </w:t>
      </w:r>
      <w:r w:rsidRPr="00FC3AFB">
        <w:t>It is important to study the effectiveness of contingent commission use on imp</w:t>
      </w:r>
      <w:r>
        <w:t>roving underwriting performance. The purpose of my research is to examine the relationship between contingent commission use and underwriting performance after controlling for self-selection bias using most recent data from 2007 to 2014. In my study, I find strong evidence supporting my hypothesis that contingent commissions’ usage improves insurers’ underwriting performance.</w:t>
      </w:r>
    </w:p>
    <w:p w14:paraId="69AC5000" w14:textId="77777777" w:rsidR="00E323CA" w:rsidRDefault="00E323CA" w:rsidP="004773D8">
      <w:pPr>
        <w:spacing w:line="240" w:lineRule="auto"/>
      </w:pPr>
    </w:p>
    <w:p w14:paraId="128609D6" w14:textId="77777777" w:rsidR="00E323CA" w:rsidRDefault="00E323CA" w:rsidP="007B5F76">
      <w:pPr>
        <w:ind w:firstLine="0"/>
      </w:pPr>
      <w:r w:rsidRPr="004773D8">
        <w:t>Keywords:</w:t>
      </w:r>
      <w:r>
        <w:t xml:space="preserve"> contingent commissions, distribution system, underwriting performance</w:t>
      </w:r>
    </w:p>
    <w:p w14:paraId="3B34178E" w14:textId="77777777" w:rsidR="00E323CA" w:rsidRPr="00356C78" w:rsidRDefault="00E323CA" w:rsidP="004773D8">
      <w:pPr>
        <w:jc w:val="center"/>
        <w:rPr>
          <w:b/>
        </w:rPr>
      </w:pPr>
    </w:p>
    <w:p w14:paraId="587880FF" w14:textId="77777777" w:rsidR="00E323CA" w:rsidRDefault="00E323CA" w:rsidP="004773D8">
      <w:pPr>
        <w:ind w:firstLine="0"/>
        <w:rPr>
          <w:b/>
        </w:rPr>
      </w:pPr>
    </w:p>
    <w:p w14:paraId="21F98B62" w14:textId="77777777" w:rsidR="00E323CA" w:rsidRDefault="00E323CA" w:rsidP="004773D8">
      <w:pPr>
        <w:ind w:firstLine="0"/>
        <w:rPr>
          <w:b/>
        </w:rPr>
      </w:pPr>
    </w:p>
    <w:p w14:paraId="7D64F2C8" w14:textId="77777777" w:rsidR="00E323CA" w:rsidRDefault="00E323CA" w:rsidP="004773D8">
      <w:pPr>
        <w:ind w:firstLine="0"/>
        <w:rPr>
          <w:b/>
        </w:rPr>
      </w:pPr>
    </w:p>
    <w:p w14:paraId="24C2EE1A" w14:textId="77777777" w:rsidR="00E323CA" w:rsidRDefault="00E323CA" w:rsidP="004773D8">
      <w:pPr>
        <w:ind w:firstLine="0"/>
        <w:rPr>
          <w:b/>
        </w:rPr>
      </w:pPr>
    </w:p>
    <w:p w14:paraId="65351045" w14:textId="77777777" w:rsidR="00E323CA" w:rsidRDefault="00E323CA" w:rsidP="004773D8">
      <w:pPr>
        <w:ind w:firstLine="0"/>
        <w:rPr>
          <w:b/>
        </w:rPr>
      </w:pPr>
    </w:p>
    <w:p w14:paraId="3FBE0314" w14:textId="77777777" w:rsidR="00E323CA" w:rsidRDefault="00E323CA" w:rsidP="004773D8">
      <w:pPr>
        <w:ind w:firstLine="0"/>
        <w:rPr>
          <w:b/>
        </w:rPr>
      </w:pPr>
    </w:p>
    <w:p w14:paraId="7788F233" w14:textId="77777777" w:rsidR="00E323CA" w:rsidRDefault="00E323CA" w:rsidP="004773D8">
      <w:pPr>
        <w:ind w:firstLine="0"/>
        <w:rPr>
          <w:b/>
        </w:rPr>
      </w:pPr>
    </w:p>
    <w:p w14:paraId="5BC089DC" w14:textId="77777777" w:rsidR="00E323CA" w:rsidRDefault="00E323CA" w:rsidP="004773D8">
      <w:pPr>
        <w:ind w:firstLine="0"/>
        <w:rPr>
          <w:b/>
        </w:rPr>
      </w:pPr>
    </w:p>
    <w:p w14:paraId="0475962A" w14:textId="77777777" w:rsidR="00E323CA" w:rsidRDefault="00E323CA" w:rsidP="004773D8">
      <w:pPr>
        <w:ind w:firstLine="0"/>
        <w:rPr>
          <w:b/>
        </w:rPr>
      </w:pPr>
    </w:p>
    <w:p w14:paraId="2E0E898C" w14:textId="77777777" w:rsidR="00E323CA" w:rsidRDefault="00E323CA" w:rsidP="004773D8">
      <w:pPr>
        <w:ind w:firstLine="0"/>
        <w:rPr>
          <w:b/>
        </w:rPr>
      </w:pPr>
    </w:p>
    <w:p w14:paraId="7EBF93DA" w14:textId="77777777" w:rsidR="00E323CA" w:rsidRDefault="00E323CA" w:rsidP="004773D8">
      <w:pPr>
        <w:ind w:firstLine="0"/>
        <w:rPr>
          <w:b/>
        </w:rPr>
      </w:pPr>
    </w:p>
    <w:p w14:paraId="169803CA" w14:textId="77777777" w:rsidR="00E323CA" w:rsidRDefault="00E323CA" w:rsidP="004773D8">
      <w:pPr>
        <w:ind w:firstLine="0"/>
        <w:rPr>
          <w:b/>
        </w:rPr>
      </w:pPr>
    </w:p>
    <w:p w14:paraId="60D61DF2" w14:textId="77777777" w:rsidR="00E2190E" w:rsidRDefault="00E2190E" w:rsidP="004773D8">
      <w:pPr>
        <w:ind w:firstLine="0"/>
        <w:rPr>
          <w:b/>
        </w:rPr>
        <w:sectPr w:rsidR="00E2190E" w:rsidSect="004773D8">
          <w:footerReference w:type="default" r:id="rId9"/>
          <w:pgSz w:w="12240" w:h="15840" w:code="1"/>
          <w:pgMar w:top="1440" w:right="1440" w:bottom="1080" w:left="1440" w:header="720" w:footer="432" w:gutter="0"/>
          <w:cols w:space="720"/>
          <w:docGrid w:linePitch="360"/>
        </w:sectPr>
      </w:pPr>
    </w:p>
    <w:p w14:paraId="1147A449" w14:textId="77777777" w:rsidR="00E01303" w:rsidRPr="00356C78" w:rsidRDefault="00E01303" w:rsidP="004773D8">
      <w:pPr>
        <w:tabs>
          <w:tab w:val="left" w:pos="2430"/>
        </w:tabs>
        <w:ind w:firstLine="0"/>
        <w:rPr>
          <w:b/>
        </w:rPr>
      </w:pPr>
      <w:r w:rsidRPr="00356C78">
        <w:rPr>
          <w:b/>
        </w:rPr>
        <w:lastRenderedPageBreak/>
        <w:t>1. Introduction</w:t>
      </w:r>
    </w:p>
    <w:p w14:paraId="0476300F" w14:textId="6603BA0B" w:rsidR="00E01303" w:rsidRPr="00356C78" w:rsidRDefault="00E01303" w:rsidP="004773D8">
      <w:r w:rsidRPr="00356C78">
        <w:t xml:space="preserve">New York Attorney General Eliot Spitzer </w:t>
      </w:r>
      <w:r w:rsidR="00D41597">
        <w:t xml:space="preserve">announced </w:t>
      </w:r>
      <w:r w:rsidRPr="00356C78">
        <w:t xml:space="preserve">a civil suit in the New York State Supreme Court against </w:t>
      </w:r>
      <w:r w:rsidR="00D41597" w:rsidRPr="00356C78">
        <w:t xml:space="preserve">the world’s largest insurance broker </w:t>
      </w:r>
      <w:r w:rsidRPr="00356C78">
        <w:t>Marsh &amp; McLennan Cos. (MMC)</w:t>
      </w:r>
      <w:r w:rsidR="00D41597">
        <w:t xml:space="preserve"> and several other insurers</w:t>
      </w:r>
      <w:r w:rsidRPr="00356C78">
        <w:t xml:space="preserve"> for bid rigging and inappropriate use of contingent commissions</w:t>
      </w:r>
      <w:r w:rsidR="00DC5C8C" w:rsidRPr="00DC5C8C">
        <w:t xml:space="preserve"> </w:t>
      </w:r>
      <w:r w:rsidR="00DC5C8C">
        <w:t>in 2004</w:t>
      </w:r>
      <w:r w:rsidRPr="00356C78">
        <w:t>. This suit raised a discussion about the use of contingent commissions, an arrangement in which an insurance intermediary receives a percentage of the premiums rea</w:t>
      </w:r>
      <w:r w:rsidR="007B5F76">
        <w:t xml:space="preserve">lized by the insurer, if it </w:t>
      </w:r>
      <w:r w:rsidRPr="00356C78">
        <w:t>meet</w:t>
      </w:r>
      <w:r w:rsidR="007B5F76">
        <w:t>s</w:t>
      </w:r>
      <w:r w:rsidRPr="00356C78">
        <w:t xml:space="preserve"> certain goals in terms of volume, persistency, and profitab</w:t>
      </w:r>
      <w:r w:rsidR="007B5F76">
        <w:t xml:space="preserve">ility in the business it </w:t>
      </w:r>
      <w:r w:rsidRPr="00356C78">
        <w:t xml:space="preserve">with the insurer. </w:t>
      </w:r>
    </w:p>
    <w:p w14:paraId="451E5104" w14:textId="77777777" w:rsidR="006E7E35" w:rsidRDefault="00802F96" w:rsidP="004773D8">
      <w:r>
        <w:t xml:space="preserve">The suit against MMC caused a great loss for insurance industry. </w:t>
      </w:r>
      <w:r w:rsidR="006A5652">
        <w:t>After the suit, l</w:t>
      </w:r>
      <w:r w:rsidR="006E7E35">
        <w:t xml:space="preserve">eading brokers stopped receiving contingent commissions as payments and several insurers also eliminated the use of contingent commissions. Model laws were developed on regulating the use and disclosure of contingent commissions use by National Association of Insurance Commissioners (NAIC). The NAIC also developed a set of requirements for brokers’ compensation disclosure. </w:t>
      </w:r>
    </w:p>
    <w:p w14:paraId="3716EEAE" w14:textId="4E502E98" w:rsidR="00E01303" w:rsidRDefault="006A5652" w:rsidP="004773D8">
      <w:r>
        <w:t xml:space="preserve">Whether or not should insurers include contingent commissions in their compensation scheme? </w:t>
      </w:r>
      <w:r w:rsidR="00E01303" w:rsidRPr="00356C78">
        <w:t>Prior literature (e.g., Cummins and Doherty, 2006; Cummins et al., 2006; Cheng</w:t>
      </w:r>
      <w:r w:rsidR="007B5F76">
        <w:t xml:space="preserve">, </w:t>
      </w:r>
      <w:r w:rsidR="007B5F76" w:rsidRPr="00356C78">
        <w:rPr>
          <w:rFonts w:cs="Times New Roman"/>
        </w:rPr>
        <w:t>Elyasiani</w:t>
      </w:r>
      <w:r w:rsidR="007B5F76">
        <w:rPr>
          <w:rFonts w:cs="Times New Roman"/>
        </w:rPr>
        <w:t>, and Lin</w:t>
      </w:r>
      <w:r w:rsidR="00E01303" w:rsidRPr="00356C78">
        <w:t>, 2010) prov</w:t>
      </w:r>
      <w:r w:rsidR="007B5F76">
        <w:t>ide evidence</w:t>
      </w:r>
      <w:r w:rsidR="00E01303" w:rsidRPr="00356C78">
        <w:t xml:space="preserve"> that the use of contingent commissions could improve the efficiency of insurance market. However, only a few </w:t>
      </w:r>
      <w:r w:rsidR="007B5F76">
        <w:t xml:space="preserve">prior papers </w:t>
      </w:r>
      <w:r w:rsidR="00E01303" w:rsidRPr="00356C78">
        <w:t xml:space="preserve">focus on examining the impact of contingent commission use on underwriting performance. Regan and Kleffner (2010) contributes in this aspect by investigating whether contingent commissions are associated with improved insurer underwriting performance using data from 2001 to 2005, the period around the Spitzer suit against Marsh. However, one problem remains unsolved in their research. Contingent commission use may be possibly due to self-selection, which can result in potential bias of the estimated coefficients. The purpose of my research is to examine the </w:t>
      </w:r>
      <w:r w:rsidR="00E01303" w:rsidRPr="00356C78">
        <w:lastRenderedPageBreak/>
        <w:t xml:space="preserve">relationship between contingent commission use and underwriting performance after controlling for self-selection bias using </w:t>
      </w:r>
      <w:r w:rsidR="00275EDD" w:rsidRPr="00356C78">
        <w:t xml:space="preserve">the </w:t>
      </w:r>
      <w:r w:rsidR="00E01303" w:rsidRPr="00356C78">
        <w:t xml:space="preserve">most recent data. </w:t>
      </w:r>
    </w:p>
    <w:p w14:paraId="05CF5617" w14:textId="77777777" w:rsidR="005D6815" w:rsidRDefault="005D6815" w:rsidP="004773D8">
      <w:pPr>
        <w:rPr>
          <w:sz w:val="23"/>
          <w:szCs w:val="23"/>
        </w:rPr>
      </w:pPr>
      <w:r>
        <w:t xml:space="preserve">A treatment effect model is used to control the self-selection bias. </w:t>
      </w:r>
      <w:r w:rsidRPr="005D6815">
        <w:t>I utilize a caliper (caliper=0.005) matching with no replacement on a propensity score estimated with categorical variables in this study under the common support assumption.</w:t>
      </w:r>
      <w:r w:rsidRPr="002E68C5">
        <w:rPr>
          <w:color w:val="FF0000"/>
        </w:rPr>
        <w:t xml:space="preserve"> </w:t>
      </w:r>
      <w:r>
        <w:t>After matching, a</w:t>
      </w:r>
      <w:r w:rsidRPr="00356C78">
        <w:t xml:space="preserve"> pseudo “random” sample is created where any difference in underwriting performance between firms in treated and control groups is due to the use of contingent commissions.</w:t>
      </w:r>
      <w:r>
        <w:t xml:space="preserve"> </w:t>
      </w:r>
      <w:r w:rsidRPr="00356C78">
        <w:rPr>
          <w:szCs w:val="24"/>
        </w:rPr>
        <w:t>OLS regression</w:t>
      </w:r>
      <w:r w:rsidR="00D9112C">
        <w:rPr>
          <w:szCs w:val="24"/>
        </w:rPr>
        <w:t>s</w:t>
      </w:r>
      <w:r w:rsidRPr="00356C78">
        <w:rPr>
          <w:szCs w:val="24"/>
        </w:rPr>
        <w:t xml:space="preserve"> </w:t>
      </w:r>
      <w:r w:rsidR="00D9112C">
        <w:rPr>
          <w:szCs w:val="24"/>
        </w:rPr>
        <w:t>are</w:t>
      </w:r>
      <w:r w:rsidRPr="00356C78">
        <w:rPr>
          <w:szCs w:val="24"/>
        </w:rPr>
        <w:t xml:space="preserve"> </w:t>
      </w:r>
      <w:r w:rsidR="00AC0AE9">
        <w:rPr>
          <w:szCs w:val="24"/>
        </w:rPr>
        <w:t xml:space="preserve">employed on </w:t>
      </w:r>
      <w:r>
        <w:rPr>
          <w:szCs w:val="24"/>
        </w:rPr>
        <w:t>the matched sample</w:t>
      </w:r>
      <w:r w:rsidRPr="00356C78">
        <w:rPr>
          <w:szCs w:val="24"/>
        </w:rPr>
        <w:t xml:space="preserve"> with underwriting performance measurer as the dependent variable and contingent commission use/ratio of contingent commissions to total commissions paid</w:t>
      </w:r>
      <w:r w:rsidRPr="00356C78">
        <w:rPr>
          <w:sz w:val="23"/>
          <w:szCs w:val="23"/>
        </w:rPr>
        <w:t xml:space="preserve"> as the variable of interest while controlling for other variables.</w:t>
      </w:r>
      <w:r w:rsidR="00AC0AE9">
        <w:rPr>
          <w:sz w:val="23"/>
          <w:szCs w:val="23"/>
        </w:rPr>
        <w:t xml:space="preserve"> </w:t>
      </w:r>
    </w:p>
    <w:p w14:paraId="7E2671C4" w14:textId="77777777" w:rsidR="00326E5D" w:rsidRDefault="00AC0AE9" w:rsidP="004773D8">
      <w:r>
        <w:rPr>
          <w:sz w:val="23"/>
          <w:szCs w:val="23"/>
        </w:rPr>
        <w:t xml:space="preserve">I find that </w:t>
      </w:r>
      <w:r>
        <w:t xml:space="preserve">contingent commissions’ usage improves insurers’ underwriting performance by lowering both the loss ratio and the combined ratio. This result indicates that although contingent commission users may have higher expense ratios, the increased underwriting costs can be offset by the savings from improved loss performance. However, </w:t>
      </w:r>
      <w:r w:rsidR="00CA31EE">
        <w:t xml:space="preserve">for </w:t>
      </w:r>
      <w:r>
        <w:t>firms using contingent commissions, the loss ratio declines as the proportion of contingent commissions increase</w:t>
      </w:r>
      <w:r w:rsidR="00CA31EE">
        <w:t>s</w:t>
      </w:r>
      <w:r>
        <w:t xml:space="preserve"> while the combined ratio increases though with no statistical significance. </w:t>
      </w:r>
    </w:p>
    <w:p w14:paraId="23E75C00" w14:textId="77777777" w:rsidR="00AC0AE9" w:rsidRPr="00AC0AE9" w:rsidRDefault="00CA31EE" w:rsidP="004773D8">
      <w:r w:rsidRPr="00CA31EE">
        <w:t>The remainder of the article is organized as follows. In Section 2, I review and discuss the related literature</w:t>
      </w:r>
      <w:r>
        <w:t xml:space="preserve"> and develop the hypotheses.</w:t>
      </w:r>
      <w:r w:rsidRPr="00CA31EE">
        <w:t xml:space="preserve"> The </w:t>
      </w:r>
      <w:r>
        <w:t xml:space="preserve">methodology and </w:t>
      </w:r>
      <w:r w:rsidRPr="00CA31EE">
        <w:t xml:space="preserve">variable description is give in Section 3. Section 4 discusses </w:t>
      </w:r>
      <w:r>
        <w:t xml:space="preserve">the </w:t>
      </w:r>
      <w:r w:rsidRPr="00CA31EE">
        <w:t>data utilized in the study. Section 5 reports the results and implications, and Section 6 concludes.</w:t>
      </w:r>
    </w:p>
    <w:p w14:paraId="7DC11FC6" w14:textId="77777777" w:rsidR="00E01303" w:rsidRDefault="00E01303" w:rsidP="004773D8">
      <w:pPr>
        <w:ind w:firstLine="0"/>
        <w:rPr>
          <w:b/>
        </w:rPr>
      </w:pPr>
      <w:r w:rsidRPr="00356C78">
        <w:rPr>
          <w:b/>
        </w:rPr>
        <w:t xml:space="preserve">2. </w:t>
      </w:r>
      <w:r w:rsidR="00D41597">
        <w:rPr>
          <w:b/>
        </w:rPr>
        <w:t>Literature Review</w:t>
      </w:r>
      <w:r w:rsidRPr="00356C78">
        <w:rPr>
          <w:b/>
        </w:rPr>
        <w:t xml:space="preserve"> &amp; Hypothesis</w:t>
      </w:r>
      <w:r w:rsidR="00D41597">
        <w:rPr>
          <w:b/>
        </w:rPr>
        <w:t xml:space="preserve"> Development</w:t>
      </w:r>
    </w:p>
    <w:p w14:paraId="31E684E3" w14:textId="4A0B7A7E" w:rsidR="006C147E" w:rsidRDefault="006C147E" w:rsidP="004773D8">
      <w:pPr>
        <w:ind w:firstLine="0"/>
        <w:rPr>
          <w:b/>
        </w:rPr>
      </w:pPr>
      <w:r>
        <w:rPr>
          <w:b/>
        </w:rPr>
        <w:t>2.1. Literature Review</w:t>
      </w:r>
    </w:p>
    <w:p w14:paraId="74ECDC79" w14:textId="4132933C" w:rsidR="00280360" w:rsidRDefault="00D41597" w:rsidP="004773D8">
      <w:r>
        <w:t xml:space="preserve">Since </w:t>
      </w:r>
      <w:r w:rsidRPr="00356C78">
        <w:t>New York Attorney General Eliot Spitzer filed a civil suit against Marsh &amp; McLennan Cos. (MMC)</w:t>
      </w:r>
      <w:r>
        <w:t xml:space="preserve"> and several other insurers in 2004, a heated debate on contingent </w:t>
      </w:r>
      <w:r>
        <w:lastRenderedPageBreak/>
        <w:t xml:space="preserve">commission use has been launched </w:t>
      </w:r>
      <w:r w:rsidR="00760081">
        <w:t xml:space="preserve">in both academia and industry. </w:t>
      </w:r>
      <w:r w:rsidR="00760081" w:rsidRPr="00760081">
        <w:t>Cummins and Doherty (2006), Cummins et al. (2006), and Carson, Dumm, and Hoyt (2007</w:t>
      </w:r>
      <w:r w:rsidR="00760081">
        <w:t xml:space="preserve">) all offer a great overview on </w:t>
      </w:r>
      <w:r w:rsidR="00467FC7">
        <w:t xml:space="preserve">the mechanisms </w:t>
      </w:r>
      <w:r w:rsidR="007D2467">
        <w:t>as well as the</w:t>
      </w:r>
      <w:r w:rsidR="003C2228">
        <w:t xml:space="preserve"> role </w:t>
      </w:r>
      <w:r w:rsidR="00467FC7">
        <w:t xml:space="preserve">of contingent commissions.  </w:t>
      </w:r>
      <w:r w:rsidR="00467FC7" w:rsidRPr="00467FC7">
        <w:t>Cu</w:t>
      </w:r>
      <w:r w:rsidR="007B5F76">
        <w:t>mmins and Doherty (2006)</w:t>
      </w:r>
      <w:r w:rsidR="00467FC7" w:rsidRPr="00467FC7">
        <w:t xml:space="preserve"> investigates the functions performed by brokers and agents, the competitiveness of the marketplace, compensation arrangements, and the process by which policies are placed with insurers. They find that contingent commissions are borne by policyholders rather than insurers. They also explain that contingent commissions can potentially enhance the efficiency of insurance markets.</w:t>
      </w:r>
    </w:p>
    <w:p w14:paraId="3DD2FD60" w14:textId="77777777" w:rsidR="00A751B5" w:rsidRDefault="00467FC7" w:rsidP="004773D8">
      <w:r>
        <w:t xml:space="preserve">Cummins et al. (2006) </w:t>
      </w:r>
      <w:r w:rsidR="003C2228">
        <w:t xml:space="preserve">summarizes </w:t>
      </w:r>
      <w:r w:rsidR="003C2228" w:rsidRPr="003C2228">
        <w:t>a panel discussion</w:t>
      </w:r>
      <w:r w:rsidR="003C2228">
        <w:t xml:space="preserve"> </w:t>
      </w:r>
      <w:r w:rsidR="003C2228" w:rsidRPr="003C2228">
        <w:t>for the 2005 World Risk and Insurance Economics Congress (WRIEC)</w:t>
      </w:r>
      <w:r w:rsidR="003C2228">
        <w:t xml:space="preserve"> on changes of insurance brokerage industry caused by the 2004 Spitzer suit from perspectives of academic, brokers, and regulatory. They </w:t>
      </w:r>
      <w:r w:rsidR="00A751B5">
        <w:t xml:space="preserve">conclude that contingent commissions are not the top reasons really causing or may cause problems in insurance industry, although their use should be made public to policyholders. Rather, the high concentration of top brokerage industry, the operating roles of brokers as primary insurers or reinsurers, and </w:t>
      </w:r>
      <w:r w:rsidR="00A751B5" w:rsidRPr="00A751B5">
        <w:t>antitrust surveillance</w:t>
      </w:r>
      <w:r w:rsidR="00A751B5">
        <w:t xml:space="preserve"> need more attentions. </w:t>
      </w:r>
      <w:r w:rsidR="00A751B5" w:rsidRPr="00760081">
        <w:t>Carson, Dumm, and Hoyt (2007</w:t>
      </w:r>
      <w:r w:rsidR="00A751B5">
        <w:t>) find that contingent commissions</w:t>
      </w:r>
      <w:r w:rsidR="00280360">
        <w:t xml:space="preserve">, </w:t>
      </w:r>
      <w:r w:rsidR="002D3C42">
        <w:t xml:space="preserve">serving </w:t>
      </w:r>
      <w:r w:rsidR="00A751B5">
        <w:t xml:space="preserve">as an </w:t>
      </w:r>
      <w:r w:rsidR="00616FEF">
        <w:t xml:space="preserve">effective and </w:t>
      </w:r>
      <w:r w:rsidR="00A751B5">
        <w:t xml:space="preserve">efficient way </w:t>
      </w:r>
      <w:r w:rsidR="00616FEF">
        <w:t>in insurance marketplace</w:t>
      </w:r>
      <w:r w:rsidR="00A751B5">
        <w:t xml:space="preserve"> help</w:t>
      </w:r>
      <w:r w:rsidR="00616FEF">
        <w:t>ing</w:t>
      </w:r>
      <w:r w:rsidR="00A751B5">
        <w:t xml:space="preserve"> </w:t>
      </w:r>
      <w:r w:rsidR="00616FEF">
        <w:t xml:space="preserve">consumers to get </w:t>
      </w:r>
      <w:r w:rsidR="007D2467">
        <w:t>appropriate</w:t>
      </w:r>
      <w:r w:rsidR="00616FEF">
        <w:t xml:space="preserve"> products and services</w:t>
      </w:r>
      <w:r w:rsidR="00280360">
        <w:t xml:space="preserve">, is a natural result of the development of a competitive insurance market. They bring benefits to </w:t>
      </w:r>
      <w:r w:rsidR="007D2467">
        <w:t xml:space="preserve">all parties including </w:t>
      </w:r>
      <w:r w:rsidR="00280360">
        <w:t xml:space="preserve">policyholders, insurers, and agents. </w:t>
      </w:r>
    </w:p>
    <w:p w14:paraId="624F299C" w14:textId="4C473ABD" w:rsidR="00280360" w:rsidRDefault="002D3C42" w:rsidP="004773D8">
      <w:r>
        <w:t xml:space="preserve">Prior literature also </w:t>
      </w:r>
      <w:r w:rsidR="001858DD">
        <w:t>test</w:t>
      </w:r>
      <w:r w:rsidR="007B5F76">
        <w:t>s</w:t>
      </w:r>
      <w:r w:rsidR="001858DD">
        <w:t xml:space="preserve"> the market reaction to the Spitzer suit in 2004.</w:t>
      </w:r>
      <w:r w:rsidR="001858DD" w:rsidRPr="001858DD">
        <w:t xml:space="preserve"> </w:t>
      </w:r>
      <w:r w:rsidR="001858DD">
        <w:t>Both using evidence from stock market, Cheng et al. (</w:t>
      </w:r>
      <w:r w:rsidR="001858DD" w:rsidRPr="00356C78">
        <w:t>2010</w:t>
      </w:r>
      <w:r w:rsidR="001858DD">
        <w:t xml:space="preserve">) and Ghosh and Hilliard (2012) deliver similar conclusions. They find </w:t>
      </w:r>
      <w:r w:rsidR="001858DD" w:rsidRPr="001858DD">
        <w:t xml:space="preserve">both negative contagion and positive competitive effects present in the insurance industry with the </w:t>
      </w:r>
      <w:r w:rsidR="00B14216">
        <w:t xml:space="preserve">former being dominant, implying that </w:t>
      </w:r>
      <w:r w:rsidR="00B14216" w:rsidRPr="00B14216">
        <w:t>different sectors of the insurance industry are closely integrated</w:t>
      </w:r>
      <w:r w:rsidR="00B14216">
        <w:t>.</w:t>
      </w:r>
      <w:r w:rsidR="001858DD">
        <w:t xml:space="preserve"> They also find that t</w:t>
      </w:r>
      <w:r w:rsidR="001858DD" w:rsidRPr="001858DD">
        <w:t xml:space="preserve">he information-based contagion </w:t>
      </w:r>
      <w:r w:rsidR="001858DD" w:rsidRPr="001858DD">
        <w:lastRenderedPageBreak/>
        <w:t>hypothesis is supported against the pure contagion hypothesis</w:t>
      </w:r>
      <w:r w:rsidR="00B14216">
        <w:t xml:space="preserve">. However, </w:t>
      </w:r>
      <w:r w:rsidR="00B14216" w:rsidRPr="00B14216">
        <w:t>Cheng et al. (2010) examine the market reactions to the Spitzer suit on three portfolios, including P-L and Life insurers and brokers using GARCH (1,1) model</w:t>
      </w:r>
      <w:r w:rsidR="00B14216">
        <w:t xml:space="preserve"> while </w:t>
      </w:r>
      <w:r w:rsidR="00B14216" w:rsidRPr="00B14216">
        <w:t>Ghosh and Hilliard (2012) test hypothesis by utilizing restriction tests on different subsamples of insurers for various event windows, showing changes of market reaction to the event along time.</w:t>
      </w:r>
    </w:p>
    <w:p w14:paraId="11FC286E" w14:textId="1559823E" w:rsidR="00F4243E" w:rsidRDefault="00F4243E" w:rsidP="004773D8">
      <w:pPr>
        <w:rPr>
          <w:rFonts w:cs="Times New Roman"/>
          <w:szCs w:val="24"/>
        </w:rPr>
      </w:pPr>
      <w:r>
        <w:rPr>
          <w:rFonts w:cs="Times New Roman"/>
          <w:szCs w:val="24"/>
        </w:rPr>
        <w:t>Several</w:t>
      </w:r>
      <w:r w:rsidR="007B5F76">
        <w:rPr>
          <w:rFonts w:cs="Times New Roman"/>
          <w:szCs w:val="24"/>
        </w:rPr>
        <w:t xml:space="preserve"> papers</w:t>
      </w:r>
      <w:r w:rsidRPr="00721890">
        <w:rPr>
          <w:rFonts w:cs="Times New Roman"/>
          <w:szCs w:val="24"/>
        </w:rPr>
        <w:t xml:space="preserve"> focus on examining the determinants of whether or not an insurer chooses to pay contingent commissions and the extent of their use for those insurers that pay them. </w:t>
      </w:r>
      <w:r w:rsidRPr="00721890">
        <w:rPr>
          <w:rFonts w:cs="Times New Roman"/>
        </w:rPr>
        <w:t xml:space="preserve">Colquitt, McCullough and Sommer (2011) contributes in this aspect by </w:t>
      </w:r>
      <w:r>
        <w:rPr>
          <w:rFonts w:cs="Times New Roman"/>
          <w:szCs w:val="24"/>
        </w:rPr>
        <w:t>examining</w:t>
      </w:r>
      <w:r w:rsidRPr="00F4243E">
        <w:rPr>
          <w:rFonts w:cs="Times New Roman"/>
          <w:szCs w:val="24"/>
        </w:rPr>
        <w:t xml:space="preserve"> the determinants of whether or not an insurer chooses to pay contingent commissions at all, as well as the determinants of the extent of their use for those insurers that pay them using data from years prior to the Spitzer suit against Marsh. Their findings suggest that firm size, distribution system, organizational form, diversification and other characteristics play an important role in using contingent commissions.</w:t>
      </w:r>
      <w:r>
        <w:rPr>
          <w:rFonts w:cs="Times New Roman"/>
          <w:szCs w:val="24"/>
        </w:rPr>
        <w:t xml:space="preserve"> </w:t>
      </w:r>
      <w:r w:rsidRPr="00F4243E">
        <w:rPr>
          <w:rFonts w:cs="Times New Roman"/>
          <w:szCs w:val="24"/>
        </w:rPr>
        <w:t>Regan and Tennyson (1996) examine the relation between contingent commissions and distribution sys</w:t>
      </w:r>
      <w:r>
        <w:rPr>
          <w:rFonts w:cs="Times New Roman"/>
          <w:szCs w:val="24"/>
        </w:rPr>
        <w:t>tem. They utilize a Tobit model and</w:t>
      </w:r>
      <w:r w:rsidRPr="00F4243E">
        <w:rPr>
          <w:rFonts w:cs="Times New Roman"/>
          <w:szCs w:val="24"/>
        </w:rPr>
        <w:t xml:space="preserve"> find a positive relation between the use of independent agencies and the use of contingent commissions.</w:t>
      </w:r>
    </w:p>
    <w:p w14:paraId="11A7C6E0" w14:textId="68D797C6" w:rsidR="003B4B32" w:rsidRDefault="00B87C7E" w:rsidP="004773D8">
      <w:r>
        <w:t xml:space="preserve">In regarding to the argument that </w:t>
      </w:r>
      <w:r w:rsidRPr="00721890">
        <w:rPr>
          <w:rFonts w:cs="Times New Roman"/>
          <w:szCs w:val="24"/>
        </w:rPr>
        <w:t xml:space="preserve">the use of contingent commissions could improve the </w:t>
      </w:r>
      <w:r>
        <w:rPr>
          <w:rFonts w:cs="Times New Roman"/>
          <w:szCs w:val="24"/>
        </w:rPr>
        <w:t xml:space="preserve">firm value, </w:t>
      </w:r>
      <w:r>
        <w:t>existing</w:t>
      </w:r>
      <w:r w:rsidR="00B14216">
        <w:t xml:space="preserve"> studies</w:t>
      </w:r>
      <w:r>
        <w:t xml:space="preserve"> </w:t>
      </w:r>
      <w:r>
        <w:rPr>
          <w:rFonts w:cs="Times New Roman"/>
          <w:szCs w:val="24"/>
        </w:rPr>
        <w:t xml:space="preserve">report different </w:t>
      </w:r>
      <w:r w:rsidR="003B4B32">
        <w:rPr>
          <w:rFonts w:cs="Times New Roman"/>
          <w:szCs w:val="24"/>
        </w:rPr>
        <w:t>results</w:t>
      </w:r>
      <w:r>
        <w:rPr>
          <w:rFonts w:cs="Times New Roman"/>
          <w:szCs w:val="24"/>
        </w:rPr>
        <w:t xml:space="preserve">, which implies that </w:t>
      </w:r>
      <w:r w:rsidR="003B4B32">
        <w:rPr>
          <w:rFonts w:cs="Times New Roman"/>
          <w:szCs w:val="24"/>
        </w:rPr>
        <w:t>the relationship between firm performance and contingent commissions’ usage is complex</w:t>
      </w:r>
      <w:r>
        <w:rPr>
          <w:rFonts w:cs="Times New Roman"/>
          <w:szCs w:val="24"/>
        </w:rPr>
        <w:t xml:space="preserve">. </w:t>
      </w:r>
      <w:r w:rsidR="006C147E">
        <w:t xml:space="preserve">Ma, </w:t>
      </w:r>
      <w:r w:rsidR="006C147E">
        <w:rPr>
          <w:rFonts w:cs="Times New Roman"/>
        </w:rPr>
        <w:t>Pope, and Xie</w:t>
      </w:r>
      <w:r>
        <w:t xml:space="preserve"> (2009) find that the use of contingent commissions is not associated with better firm performance. Moreover, </w:t>
      </w:r>
      <w:r w:rsidR="006C147E">
        <w:t xml:space="preserve">Ma, </w:t>
      </w:r>
      <w:r w:rsidR="006C147E">
        <w:rPr>
          <w:rFonts w:cs="Times New Roman"/>
        </w:rPr>
        <w:t>Pope, and Xie</w:t>
      </w:r>
      <w:r w:rsidR="006C147E">
        <w:t xml:space="preserve"> </w:t>
      </w:r>
      <w:r>
        <w:t xml:space="preserve">(2013) </w:t>
      </w:r>
      <w:r w:rsidRPr="00F4243E">
        <w:t>find a neg</w:t>
      </w:r>
      <w:r>
        <w:t>ative relationship between</w:t>
      </w:r>
      <w:r w:rsidRPr="00F4243E">
        <w:t xml:space="preserve"> contingent commissions’ </w:t>
      </w:r>
      <w:r>
        <w:t xml:space="preserve">usage </w:t>
      </w:r>
      <w:r w:rsidRPr="00F4243E">
        <w:t xml:space="preserve">and levels of </w:t>
      </w:r>
      <w:r>
        <w:t xml:space="preserve">firm </w:t>
      </w:r>
      <w:r w:rsidRPr="00F4243E">
        <w:t>performance</w:t>
      </w:r>
      <w:r>
        <w:t xml:space="preserve"> using </w:t>
      </w:r>
      <w:r w:rsidR="003B4B32">
        <w:t xml:space="preserve">an </w:t>
      </w:r>
      <w:r>
        <w:t>efficiency</w:t>
      </w:r>
      <w:r w:rsidR="003B4B32">
        <w:t xml:space="preserve"> model</w:t>
      </w:r>
      <w:r>
        <w:t xml:space="preserve">. </w:t>
      </w:r>
      <w:r w:rsidR="003B4B32">
        <w:t xml:space="preserve">However, </w:t>
      </w:r>
      <w:r w:rsidR="006C147E">
        <w:t xml:space="preserve">Ma, </w:t>
      </w:r>
      <w:r w:rsidR="006C147E">
        <w:rPr>
          <w:rFonts w:cs="Times New Roman"/>
        </w:rPr>
        <w:t>Pope, and Xie</w:t>
      </w:r>
      <w:r w:rsidR="006C147E">
        <w:t xml:space="preserve"> </w:t>
      </w:r>
      <w:r w:rsidR="003B4B32">
        <w:t xml:space="preserve">(2013) also find that </w:t>
      </w:r>
      <w:r w:rsidR="003B4B32" w:rsidRPr="00F4243E">
        <w:t xml:space="preserve">higher levels of use of contingent commissions are associated with higher levels of </w:t>
      </w:r>
      <w:r w:rsidR="003B4B32">
        <w:t xml:space="preserve">firm </w:t>
      </w:r>
      <w:r w:rsidR="003B4B32" w:rsidRPr="00F4243E">
        <w:t>performance</w:t>
      </w:r>
      <w:r w:rsidR="003B4B32">
        <w:t xml:space="preserve">. In addition, </w:t>
      </w:r>
      <w:r w:rsidR="006C147E">
        <w:t xml:space="preserve">Ma, </w:t>
      </w:r>
      <w:r w:rsidR="006C147E">
        <w:rPr>
          <w:rFonts w:cs="Times New Roman"/>
        </w:rPr>
        <w:t>Pope, and Xie</w:t>
      </w:r>
      <w:r w:rsidR="006C147E">
        <w:t xml:space="preserve"> </w:t>
      </w:r>
      <w:r w:rsidR="003B4B32">
        <w:t xml:space="preserve">(2014) </w:t>
      </w:r>
      <w:r w:rsidR="003B4B32" w:rsidRPr="003B4B32">
        <w:t>suggest that the decision to abandon the use of contingent commissions after 2004 is associated with decreases in insurer performance</w:t>
      </w:r>
      <w:r w:rsidR="003B4B32">
        <w:t xml:space="preserve">. </w:t>
      </w:r>
      <w:r w:rsidR="003B4B32" w:rsidRPr="003B4B32">
        <w:lastRenderedPageBreak/>
        <w:t xml:space="preserve">Regan and Kleffner (2010) </w:t>
      </w:r>
      <w:r w:rsidR="003B4B32">
        <w:t xml:space="preserve">report similar findings, stating that </w:t>
      </w:r>
      <w:r w:rsidR="003B4B32" w:rsidRPr="003B4B32">
        <w:t>contingent commissions are associated with improved insurer underwriting performance using data from 2001 to 2005, the period around the Spitzer suit against Marsh.</w:t>
      </w:r>
      <w:r w:rsidR="003B4B32">
        <w:t xml:space="preserve"> </w:t>
      </w:r>
      <w:r w:rsidR="003B4B32" w:rsidRPr="00356C78">
        <w:t xml:space="preserve">However, one problem remains unsolved in their research. Contingent commission use may be possibly due to self-selection, which can result in potential bias of the estimated coefficients. The purpose of my research is to examine the relationship between contingent commission use and underwriting performance after controlling for self-selection bias using the most recent data. </w:t>
      </w:r>
    </w:p>
    <w:p w14:paraId="7C50F241" w14:textId="5FFB62D5" w:rsidR="006C147E" w:rsidRPr="006C147E" w:rsidRDefault="006C147E" w:rsidP="006C147E">
      <w:pPr>
        <w:ind w:firstLine="0"/>
        <w:rPr>
          <w:b/>
        </w:rPr>
      </w:pPr>
      <w:r>
        <w:rPr>
          <w:b/>
        </w:rPr>
        <w:t xml:space="preserve">2.2. </w:t>
      </w:r>
      <w:r w:rsidRPr="00356C78">
        <w:rPr>
          <w:b/>
        </w:rPr>
        <w:t>Hypothesis</w:t>
      </w:r>
      <w:r>
        <w:rPr>
          <w:b/>
        </w:rPr>
        <w:t xml:space="preserve"> Development</w:t>
      </w:r>
    </w:p>
    <w:p w14:paraId="6C853AB7" w14:textId="77777777" w:rsidR="00E01303" w:rsidRPr="00356C78" w:rsidRDefault="00E01303" w:rsidP="004773D8">
      <w:r w:rsidRPr="00356C78">
        <w:t xml:space="preserve">It is important to study the effectiveness of contingent commission use on improving underwriting performance. </w:t>
      </w:r>
      <w:r w:rsidR="007D2467">
        <w:t xml:space="preserve">The largest brokers were banned from using contingent commissions as part of their incentive compensation scheme after the Spitzer suit against Marsh. However, smaller brokers kept receiving contingent commissions, which raised concerns on possible consequences in insurance market. Moreover, </w:t>
      </w:r>
      <w:r w:rsidR="00B64C4A">
        <w:t xml:space="preserve">prior literature prove that contingent commission could better align the incentives of agents and insurers, resulting in a higher level of efficiency in insurance industry. In 2010, regulators changes the terms of contingent commissions’ usage for the top brokers. </w:t>
      </w:r>
      <w:r w:rsidRPr="00356C78">
        <w:t>“Among the top brokers, Marsh refuses to take contingent commissions for clients in its core U.S. brokerage business but does accept them in its agency and consumer business. Aon, after the ban was lifted in 2010, said it would accep</w:t>
      </w:r>
      <w:r w:rsidR="0020238F">
        <w:t>t contingent commissions where ‘</w:t>
      </w:r>
      <w:r w:rsidRPr="00356C78">
        <w:t>appr</w:t>
      </w:r>
      <w:r w:rsidR="0020238F">
        <w:t>opriate and legally permissible’.</w:t>
      </w:r>
      <w:r w:rsidRPr="00356C78">
        <w:t xml:space="preserve"> Willis does not accept contingent commissions on its retail property/casualty business but began accepting them on employee benefit business as of April 1. Gallagher automatically discloses any supplement</w:t>
      </w:r>
      <w:r w:rsidR="0020238F">
        <w:t>al income paid by underwriters</w:t>
      </w:r>
      <w:r w:rsidR="00836457">
        <w:rPr>
          <w:rFonts w:hint="eastAsia"/>
        </w:rPr>
        <w:t>.</w:t>
      </w:r>
      <w:r w:rsidR="0020238F">
        <w:t>”</w:t>
      </w:r>
      <w:r w:rsidR="00A7730C">
        <w:rPr>
          <w:rStyle w:val="FootnoteReference"/>
        </w:rPr>
        <w:footnoteReference w:id="1"/>
      </w:r>
      <w:r w:rsidRPr="00356C78">
        <w:t xml:space="preserve">Thus, this is a good time point to examine the effectiveness of contingent commission use on </w:t>
      </w:r>
      <w:r w:rsidRPr="00356C78">
        <w:lastRenderedPageBreak/>
        <w:t>improving underwriting performance.</w:t>
      </w:r>
    </w:p>
    <w:p w14:paraId="4E2A794A" w14:textId="77777777" w:rsidR="00B82D7A" w:rsidRDefault="00B82D7A" w:rsidP="004773D8">
      <w:pPr>
        <w:rPr>
          <w:sz w:val="23"/>
          <w:szCs w:val="23"/>
        </w:rPr>
      </w:pPr>
      <w:r>
        <w:rPr>
          <w:sz w:val="23"/>
          <w:szCs w:val="23"/>
        </w:rPr>
        <w:t>According to the fact that</w:t>
      </w:r>
      <w:r w:rsidR="00E01303" w:rsidRPr="00356C78">
        <w:rPr>
          <w:sz w:val="23"/>
          <w:szCs w:val="23"/>
        </w:rPr>
        <w:t xml:space="preserve"> contingent commissions </w:t>
      </w:r>
      <w:r>
        <w:rPr>
          <w:sz w:val="23"/>
          <w:szCs w:val="23"/>
        </w:rPr>
        <w:t xml:space="preserve">offer a </w:t>
      </w:r>
      <w:r w:rsidR="00E01303" w:rsidRPr="00356C78">
        <w:rPr>
          <w:sz w:val="23"/>
          <w:szCs w:val="23"/>
        </w:rPr>
        <w:t xml:space="preserve">better risk selection and better matching of client risk </w:t>
      </w:r>
      <w:r>
        <w:rPr>
          <w:sz w:val="23"/>
          <w:szCs w:val="23"/>
        </w:rPr>
        <w:t>type with insurer risk appetite,</w:t>
      </w:r>
      <w:r w:rsidR="00E01303" w:rsidRPr="00356C78">
        <w:rPr>
          <w:sz w:val="23"/>
          <w:szCs w:val="23"/>
        </w:rPr>
        <w:t xml:space="preserve"> I </w:t>
      </w:r>
      <w:r>
        <w:rPr>
          <w:sz w:val="23"/>
          <w:szCs w:val="23"/>
        </w:rPr>
        <w:t>develop the following hypotheses:</w:t>
      </w:r>
    </w:p>
    <w:p w14:paraId="4E7BDAA2" w14:textId="7DC1491B" w:rsidR="00B82D7A" w:rsidRDefault="00B82D7A" w:rsidP="008205FC">
      <w:pPr>
        <w:spacing w:line="240" w:lineRule="auto"/>
        <w:ind w:left="720" w:firstLine="0"/>
      </w:pPr>
      <w:r>
        <w:rPr>
          <w:b/>
          <w:i/>
        </w:rPr>
        <w:t>Hypothesi</w:t>
      </w:r>
      <w:r w:rsidRPr="00E526EA">
        <w:rPr>
          <w:b/>
          <w:i/>
        </w:rPr>
        <w:t>s 1:</w:t>
      </w:r>
      <w:r>
        <w:t xml:space="preserve"> </w:t>
      </w:r>
      <w:r>
        <w:rPr>
          <w:sz w:val="23"/>
          <w:szCs w:val="23"/>
        </w:rPr>
        <w:t>I</w:t>
      </w:r>
      <w:r w:rsidRPr="00356C78">
        <w:rPr>
          <w:sz w:val="23"/>
          <w:szCs w:val="23"/>
        </w:rPr>
        <w:t>nsurers paying contingent</w:t>
      </w:r>
      <w:r w:rsidR="006C147E">
        <w:rPr>
          <w:sz w:val="23"/>
          <w:szCs w:val="23"/>
        </w:rPr>
        <w:t xml:space="preserve"> commissions would experience </w:t>
      </w:r>
      <w:r w:rsidRPr="00356C78">
        <w:rPr>
          <w:sz w:val="23"/>
          <w:szCs w:val="23"/>
        </w:rPr>
        <w:t xml:space="preserve">better </w:t>
      </w:r>
      <w:r w:rsidR="008205FC">
        <w:rPr>
          <w:sz w:val="23"/>
          <w:szCs w:val="23"/>
        </w:rPr>
        <w:t xml:space="preserve">  </w:t>
      </w:r>
      <w:r w:rsidRPr="00356C78">
        <w:rPr>
          <w:sz w:val="23"/>
          <w:szCs w:val="23"/>
        </w:rPr>
        <w:t>underwriting performance</w:t>
      </w:r>
      <w:r>
        <w:t>.</w:t>
      </w:r>
    </w:p>
    <w:p w14:paraId="007F4F06" w14:textId="77777777" w:rsidR="00B82D7A" w:rsidRDefault="00B82D7A" w:rsidP="004773D8">
      <w:pPr>
        <w:spacing w:line="240" w:lineRule="auto"/>
      </w:pPr>
    </w:p>
    <w:p w14:paraId="2F074850" w14:textId="77777777" w:rsidR="00B82D7A" w:rsidRDefault="00B82D7A" w:rsidP="008205FC">
      <w:pPr>
        <w:spacing w:line="240" w:lineRule="auto"/>
        <w:ind w:left="720" w:firstLine="0"/>
        <w:rPr>
          <w:sz w:val="23"/>
          <w:szCs w:val="23"/>
        </w:rPr>
      </w:pPr>
      <w:r w:rsidRPr="00E526EA">
        <w:rPr>
          <w:b/>
          <w:i/>
        </w:rPr>
        <w:t>Hypothesis 2:</w:t>
      </w:r>
      <w:r>
        <w:t xml:space="preserve">  </w:t>
      </w:r>
      <w:r>
        <w:rPr>
          <w:sz w:val="23"/>
          <w:szCs w:val="23"/>
        </w:rPr>
        <w:t>T</w:t>
      </w:r>
      <w:r w:rsidR="00E01303" w:rsidRPr="00356C78">
        <w:rPr>
          <w:sz w:val="23"/>
          <w:szCs w:val="23"/>
        </w:rPr>
        <w:t xml:space="preserve">he underwriting performance would further improve as the percentage of contingent commissions paid increase.  </w:t>
      </w:r>
    </w:p>
    <w:p w14:paraId="456DE235" w14:textId="77777777" w:rsidR="00B82D7A" w:rsidRDefault="00B82D7A" w:rsidP="004773D8">
      <w:pPr>
        <w:spacing w:line="240" w:lineRule="auto"/>
        <w:rPr>
          <w:sz w:val="23"/>
          <w:szCs w:val="23"/>
        </w:rPr>
      </w:pPr>
    </w:p>
    <w:p w14:paraId="238BD2A0" w14:textId="77777777" w:rsidR="00B82D7A" w:rsidRPr="00B82D7A" w:rsidRDefault="00E01303" w:rsidP="004773D8">
      <w:r w:rsidRPr="00356C78">
        <w:t xml:space="preserve">Following Regan and Kleffner (2010), I measure underwriting performance using the loss </w:t>
      </w:r>
      <w:r w:rsidR="00D9112C">
        <w:t>ratio and</w:t>
      </w:r>
      <w:r w:rsidRPr="00356C78">
        <w:t xml:space="preserve"> the combined ratio. </w:t>
      </w:r>
      <w:r w:rsidR="007F2016">
        <w:t>The l</w:t>
      </w:r>
      <w:r w:rsidR="00B64C4A">
        <w:t xml:space="preserve">oss ratio is defined as the sum of the total losses incurred and adjustment expenses divided by total premiums earned. </w:t>
      </w:r>
      <w:r w:rsidR="007F2016">
        <w:t>The loss ratio indicates whether an insurer collects enough premiums to pay in claims. Thus,</w:t>
      </w:r>
      <w:r w:rsidR="007F2016" w:rsidRPr="007F2016">
        <w:t xml:space="preserve"> </w:t>
      </w:r>
      <w:r w:rsidR="007F2016">
        <w:t>insurers</w:t>
      </w:r>
      <w:r w:rsidR="007F2016" w:rsidRPr="007F2016">
        <w:t xml:space="preserve"> that have high loss claims </w:t>
      </w:r>
      <w:r w:rsidR="007F2016">
        <w:t>suggests possible</w:t>
      </w:r>
      <w:r w:rsidR="007F2016" w:rsidRPr="007F2016">
        <w:t xml:space="preserve"> financial trouble</w:t>
      </w:r>
      <w:r w:rsidR="007F2016">
        <w:t>s</w:t>
      </w:r>
      <w:r w:rsidR="007F2016" w:rsidRPr="007F2016">
        <w:t>.</w:t>
      </w:r>
      <w:r w:rsidR="007F2016">
        <w:t xml:space="preserve"> The combined ratio is measured as the sum of the loss ratio and the expense ratio. A lower combined ratio indicates a better underwriting performance. </w:t>
      </w:r>
      <w:r w:rsidR="00451C16">
        <w:t xml:space="preserve">If a better underwriting performance is associated with the contingent commissions’ usage, a lower loss ratio should be found for insurers using contingent commissions. However, if the saving from improved loss performance cannot be offset by the increased underwriting costs caused by contingent commission payments, a higher combined ratio would be found for contingent commission users. Therefore, a lower loss ratio as well as a lower combined ratio is expected for insurers using contingent commissions in their compensation scheme. </w:t>
      </w:r>
    </w:p>
    <w:p w14:paraId="461C0B4F" w14:textId="77777777" w:rsidR="00E01303" w:rsidRPr="00356C78" w:rsidRDefault="00E01303" w:rsidP="004773D8">
      <w:pPr>
        <w:ind w:firstLine="0"/>
        <w:rPr>
          <w:b/>
          <w:sz w:val="23"/>
          <w:szCs w:val="23"/>
        </w:rPr>
      </w:pPr>
      <w:r w:rsidRPr="00356C78">
        <w:rPr>
          <w:b/>
          <w:sz w:val="23"/>
          <w:szCs w:val="23"/>
        </w:rPr>
        <w:t>3. Methodology</w:t>
      </w:r>
      <w:r w:rsidR="00BD46D6" w:rsidRPr="00356C78">
        <w:rPr>
          <w:b/>
          <w:sz w:val="23"/>
          <w:szCs w:val="23"/>
        </w:rPr>
        <w:t xml:space="preserve"> &amp; Variables</w:t>
      </w:r>
    </w:p>
    <w:p w14:paraId="3CEA9E9B" w14:textId="7B1E99B3" w:rsidR="00BD46D6" w:rsidRPr="00356C78" w:rsidRDefault="00BD46D6" w:rsidP="004773D8">
      <w:pPr>
        <w:ind w:firstLine="0"/>
        <w:rPr>
          <w:b/>
          <w:sz w:val="23"/>
          <w:szCs w:val="23"/>
        </w:rPr>
      </w:pPr>
      <w:r w:rsidRPr="00356C78">
        <w:rPr>
          <w:b/>
          <w:sz w:val="23"/>
          <w:szCs w:val="23"/>
        </w:rPr>
        <w:t>3.1</w:t>
      </w:r>
      <w:r w:rsidR="006C147E">
        <w:rPr>
          <w:b/>
          <w:sz w:val="23"/>
          <w:szCs w:val="23"/>
        </w:rPr>
        <w:t>.</w:t>
      </w:r>
      <w:r w:rsidRPr="00356C78">
        <w:rPr>
          <w:b/>
          <w:sz w:val="23"/>
          <w:szCs w:val="23"/>
        </w:rPr>
        <w:t xml:space="preserve"> Methodology</w:t>
      </w:r>
    </w:p>
    <w:p w14:paraId="0FD37009" w14:textId="135E4C33" w:rsidR="00837590" w:rsidRPr="00356C78" w:rsidRDefault="001C1B93" w:rsidP="004773D8">
      <w:pPr>
        <w:ind w:firstLine="0"/>
        <w:rPr>
          <w:sz w:val="23"/>
          <w:szCs w:val="23"/>
        </w:rPr>
      </w:pPr>
      <w:r w:rsidRPr="00356C78">
        <w:rPr>
          <w:b/>
          <w:sz w:val="23"/>
          <w:szCs w:val="23"/>
        </w:rPr>
        <w:tab/>
      </w:r>
      <w:r w:rsidRPr="00356C78">
        <w:rPr>
          <w:szCs w:val="24"/>
        </w:rPr>
        <w:t xml:space="preserve">The primary objective of this study is to examine the relationship between contingent commissions use and insurers’ underwriting performance. </w:t>
      </w:r>
      <w:r w:rsidR="008C1866">
        <w:rPr>
          <w:szCs w:val="24"/>
        </w:rPr>
        <w:t xml:space="preserve">I hypothesize that if agents exercise discretion in underwriting because of incentives provided by contingent commission payments, and therefore get better risk selection and better matching of client risk type with insurers’ risk </w:t>
      </w:r>
      <w:r w:rsidR="008C1866">
        <w:rPr>
          <w:szCs w:val="24"/>
        </w:rPr>
        <w:lastRenderedPageBreak/>
        <w:t xml:space="preserve">appetite, then insurers using contingent commissions will experience better underwriting results on average. </w:t>
      </w:r>
      <w:r w:rsidR="006B7821">
        <w:rPr>
          <w:szCs w:val="24"/>
        </w:rPr>
        <w:t>Thus, t</w:t>
      </w:r>
      <w:r w:rsidRPr="00356C78">
        <w:rPr>
          <w:szCs w:val="24"/>
        </w:rPr>
        <w:t xml:space="preserve">he expected result is that the use of contingent commissions improves underwriting performance, and underwriting performance increases as the ratio of contingent commissions to total commissions paid increases.  </w:t>
      </w:r>
      <w:r w:rsidR="00837590" w:rsidRPr="00356C78">
        <w:rPr>
          <w:szCs w:val="24"/>
        </w:rPr>
        <w:t>An OLS regression is used with underwriting performance measure</w:t>
      </w:r>
      <w:r w:rsidR="006C147E">
        <w:rPr>
          <w:szCs w:val="24"/>
        </w:rPr>
        <w:t xml:space="preserve"> </w:t>
      </w:r>
      <w:r w:rsidR="00837590" w:rsidRPr="00356C78">
        <w:rPr>
          <w:szCs w:val="24"/>
        </w:rPr>
        <w:t>as the dependent variable and contingent commission use/ratio of contingent commissions to total commissions paid</w:t>
      </w:r>
      <w:r w:rsidR="00837590" w:rsidRPr="00356C78">
        <w:rPr>
          <w:sz w:val="23"/>
          <w:szCs w:val="23"/>
        </w:rPr>
        <w:t xml:space="preserve"> as the variable of interest while controlling for other variables.</w:t>
      </w:r>
    </w:p>
    <w:p w14:paraId="3D7DC6F0" w14:textId="22AA3B79" w:rsidR="00837590" w:rsidRPr="00356C78" w:rsidRDefault="00837590" w:rsidP="004773D8">
      <w:r w:rsidRPr="00356C78">
        <w:t xml:space="preserve"> </w:t>
      </w:r>
      <w:r w:rsidR="007906B8">
        <w:t>The study uses two</w:t>
      </w:r>
      <w:r w:rsidRPr="00356C78">
        <w:t xml:space="preserve"> measures of underwriting performance. </w:t>
      </w:r>
      <w:r w:rsidR="00254436" w:rsidRPr="00356C78">
        <w:t>The loss ratio is measured as the sum of incurred losses and loss adjustment expenses divided by net premiums earned.  This ratio measures the company's underlying profitability on its total book of business. The combined ratio is measured as the sum of t</w:t>
      </w:r>
      <w:r w:rsidR="00376B65" w:rsidRPr="00356C78">
        <w:t>he loss ratio and expense ratio.</w:t>
      </w:r>
      <w:r w:rsidR="00254436" w:rsidRPr="00356C78">
        <w:t xml:space="preserve">  This ratio measures a company's overall</w:t>
      </w:r>
      <w:r w:rsidR="00376B65" w:rsidRPr="00356C78">
        <w:t xml:space="preserve"> underwriting profitability.  The </w:t>
      </w:r>
      <w:r w:rsidR="00254436" w:rsidRPr="00356C78">
        <w:t>natural logarithm value</w:t>
      </w:r>
      <w:r w:rsidR="00376B65" w:rsidRPr="00356C78">
        <w:t>s</w:t>
      </w:r>
      <w:r w:rsidR="00254436" w:rsidRPr="00356C78">
        <w:t xml:space="preserve"> of these two ratios are used in </w:t>
      </w:r>
      <w:r w:rsidR="00376B65" w:rsidRPr="00356C78">
        <w:t>the estimation because both of the ratios</w:t>
      </w:r>
      <w:r w:rsidR="00254436" w:rsidRPr="00356C78">
        <w:t xml:space="preserve"> are highly skewed. </w:t>
      </w:r>
      <w:r w:rsidR="008C1866">
        <w:t xml:space="preserve">I will test other performance measures in further study, including </w:t>
      </w:r>
      <w:r w:rsidR="006B7821">
        <w:t>ROA and</w:t>
      </w:r>
      <w:r w:rsidR="008C1866">
        <w:t xml:space="preserve"> ROE</w:t>
      </w:r>
      <w:r w:rsidR="006B7821">
        <w:t>, to examine the effect of contingent commission usage in improving firm performance</w:t>
      </w:r>
      <w:r w:rsidR="008C1866">
        <w:t xml:space="preserve"> </w:t>
      </w:r>
      <w:r w:rsidR="006B7821">
        <w:t xml:space="preserve">in a wide way. </w:t>
      </w:r>
      <w:r w:rsidR="00376B65" w:rsidRPr="00356C78">
        <w:t>To test my hypothesis, the following regressions are estimated:</w:t>
      </w:r>
    </w:p>
    <w:p w14:paraId="1D45AB79" w14:textId="77777777" w:rsidR="00E01303" w:rsidRPr="00356C78" w:rsidRDefault="00D23C2E" w:rsidP="004773D8">
      <w:pPr>
        <w:rPr>
          <w:rFonts w:cs="Times New Roman"/>
        </w:rPr>
      </w:pPr>
      <m:oMath>
        <m:sSub>
          <m:sSubPr>
            <m:ctrlPr>
              <w:rPr>
                <w:rFonts w:ascii="Cambria Math" w:hAnsi="Cambria Math" w:cs="Times New Roman"/>
              </w:rPr>
            </m:ctrlPr>
          </m:sSubPr>
          <m:e>
            <m:r>
              <m:rPr>
                <m:sty m:val="p"/>
              </m:rPr>
              <w:rPr>
                <w:rFonts w:ascii="Cambria Math" w:hAnsi="Cambria Math" w:cs="Times New Roman"/>
              </w:rPr>
              <m:t>LossRatio</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UseCont</m:t>
            </m:r>
          </m:e>
          <m:sub>
            <m:r>
              <m:rPr>
                <m:sty m:val="p"/>
              </m:rPr>
              <w:rPr>
                <w:rFonts w:ascii="Cambria Math" w:hAnsi="Cambria Math" w:cs="Times New Roman"/>
              </w:rPr>
              <m:t>it</m:t>
            </m:r>
          </m:sub>
        </m:sSub>
        <m:r>
          <m:rPr>
            <m:sty m:val="p"/>
          </m:rPr>
          <w:rPr>
            <w:rFonts w:ascii="Cambria Math" w:hAnsi="Cambria Math" w:cs="Times New Roman"/>
          </w:rPr>
          <m:t>+βX+</m:t>
        </m:r>
        <m:sSub>
          <m:sSubPr>
            <m:ctrlPr>
              <w:rPr>
                <w:rFonts w:ascii="Cambria Math" w:hAnsi="Cambria Math" w:cs="Times New Roman"/>
              </w:rPr>
            </m:ctrlPr>
          </m:sSubPr>
          <m:e>
            <m:r>
              <m:rPr>
                <m:sty m:val="p"/>
              </m:rPr>
              <w:rPr>
                <w:rFonts w:ascii="Cambria Math" w:hAnsi="Cambria Math" w:cs="Times New Roman"/>
              </w:rPr>
              <m:t>ε</m:t>
            </m:r>
          </m:e>
          <m:sub>
            <m:r>
              <m:rPr>
                <m:sty m:val="p"/>
              </m:rPr>
              <w:rPr>
                <w:rFonts w:ascii="Cambria Math" w:hAnsi="Cambria Math" w:cs="Times New Roman"/>
              </w:rPr>
              <m:t>it</m:t>
            </m:r>
          </m:sub>
        </m:sSub>
      </m:oMath>
      <w:r w:rsidR="00E01303" w:rsidRPr="00356C78">
        <w:rPr>
          <w:rFonts w:cs="Times New Roman"/>
        </w:rPr>
        <w:t xml:space="preserve">                                                              </w:t>
      </w:r>
      <w:r w:rsidR="00275EDD" w:rsidRPr="00356C78">
        <w:rPr>
          <w:rFonts w:cs="Times New Roman"/>
        </w:rPr>
        <w:t xml:space="preserve">    </w:t>
      </w:r>
      <w:r w:rsidR="00E01303" w:rsidRPr="00356C78">
        <w:rPr>
          <w:rFonts w:cs="Times New Roman"/>
        </w:rPr>
        <w:t xml:space="preserve"> (1)</w:t>
      </w:r>
    </w:p>
    <w:p w14:paraId="14D002F9" w14:textId="77777777" w:rsidR="00E01303" w:rsidRPr="00356C78" w:rsidRDefault="00D23C2E" w:rsidP="004773D8">
      <w:pPr>
        <w:rPr>
          <w:rFonts w:cs="Times New Roman"/>
        </w:rPr>
      </w:pPr>
      <m:oMath>
        <m:sSub>
          <m:sSubPr>
            <m:ctrlPr>
              <w:rPr>
                <w:rFonts w:ascii="Cambria Math" w:hAnsi="Cambria Math" w:cs="Times New Roman"/>
              </w:rPr>
            </m:ctrlPr>
          </m:sSubPr>
          <m:e>
            <m:r>
              <m:rPr>
                <m:sty m:val="p"/>
              </m:rPr>
              <w:rPr>
                <w:rFonts w:ascii="Cambria Math" w:hAnsi="Cambria Math" w:cs="Times New Roman"/>
              </w:rPr>
              <m:t>CombinedRatio</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UseCont</m:t>
            </m:r>
          </m:e>
          <m:sub>
            <m:r>
              <m:rPr>
                <m:sty m:val="p"/>
              </m:rPr>
              <w:rPr>
                <w:rFonts w:ascii="Cambria Math" w:hAnsi="Cambria Math" w:cs="Times New Roman"/>
              </w:rPr>
              <m:t>it</m:t>
            </m:r>
          </m:sub>
        </m:sSub>
        <m:r>
          <m:rPr>
            <m:sty m:val="p"/>
          </m:rPr>
          <w:rPr>
            <w:rFonts w:ascii="Cambria Math" w:hAnsi="Cambria Math" w:cs="Times New Roman"/>
          </w:rPr>
          <m:t>+βX+</m:t>
        </m:r>
        <m:sSub>
          <m:sSubPr>
            <m:ctrlPr>
              <w:rPr>
                <w:rFonts w:ascii="Cambria Math" w:hAnsi="Cambria Math" w:cs="Times New Roman"/>
              </w:rPr>
            </m:ctrlPr>
          </m:sSubPr>
          <m:e>
            <m:r>
              <m:rPr>
                <m:sty m:val="p"/>
              </m:rPr>
              <w:rPr>
                <w:rFonts w:ascii="Cambria Math" w:hAnsi="Cambria Math" w:cs="Times New Roman"/>
              </w:rPr>
              <m:t>ε</m:t>
            </m:r>
          </m:e>
          <m:sub>
            <m:r>
              <m:rPr>
                <m:sty m:val="p"/>
              </m:rPr>
              <w:rPr>
                <w:rFonts w:ascii="Cambria Math" w:hAnsi="Cambria Math" w:cs="Times New Roman"/>
              </w:rPr>
              <m:t>it</m:t>
            </m:r>
          </m:sub>
        </m:sSub>
      </m:oMath>
      <w:r w:rsidR="00E01303" w:rsidRPr="00356C78">
        <w:rPr>
          <w:rFonts w:cs="Times New Roman"/>
        </w:rPr>
        <w:t xml:space="preserve">                                                    </w:t>
      </w:r>
      <w:r w:rsidR="00275EDD" w:rsidRPr="00356C78">
        <w:rPr>
          <w:rFonts w:cs="Times New Roman"/>
        </w:rPr>
        <w:t xml:space="preserve">    </w:t>
      </w:r>
      <w:r w:rsidR="00E01303" w:rsidRPr="00356C78">
        <w:rPr>
          <w:rFonts w:cs="Times New Roman"/>
        </w:rPr>
        <w:t xml:space="preserve"> (2)</w:t>
      </w:r>
    </w:p>
    <w:p w14:paraId="0B0EBEE9" w14:textId="77777777" w:rsidR="00E01303" w:rsidRPr="00356C78" w:rsidRDefault="00D23C2E" w:rsidP="004773D8">
      <w:pPr>
        <w:rPr>
          <w:rFonts w:cs="Times New Roman"/>
        </w:rPr>
      </w:pPr>
      <m:oMath>
        <m:sSub>
          <m:sSubPr>
            <m:ctrlPr>
              <w:rPr>
                <w:rFonts w:ascii="Cambria Math" w:hAnsi="Cambria Math" w:cs="Times New Roman"/>
              </w:rPr>
            </m:ctrlPr>
          </m:sSubPr>
          <m:e>
            <m:r>
              <m:rPr>
                <m:sty m:val="p"/>
              </m:rPr>
              <w:rPr>
                <w:rFonts w:ascii="Cambria Math" w:hAnsi="Cambria Math" w:cs="Times New Roman"/>
              </w:rPr>
              <m:t>LossRatio</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Cont</m:t>
            </m:r>
          </m:e>
          <m:sub>
            <m:r>
              <m:rPr>
                <m:sty m:val="p"/>
              </m:rPr>
              <w:rPr>
                <w:rFonts w:ascii="Cambria Math" w:hAnsi="Cambria Math" w:cs="Times New Roman"/>
              </w:rPr>
              <m:t>it</m:t>
            </m:r>
          </m:sub>
        </m:sSub>
        <m:r>
          <m:rPr>
            <m:sty m:val="p"/>
          </m:rPr>
          <w:rPr>
            <w:rFonts w:ascii="Cambria Math" w:hAnsi="Cambria Math" w:cs="Times New Roman"/>
          </w:rPr>
          <m:t>+βX+</m:t>
        </m:r>
        <m:sSub>
          <m:sSubPr>
            <m:ctrlPr>
              <w:rPr>
                <w:rFonts w:ascii="Cambria Math" w:hAnsi="Cambria Math" w:cs="Times New Roman"/>
              </w:rPr>
            </m:ctrlPr>
          </m:sSubPr>
          <m:e>
            <m:r>
              <m:rPr>
                <m:sty m:val="p"/>
              </m:rPr>
              <w:rPr>
                <w:rFonts w:ascii="Cambria Math" w:hAnsi="Cambria Math" w:cs="Times New Roman"/>
              </w:rPr>
              <m:t>ε</m:t>
            </m:r>
          </m:e>
          <m:sub>
            <m:r>
              <m:rPr>
                <m:sty m:val="p"/>
              </m:rPr>
              <w:rPr>
                <w:rFonts w:ascii="Cambria Math" w:hAnsi="Cambria Math" w:cs="Times New Roman"/>
              </w:rPr>
              <m:t>it</m:t>
            </m:r>
          </m:sub>
        </m:sSub>
      </m:oMath>
      <w:r w:rsidR="00E01303" w:rsidRPr="00356C78">
        <w:rPr>
          <w:rFonts w:cs="Times New Roman"/>
        </w:rPr>
        <w:t xml:space="preserve">                                                                   </w:t>
      </w:r>
      <w:r w:rsidR="00275EDD" w:rsidRPr="00356C78">
        <w:rPr>
          <w:rFonts w:cs="Times New Roman"/>
        </w:rPr>
        <w:t xml:space="preserve">    </w:t>
      </w:r>
      <w:r w:rsidR="00E01303" w:rsidRPr="00356C78">
        <w:rPr>
          <w:rFonts w:cs="Times New Roman"/>
        </w:rPr>
        <w:t xml:space="preserve">  (</w:t>
      </w:r>
      <w:r w:rsidR="00E323CA">
        <w:rPr>
          <w:rFonts w:cs="Times New Roman"/>
        </w:rPr>
        <w:t>3</w:t>
      </w:r>
      <w:r w:rsidR="00E01303" w:rsidRPr="00356C78">
        <w:rPr>
          <w:rFonts w:cs="Times New Roman"/>
        </w:rPr>
        <w:t>)</w:t>
      </w:r>
    </w:p>
    <w:p w14:paraId="4FBEA9D0" w14:textId="77777777" w:rsidR="00E01303" w:rsidRPr="00356C78" w:rsidRDefault="00D23C2E" w:rsidP="004773D8">
      <w:pPr>
        <w:rPr>
          <w:rFonts w:cs="Times New Roman"/>
        </w:rPr>
      </w:pPr>
      <m:oMath>
        <m:sSub>
          <m:sSubPr>
            <m:ctrlPr>
              <w:rPr>
                <w:rFonts w:ascii="Cambria Math" w:hAnsi="Cambria Math" w:cs="Times New Roman"/>
              </w:rPr>
            </m:ctrlPr>
          </m:sSubPr>
          <m:e>
            <m:r>
              <m:rPr>
                <m:sty m:val="p"/>
              </m:rPr>
              <w:rPr>
                <w:rFonts w:ascii="Cambria Math" w:hAnsi="Cambria Math" w:cs="Times New Roman"/>
              </w:rPr>
              <m:t>CombinedRatio</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Cont</m:t>
            </m:r>
          </m:e>
          <m:sub>
            <m:r>
              <m:rPr>
                <m:sty m:val="p"/>
              </m:rPr>
              <w:rPr>
                <w:rFonts w:ascii="Cambria Math" w:hAnsi="Cambria Math" w:cs="Times New Roman"/>
              </w:rPr>
              <m:t>it</m:t>
            </m:r>
          </m:sub>
        </m:sSub>
        <m:r>
          <m:rPr>
            <m:sty m:val="p"/>
          </m:rPr>
          <w:rPr>
            <w:rFonts w:ascii="Cambria Math" w:hAnsi="Cambria Math" w:cs="Times New Roman"/>
          </w:rPr>
          <m:t>+βX+</m:t>
        </m:r>
        <m:sSub>
          <m:sSubPr>
            <m:ctrlPr>
              <w:rPr>
                <w:rFonts w:ascii="Cambria Math" w:hAnsi="Cambria Math" w:cs="Times New Roman"/>
              </w:rPr>
            </m:ctrlPr>
          </m:sSubPr>
          <m:e>
            <m:r>
              <m:rPr>
                <m:sty m:val="p"/>
              </m:rPr>
              <w:rPr>
                <w:rFonts w:ascii="Cambria Math" w:hAnsi="Cambria Math" w:cs="Times New Roman"/>
              </w:rPr>
              <m:t>ε</m:t>
            </m:r>
          </m:e>
          <m:sub>
            <m:r>
              <m:rPr>
                <m:sty m:val="p"/>
              </m:rPr>
              <w:rPr>
                <w:rFonts w:ascii="Cambria Math" w:hAnsi="Cambria Math" w:cs="Times New Roman"/>
              </w:rPr>
              <m:t>it</m:t>
            </m:r>
          </m:sub>
        </m:sSub>
      </m:oMath>
      <w:r w:rsidR="00E01303" w:rsidRPr="00356C78">
        <w:rPr>
          <w:rFonts w:cs="Times New Roman"/>
        </w:rPr>
        <w:t xml:space="preserve">                                                          </w:t>
      </w:r>
      <w:r w:rsidR="00275EDD" w:rsidRPr="00356C78">
        <w:rPr>
          <w:rFonts w:cs="Times New Roman"/>
        </w:rPr>
        <w:t xml:space="preserve">    </w:t>
      </w:r>
      <w:r w:rsidR="00E01303" w:rsidRPr="00356C78">
        <w:rPr>
          <w:rFonts w:cs="Times New Roman"/>
        </w:rPr>
        <w:t xml:space="preserve"> (</w:t>
      </w:r>
      <w:r w:rsidR="00E323CA">
        <w:rPr>
          <w:rFonts w:cs="Times New Roman"/>
        </w:rPr>
        <w:t>4</w:t>
      </w:r>
      <w:r w:rsidR="00E01303" w:rsidRPr="00356C78">
        <w:rPr>
          <w:rFonts w:cs="Times New Roman"/>
        </w:rPr>
        <w:t>)</w:t>
      </w:r>
    </w:p>
    <w:p w14:paraId="6085811A" w14:textId="77777777" w:rsidR="00BA00A1" w:rsidRPr="00356C78" w:rsidRDefault="009425C7" w:rsidP="004773D8">
      <w:pPr>
        <w:ind w:firstLine="0"/>
        <w:rPr>
          <w:rFonts w:cs="Times New Roman"/>
        </w:rPr>
      </w:pPr>
      <w:r w:rsidRPr="00356C78">
        <w:rPr>
          <w:rFonts w:cs="Times New Roman"/>
        </w:rPr>
        <w:t>w</w:t>
      </w:r>
      <w:r w:rsidR="00E43467" w:rsidRPr="00356C78">
        <w:rPr>
          <w:rFonts w:cs="Times New Roman"/>
        </w:rPr>
        <w:t>he</w:t>
      </w:r>
      <w:r w:rsidR="00275EDD" w:rsidRPr="00356C78">
        <w:rPr>
          <w:rFonts w:cs="Times New Roman"/>
        </w:rPr>
        <w:t xml:space="preserve">re </w:t>
      </w:r>
      <m:oMath>
        <m:r>
          <m:rPr>
            <m:sty m:val="p"/>
          </m:rPr>
          <w:rPr>
            <w:rFonts w:ascii="Cambria Math" w:hAnsi="Cambria Math" w:cs="Times New Roman"/>
          </w:rPr>
          <m:t xml:space="preserve">LossRatio= </m:t>
        </m:r>
        <m:f>
          <m:fPr>
            <m:type m:val="lin"/>
            <m:ctrlPr>
              <w:rPr>
                <w:rFonts w:ascii="Cambria Math" w:hAnsi="Cambria Math" w:cs="Times New Roman"/>
              </w:rPr>
            </m:ctrlPr>
          </m:fPr>
          <m:num>
            <m:d>
              <m:dPr>
                <m:ctrlPr>
                  <w:rPr>
                    <w:rFonts w:ascii="Cambria Math" w:hAnsi="Cambria Math" w:cs="Times New Roman"/>
                  </w:rPr>
                </m:ctrlPr>
              </m:dPr>
              <m:e>
                <m:r>
                  <m:rPr>
                    <m:sty m:val="p"/>
                  </m:rPr>
                  <w:rPr>
                    <w:rFonts w:ascii="Cambria Math" w:hAnsi="Cambria Math" w:cs="Times New Roman"/>
                  </w:rPr>
                  <m:t>incurred losses + loss adjustment expenses</m:t>
                </m:r>
              </m:e>
            </m:d>
          </m:num>
          <m:den>
            <m:r>
              <m:rPr>
                <m:sty m:val="p"/>
              </m:rPr>
              <w:rPr>
                <w:rFonts w:ascii="Cambria Math" w:hAnsi="Cambria Math" w:cs="Times New Roman"/>
              </w:rPr>
              <m:t>net premiums earned</m:t>
            </m:r>
          </m:den>
        </m:f>
      </m:oMath>
      <w:r w:rsidR="00BA00A1" w:rsidRPr="00356C78">
        <w:rPr>
          <w:rFonts w:cs="Times New Roman"/>
        </w:rPr>
        <w:t>;</w:t>
      </w:r>
    </w:p>
    <w:p w14:paraId="7CB6BBE7" w14:textId="77777777" w:rsidR="00E43467" w:rsidRPr="00356C78" w:rsidRDefault="00BA00A1" w:rsidP="004773D8">
      <w:pPr>
        <w:ind w:firstLine="0"/>
        <w:rPr>
          <w:rFonts w:cs="Times New Roman"/>
        </w:rPr>
      </w:pPr>
      <w:r w:rsidRPr="00356C78">
        <w:rPr>
          <w:rFonts w:cs="Times New Roman"/>
        </w:rPr>
        <w:t xml:space="preserve">         </w:t>
      </w:r>
      <w:r w:rsidR="00E43467" w:rsidRPr="00356C78">
        <w:rPr>
          <w:rFonts w:cs="Times New Roman"/>
        </w:rPr>
        <w:t xml:space="preserve"> </w:t>
      </w:r>
      <w:r w:rsidRPr="00356C78">
        <w:rPr>
          <w:rFonts w:cs="Times New Roman"/>
        </w:rPr>
        <w:t xml:space="preserve">  </w:t>
      </w:r>
      <m:oMath>
        <m:r>
          <m:rPr>
            <m:sty m:val="p"/>
          </m:rPr>
          <w:rPr>
            <w:rFonts w:ascii="Cambria Math" w:hAnsi="Cambria Math" w:cs="Times New Roman"/>
          </w:rPr>
          <m:t>CombinedRatio=loss ratio+expense ratio</m:t>
        </m:r>
      </m:oMath>
    </w:p>
    <w:p w14:paraId="0953779F" w14:textId="77777777" w:rsidR="00E43467" w:rsidRPr="00356C78" w:rsidRDefault="00356C78" w:rsidP="004773D8">
      <w:pPr>
        <w:ind w:left="720" w:firstLine="0"/>
        <w:rPr>
          <w:rFonts w:cs="Times New Roman"/>
        </w:rPr>
      </w:pPr>
      <m:oMath>
        <m:r>
          <m:rPr>
            <m:sty m:val="p"/>
          </m:rPr>
          <w:rPr>
            <w:rFonts w:ascii="Cambria Math" w:hAnsi="Cambria Math" w:cs="Times New Roman"/>
          </w:rPr>
          <m:t>UseCont=1 if an insurer pays any contingent commisions, and 0 otherwise;</m:t>
        </m:r>
      </m:oMath>
      <w:r w:rsidR="00E43467" w:rsidRPr="00356C78">
        <w:rPr>
          <w:rFonts w:cs="Times New Roman"/>
        </w:rPr>
        <w:t xml:space="preserve"> </w:t>
      </w:r>
      <w:r w:rsidR="00BA00A1" w:rsidRPr="00356C78">
        <w:rPr>
          <w:rFonts w:cs="Times New Roman"/>
        </w:rPr>
        <w:t xml:space="preserve">           </w:t>
      </w:r>
      <w:r w:rsidR="00E43467" w:rsidRPr="00356C78">
        <w:rPr>
          <w:rFonts w:cs="Times New Roman"/>
        </w:rPr>
        <w:t xml:space="preserve">     </w:t>
      </w:r>
      <m:oMath>
        <m:r>
          <m:rPr>
            <m:sty m:val="p"/>
          </m:rPr>
          <w:rPr>
            <w:rFonts w:ascii="Cambria Math" w:hAnsi="Cambria Math" w:cs="Times New Roman"/>
          </w:rPr>
          <m:t>Cont=</m:t>
        </m:r>
        <m:f>
          <m:fPr>
            <m:type m:val="lin"/>
            <m:ctrlPr>
              <w:rPr>
                <w:rFonts w:ascii="Cambria Math" w:hAnsi="Cambria Math" w:cs="Times New Roman"/>
              </w:rPr>
            </m:ctrlPr>
          </m:fPr>
          <m:num>
            <m:r>
              <m:rPr>
                <m:sty m:val="p"/>
              </m:rPr>
              <w:rPr>
                <w:rFonts w:ascii="Cambria Math" w:hAnsi="Cambria Math" w:cs="Times New Roman"/>
              </w:rPr>
              <m:t>net contingent commissions</m:t>
            </m:r>
          </m:num>
          <m:den>
            <m:r>
              <m:rPr>
                <m:sty m:val="p"/>
              </m:rPr>
              <w:rPr>
                <w:rFonts w:ascii="Cambria Math" w:hAnsi="Cambria Math" w:cs="Times New Roman"/>
              </w:rPr>
              <m:t>net total commissions</m:t>
            </m:r>
          </m:den>
        </m:f>
      </m:oMath>
      <w:r w:rsidR="00E43467" w:rsidRPr="00356C78">
        <w:rPr>
          <w:rFonts w:cs="Times New Roman"/>
        </w:rPr>
        <w:t>;</w:t>
      </w:r>
    </w:p>
    <w:p w14:paraId="6220B50C" w14:textId="77777777" w:rsidR="00E01303" w:rsidRPr="00356C78" w:rsidRDefault="00BA00A1" w:rsidP="004773D8">
      <w:pPr>
        <w:ind w:firstLine="0"/>
        <w:rPr>
          <w:rFonts w:cs="Times New Roman"/>
        </w:rPr>
      </w:pPr>
      <w:r w:rsidRPr="00356C78">
        <w:rPr>
          <w:rFonts w:cs="Times New Roman"/>
        </w:rPr>
        <w:lastRenderedPageBreak/>
        <w:t xml:space="preserve">           </w:t>
      </w:r>
      <w:r w:rsidR="00E43467" w:rsidRPr="00356C78">
        <w:rPr>
          <w:rFonts w:cs="Times New Roman"/>
        </w:rPr>
        <w:t xml:space="preserve"> </w:t>
      </w:r>
      <m:oMath>
        <m:r>
          <m:rPr>
            <m:sty m:val="p"/>
          </m:rPr>
          <w:rPr>
            <w:rFonts w:ascii="Cambria Math" w:hAnsi="Cambria Math" w:cs="Times New Roman"/>
          </w:rPr>
          <m:t>X=a vector of covaiates affecting underwriting performance.</m:t>
        </m:r>
      </m:oMath>
    </w:p>
    <w:p w14:paraId="4A02D6C1" w14:textId="24E9C70E" w:rsidR="009C1A04" w:rsidRDefault="00301CEE" w:rsidP="004773D8">
      <w:r>
        <w:t>I will also estimate overall regression</w:t>
      </w:r>
      <w:r w:rsidR="009C1A04">
        <w:t>s</w:t>
      </w:r>
      <w:r>
        <w:t xml:space="preserve"> including both the proportion of contingent commission variable and contingent commission usage indicator. </w:t>
      </w:r>
      <w:r w:rsidR="009C1A04">
        <w:t>The regressions are as follows:</w:t>
      </w:r>
    </w:p>
    <w:p w14:paraId="0DD376C9" w14:textId="790F1275" w:rsidR="009C1A04" w:rsidRPr="00356C78" w:rsidRDefault="00D23C2E" w:rsidP="009C1A04">
      <w:pPr>
        <w:rPr>
          <w:rFonts w:cs="Times New Roman"/>
        </w:rPr>
      </w:pPr>
      <m:oMath>
        <m:sSub>
          <m:sSubPr>
            <m:ctrlPr>
              <w:rPr>
                <w:rFonts w:ascii="Cambria Math" w:hAnsi="Cambria Math" w:cs="Times New Roman"/>
              </w:rPr>
            </m:ctrlPr>
          </m:sSubPr>
          <m:e>
            <m:r>
              <m:rPr>
                <m:sty m:val="p"/>
              </m:rPr>
              <w:rPr>
                <w:rFonts w:ascii="Cambria Math" w:hAnsi="Cambria Math" w:cs="Times New Roman"/>
              </w:rPr>
              <m:t>LossRatio</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UseCont</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Cont</m:t>
            </m:r>
          </m:e>
          <m:sub>
            <m:r>
              <m:rPr>
                <m:sty m:val="p"/>
              </m:rPr>
              <w:rPr>
                <w:rFonts w:ascii="Cambria Math" w:hAnsi="Cambria Math" w:cs="Times New Roman"/>
              </w:rPr>
              <m:t>it</m:t>
            </m:r>
          </m:sub>
        </m:sSub>
        <m:r>
          <m:rPr>
            <m:sty m:val="p"/>
          </m:rPr>
          <w:rPr>
            <w:rFonts w:ascii="Cambria Math" w:hAnsi="Cambria Math" w:cs="Times New Roman"/>
          </w:rPr>
          <m:t>+βX+</m:t>
        </m:r>
        <m:sSub>
          <m:sSubPr>
            <m:ctrlPr>
              <w:rPr>
                <w:rFonts w:ascii="Cambria Math" w:hAnsi="Cambria Math" w:cs="Times New Roman"/>
              </w:rPr>
            </m:ctrlPr>
          </m:sSubPr>
          <m:e>
            <m:r>
              <m:rPr>
                <m:sty m:val="p"/>
              </m:rPr>
              <w:rPr>
                <w:rFonts w:ascii="Cambria Math" w:hAnsi="Cambria Math" w:cs="Times New Roman"/>
              </w:rPr>
              <m:t>ε</m:t>
            </m:r>
          </m:e>
          <m:sub>
            <m:r>
              <m:rPr>
                <m:sty m:val="p"/>
              </m:rPr>
              <w:rPr>
                <w:rFonts w:ascii="Cambria Math" w:hAnsi="Cambria Math" w:cs="Times New Roman"/>
              </w:rPr>
              <m:t>it</m:t>
            </m:r>
          </m:sub>
        </m:sSub>
      </m:oMath>
      <w:r w:rsidR="009C1A04" w:rsidRPr="00356C78">
        <w:rPr>
          <w:rFonts w:cs="Times New Roman"/>
        </w:rPr>
        <w:t xml:space="preserve">                                                      </w:t>
      </w:r>
      <w:r w:rsidR="009C1A04">
        <w:rPr>
          <w:rFonts w:cs="Times New Roman"/>
        </w:rPr>
        <w:t xml:space="preserve">      </w:t>
      </w:r>
      <w:r w:rsidR="009C1A04" w:rsidRPr="00356C78">
        <w:rPr>
          <w:rFonts w:cs="Times New Roman"/>
        </w:rPr>
        <w:t>(</w:t>
      </w:r>
      <w:r w:rsidR="009C1A04">
        <w:rPr>
          <w:rFonts w:cs="Times New Roman"/>
        </w:rPr>
        <w:t>5</w:t>
      </w:r>
      <w:r w:rsidR="009C1A04" w:rsidRPr="00356C78">
        <w:rPr>
          <w:rFonts w:cs="Times New Roman"/>
        </w:rPr>
        <w:t>)</w:t>
      </w:r>
    </w:p>
    <w:p w14:paraId="0480BC43" w14:textId="34E1468B" w:rsidR="009C1A04" w:rsidRPr="00356C78" w:rsidRDefault="00D23C2E" w:rsidP="009C1A04">
      <w:pPr>
        <w:rPr>
          <w:rFonts w:cs="Times New Roman"/>
        </w:rPr>
      </w:pPr>
      <m:oMath>
        <m:sSub>
          <m:sSubPr>
            <m:ctrlPr>
              <w:rPr>
                <w:rFonts w:ascii="Cambria Math" w:hAnsi="Cambria Math" w:cs="Times New Roman"/>
              </w:rPr>
            </m:ctrlPr>
          </m:sSubPr>
          <m:e>
            <m:r>
              <m:rPr>
                <m:sty m:val="p"/>
              </m:rPr>
              <w:rPr>
                <w:rFonts w:ascii="Cambria Math" w:hAnsi="Cambria Math" w:cs="Times New Roman"/>
              </w:rPr>
              <m:t>CombinedRatio</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UseCont</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Cont</m:t>
            </m:r>
          </m:e>
          <m:sub>
            <m:r>
              <m:rPr>
                <m:sty m:val="p"/>
              </m:rPr>
              <w:rPr>
                <w:rFonts w:ascii="Cambria Math" w:hAnsi="Cambria Math" w:cs="Times New Roman"/>
              </w:rPr>
              <m:t>it</m:t>
            </m:r>
          </m:sub>
        </m:sSub>
        <m:r>
          <m:rPr>
            <m:sty m:val="p"/>
          </m:rPr>
          <w:rPr>
            <w:rFonts w:ascii="Cambria Math" w:hAnsi="Cambria Math" w:cs="Times New Roman"/>
          </w:rPr>
          <m:t>+βX+</m:t>
        </m:r>
        <m:sSub>
          <m:sSubPr>
            <m:ctrlPr>
              <w:rPr>
                <w:rFonts w:ascii="Cambria Math" w:hAnsi="Cambria Math" w:cs="Times New Roman"/>
              </w:rPr>
            </m:ctrlPr>
          </m:sSubPr>
          <m:e>
            <m:r>
              <m:rPr>
                <m:sty m:val="p"/>
              </m:rPr>
              <w:rPr>
                <w:rFonts w:ascii="Cambria Math" w:hAnsi="Cambria Math" w:cs="Times New Roman"/>
              </w:rPr>
              <m:t>ε</m:t>
            </m:r>
          </m:e>
          <m:sub>
            <m:r>
              <m:rPr>
                <m:sty m:val="p"/>
              </m:rPr>
              <w:rPr>
                <w:rFonts w:ascii="Cambria Math" w:hAnsi="Cambria Math" w:cs="Times New Roman"/>
              </w:rPr>
              <m:t>it</m:t>
            </m:r>
          </m:sub>
        </m:sSub>
      </m:oMath>
      <w:r w:rsidR="009C1A04" w:rsidRPr="00356C78">
        <w:rPr>
          <w:rFonts w:cs="Times New Roman"/>
        </w:rPr>
        <w:t xml:space="preserve">                    </w:t>
      </w:r>
      <w:r w:rsidR="009C1A04">
        <w:rPr>
          <w:rFonts w:cs="Times New Roman"/>
        </w:rPr>
        <w:t xml:space="preserve">                               </w:t>
      </w:r>
      <w:r w:rsidR="009C1A04" w:rsidRPr="00356C78">
        <w:rPr>
          <w:rFonts w:cs="Times New Roman"/>
        </w:rPr>
        <w:t>(</w:t>
      </w:r>
      <w:r w:rsidR="009C1A04">
        <w:rPr>
          <w:rFonts w:cs="Times New Roman"/>
        </w:rPr>
        <w:t>6</w:t>
      </w:r>
      <w:r w:rsidR="009C1A04" w:rsidRPr="00356C78">
        <w:rPr>
          <w:rFonts w:cs="Times New Roman"/>
        </w:rPr>
        <w:t>)</w:t>
      </w:r>
    </w:p>
    <w:p w14:paraId="1BCE8699" w14:textId="69F597F5" w:rsidR="00837590" w:rsidRPr="00356C78" w:rsidRDefault="00837590" w:rsidP="004773D8">
      <w:r w:rsidRPr="00356C78">
        <w:t xml:space="preserve">Contingent commissions use may be possibly due to self-selection, which can </w:t>
      </w:r>
      <w:r w:rsidR="00E16E7E" w:rsidRPr="00356C78">
        <w:t xml:space="preserve">introduce endogeneity problem and </w:t>
      </w:r>
      <w:r w:rsidRPr="00356C78">
        <w:t xml:space="preserve">result in potential bias of the </w:t>
      </w:r>
      <w:r w:rsidR="00A36E9B" w:rsidRPr="00356C78">
        <w:t xml:space="preserve">estimated coefficients. </w:t>
      </w:r>
      <w:r w:rsidR="00E16E7E" w:rsidRPr="00356C78">
        <w:t xml:space="preserve">The treatment effect model can be used to correct for the self-selection problem. </w:t>
      </w:r>
      <w:r w:rsidR="00F23725" w:rsidRPr="00356C78">
        <w:t>Treatment evaluation is an econometric framework for analysis of cases with a binary independent variable. To assess the impact of treatment, it is necessary to have identical subjects some of whom are treated and others are not. Practically, this approach is infeasible and special econometric techniques should be used instead. The treatment evaluation framework provides such techniques and takes into account that each subject can be either treated or untreated and the counterfactual state is unobservable; the eﬀect of treatment can vary across subjects; the eﬀect of treatment and the choice of being treated can be determined by the same factors, that is, treatment can be endogenous.</w:t>
      </w:r>
      <w:r w:rsidR="00497856" w:rsidRPr="00356C78">
        <w:t xml:space="preserve"> The characteristics of interest is average treatment effect on the treated (ATE</w:t>
      </w:r>
      <w:r w:rsidR="00497856" w:rsidRPr="00356C78">
        <w:rPr>
          <w:vertAlign w:val="subscript"/>
        </w:rPr>
        <w:t>1</w:t>
      </w:r>
      <w:r w:rsidR="00497856" w:rsidRPr="00356C78">
        <w:t>), which directly measures the impact of treatment. According to the definition</w:t>
      </w:r>
      <w:r w:rsidR="00835642" w:rsidRPr="00356C78">
        <w:t xml:space="preserve">, </w:t>
      </w:r>
      <m:oMath>
        <m:sSub>
          <m:sSubPr>
            <m:ctrlPr>
              <w:rPr>
                <w:rFonts w:ascii="Cambria Math" w:hAnsi="Cambria Math"/>
              </w:rPr>
            </m:ctrlPr>
          </m:sSubPr>
          <m:e>
            <m:r>
              <m:rPr>
                <m:sty m:val="p"/>
              </m:rPr>
              <w:rPr>
                <w:rFonts w:ascii="Cambria Math" w:hAnsi="Cambria Math"/>
              </w:rPr>
              <m:t>ATE</m:t>
            </m:r>
          </m:e>
          <m:sub>
            <m:r>
              <m:rPr>
                <m:sty m:val="p"/>
              </m:rPr>
              <w:rPr>
                <w:rFonts w:ascii="Cambria Math" w:hAnsi="Cambria Math"/>
              </w:rPr>
              <m:t>1</m:t>
            </m:r>
          </m:sub>
        </m:sSub>
        <m:r>
          <m:rPr>
            <m:sty m:val="p"/>
          </m:rPr>
          <w:rPr>
            <w:rFonts w:ascii="Cambria Math" w:hAnsi="Cambria Math"/>
          </w:rPr>
          <m:t>=E[</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UseCont</m:t>
            </m:r>
          </m:e>
          <m:sub>
            <m:r>
              <m:rPr>
                <m:sty m:val="p"/>
              </m:rPr>
              <w:rPr>
                <w:rFonts w:ascii="Cambria Math" w:hAnsi="Cambria Math"/>
              </w:rPr>
              <m:t>i</m:t>
            </m:r>
          </m:sub>
        </m:sSub>
        <m:r>
          <m:rPr>
            <m:sty m:val="p"/>
          </m:rPr>
          <w:rPr>
            <w:rFonts w:ascii="Cambria Math" w:hAnsi="Cambria Math"/>
          </w:rPr>
          <m:t>=1]</m:t>
        </m:r>
      </m:oMath>
      <w:r w:rsidR="00497856" w:rsidRPr="00356C78">
        <w:t>.</w:t>
      </w:r>
    </w:p>
    <w:p w14:paraId="5D0E4B03" w14:textId="77777777" w:rsidR="00835642" w:rsidRPr="00356C78" w:rsidRDefault="00F23725" w:rsidP="004773D8">
      <w:r w:rsidRPr="00356C78">
        <w:t xml:space="preserve">By definition, the propensity score is </w:t>
      </w:r>
    </w:p>
    <w:p w14:paraId="08608B1C" w14:textId="77777777" w:rsidR="00835642" w:rsidRPr="00356C78" w:rsidRDefault="00356C78" w:rsidP="004773D8">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UseCont</m:t>
                </m:r>
              </m:e>
              <m:sub>
                <m:r>
                  <m:rPr>
                    <m:sty m:val="p"/>
                  </m:rPr>
                  <w:rPr>
                    <w:rFonts w:ascii="Cambria Math" w:hAnsi="Cambria Math"/>
                  </w:rPr>
                  <m:t>i</m:t>
                </m:r>
              </m:sub>
            </m:sSub>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=Prob</m:t>
        </m:r>
        <m:d>
          <m:dPr>
            <m:ctrlPr>
              <w:rPr>
                <w:rFonts w:ascii="Cambria Math" w:hAnsi="Cambria Math"/>
              </w:rPr>
            </m:ctrlPr>
          </m:dPr>
          <m:e>
            <m:sSub>
              <m:sSubPr>
                <m:ctrlPr>
                  <w:rPr>
                    <w:rFonts w:ascii="Cambria Math" w:hAnsi="Cambria Math"/>
                  </w:rPr>
                </m:ctrlPr>
              </m:sSubPr>
              <m:e>
                <m:r>
                  <m:rPr>
                    <m:sty m:val="p"/>
                  </m:rPr>
                  <w:rPr>
                    <w:rFonts w:ascii="Cambria Math" w:hAnsi="Cambria Math"/>
                  </w:rPr>
                  <m:t>UseCont</m:t>
                </m:r>
              </m:e>
              <m:sub>
                <m:r>
                  <m:rPr>
                    <m:sty m:val="p"/>
                  </m:rPr>
                  <w:rPr>
                    <w:rFonts w:ascii="Cambria Math" w:hAnsi="Cambria Math"/>
                  </w:rPr>
                  <m:t>i</m:t>
                </m:r>
              </m:sub>
            </m:sSub>
            <m:r>
              <m:rPr>
                <m:sty m:val="p"/>
              </m:rPr>
              <w:rPr>
                <w:rFonts w:ascii="Cambria Math" w:hAnsi="Cambria Math"/>
              </w:rPr>
              <m:t>=1</m:t>
            </m:r>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oMath>
      <w:r w:rsidR="00835642" w:rsidRPr="00356C78">
        <w:t xml:space="preserve">                                                   (7)</w:t>
      </w:r>
    </w:p>
    <w:p w14:paraId="7AC55C8D" w14:textId="77777777" w:rsidR="00F23725" w:rsidRPr="00356C78" w:rsidRDefault="00F23725" w:rsidP="004773D8">
      <w:pPr>
        <w:ind w:firstLine="0"/>
      </w:pPr>
      <w:r w:rsidRPr="00356C78">
        <w:t xml:space="preserve">So it is the conditional probability of being treated (contingent commissions use in this case), given observed baseline covariates Z (Rosenbaum and Rubin, 1983). The propensity score </w:t>
      </w:r>
      <w:r w:rsidRPr="00356C78">
        <w:lastRenderedPageBreak/>
        <w:t>methods are based on the following fact (propensity score theorem): the ignorability of treatment assumption implies that conditional on</w:t>
      </w:r>
      <m:oMath>
        <m:r>
          <m:rPr>
            <m:sty m:val="p"/>
          </m:rPr>
          <w:rPr>
            <w:rFonts w:ascii="Cambria Math" w:hAnsi="Cambria Math"/>
          </w:rPr>
          <m:t xml:space="preserve"> 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oMath>
      <w:r w:rsidRPr="00356C78">
        <w:t>, the treatment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Pr="00356C78">
        <w:t xml:space="preserve"> and</w:t>
      </w:r>
      <w:r w:rsidR="00497856" w:rsidRPr="00356C78">
        <w:t xml:space="preserve">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i1</m:t>
            </m:r>
          </m:sub>
        </m:sSub>
        <m:r>
          <m:rPr>
            <m:sty m:val="p"/>
          </m:rPr>
          <w:rPr>
            <w:rFonts w:ascii="Cambria Math" w:hAnsi="Cambria Math"/>
          </w:rPr>
          <m:t>)</m:t>
        </m:r>
      </m:oMath>
      <w:r w:rsidRPr="00356C78">
        <w:t xml:space="preserve">  are independent.</w:t>
      </w:r>
      <w:r w:rsidR="00A7730C">
        <w:rPr>
          <w:rStyle w:val="FootnoteReference"/>
        </w:rPr>
        <w:footnoteReference w:id="2"/>
      </w:r>
    </w:p>
    <w:p w14:paraId="007C93F3" w14:textId="77777777" w:rsidR="00357A97" w:rsidRDefault="00357A97" w:rsidP="004773D8">
      <w:r w:rsidRPr="005D6815">
        <w:t xml:space="preserve">I utilize a </w:t>
      </w:r>
      <w:r w:rsidR="005D6815" w:rsidRPr="005D6815">
        <w:t>caliper (caliper=0.005)</w:t>
      </w:r>
      <w:r w:rsidRPr="005D6815">
        <w:t xml:space="preserve"> matching </w:t>
      </w:r>
      <w:r w:rsidR="005D6815" w:rsidRPr="005D6815">
        <w:t xml:space="preserve">with no replacement </w:t>
      </w:r>
      <w:r w:rsidRPr="005D6815">
        <w:t>on a propensity score estimated with categorical variables in this study</w:t>
      </w:r>
      <w:r w:rsidR="00F65FF8" w:rsidRPr="005D6815">
        <w:t xml:space="preserve"> under the common support assumption.</w:t>
      </w:r>
      <w:r w:rsidR="00A7730C">
        <w:rPr>
          <w:rStyle w:val="FootnoteReference"/>
        </w:rPr>
        <w:footnoteReference w:id="3"/>
      </w:r>
      <w:r w:rsidR="00F65FF8" w:rsidRPr="002E68C5">
        <w:rPr>
          <w:color w:val="FF0000"/>
        </w:rPr>
        <w:t xml:space="preserve"> </w:t>
      </w:r>
      <w:r w:rsidR="00F65FF8" w:rsidRPr="00356C78">
        <w:t>Each treated unit is selected to find its closest control unit according to the propensity score. If no control units had propensity scores that lie within the common support area of the treated unit, the treated subject would not be matched with any control subject and would then be excluded from the matched sample. In this way, a pseudo “random” sample is created where any difference in underwriting performance between firms in treated and control groups is due to the use of contingent commissions.</w:t>
      </w:r>
    </w:p>
    <w:p w14:paraId="49EF8B75" w14:textId="37D5D7D3" w:rsidR="00195FD3" w:rsidRPr="00356C78" w:rsidRDefault="00195FD3" w:rsidP="004773D8">
      <w:r>
        <w:t>A</w:t>
      </w:r>
      <w:r w:rsidRPr="00195FD3">
        <w:t xml:space="preserve"> Heckm</w:t>
      </w:r>
      <w:r>
        <w:t>an two-step estimation will be examined in future study as supplementary and robustness check.</w:t>
      </w:r>
      <w:r w:rsidR="00FA025F">
        <w:rPr>
          <w:rStyle w:val="FootnoteReference"/>
        </w:rPr>
        <w:footnoteReference w:id="4"/>
      </w:r>
      <w:r>
        <w:t xml:space="preserve"> </w:t>
      </w:r>
      <w:r w:rsidRPr="00195FD3">
        <w:t xml:space="preserve">In the ﬁrst stage, a probit regression </w:t>
      </w:r>
      <w:r>
        <w:t>will be</w:t>
      </w:r>
      <w:r w:rsidRPr="00195FD3">
        <w:t xml:space="preserve"> estimated based on whether an insurer uses contingent commissions. The second stage regression, which includes the inverse Mills ratio calculated from the ﬁrst equation in order to control for selection bias</w:t>
      </w:r>
      <w:r>
        <w:t xml:space="preserve">, will be estimated to </w:t>
      </w:r>
      <w:r w:rsidR="00801C72">
        <w:t xml:space="preserve">examine whether </w:t>
      </w:r>
      <w:r w:rsidR="00801C72" w:rsidRPr="00356C78">
        <w:rPr>
          <w:szCs w:val="24"/>
        </w:rPr>
        <w:t>underwriting performance increases as the ratio of contingent commissions to total commissions paid increases</w:t>
      </w:r>
      <w:r w:rsidR="00801C72">
        <w:rPr>
          <w:szCs w:val="24"/>
        </w:rPr>
        <w:t>.</w:t>
      </w:r>
    </w:p>
    <w:p w14:paraId="4644752B" w14:textId="77777777" w:rsidR="00BD46D6" w:rsidRPr="00356C78" w:rsidRDefault="00BD46D6" w:rsidP="004773D8">
      <w:pPr>
        <w:ind w:firstLine="0"/>
      </w:pPr>
      <w:r w:rsidRPr="00356C78">
        <w:rPr>
          <w:rFonts w:cs="Times New Roman"/>
          <w:b/>
        </w:rPr>
        <w:t>3.2 Variables</w:t>
      </w:r>
      <w:r w:rsidRPr="00356C78">
        <w:t xml:space="preserve"> </w:t>
      </w:r>
    </w:p>
    <w:p w14:paraId="4B4FCCB0" w14:textId="10DB1214" w:rsidR="00DA2CD7" w:rsidRPr="00356C78" w:rsidRDefault="00DA2CD7" w:rsidP="004773D8">
      <w:r w:rsidRPr="00356C78">
        <w:t>Firm-specific factors included in the model that are hypothesized to affect underwriting performance as control variables generally follow previous literature. Such va</w:t>
      </w:r>
      <w:r w:rsidR="007906B8">
        <w:t>riables include firm size</w:t>
      </w:r>
      <w:r w:rsidRPr="00356C78">
        <w:t>, financia</w:t>
      </w:r>
      <w:r w:rsidR="007906B8">
        <w:t>l leverage, business mix</w:t>
      </w:r>
      <w:r w:rsidRPr="00356C78">
        <w:t>, business</w:t>
      </w:r>
      <w:r w:rsidR="009425C7" w:rsidRPr="00356C78">
        <w:t>-</w:t>
      </w:r>
      <w:r w:rsidR="007906B8">
        <w:t>line diversification</w:t>
      </w:r>
      <w:r w:rsidRPr="00356C78">
        <w:t>, geograph</w:t>
      </w:r>
      <w:r w:rsidR="007906B8">
        <w:t>ical diversification, reinsurance</w:t>
      </w:r>
      <w:r w:rsidR="005913E1">
        <w:t xml:space="preserve">, advertising, </w:t>
      </w:r>
      <w:r w:rsidR="005913E1">
        <w:rPr>
          <w:rFonts w:cs="Times New Roman"/>
        </w:rPr>
        <w:t>u</w:t>
      </w:r>
      <w:r w:rsidR="005913E1" w:rsidRPr="00356C78">
        <w:rPr>
          <w:rFonts w:cs="Times New Roman"/>
        </w:rPr>
        <w:t>nderwriting surveys and audits</w:t>
      </w:r>
      <w:r w:rsidRPr="00356C78">
        <w:t>, distribution system, organizational structure</w:t>
      </w:r>
      <w:r w:rsidR="007906B8">
        <w:t>, g</w:t>
      </w:r>
      <w:r w:rsidRPr="00356C78">
        <w:t>roup affiliation</w:t>
      </w:r>
      <w:r w:rsidR="007906B8">
        <w:t xml:space="preserve"> and publicly traded firm</w:t>
      </w:r>
      <w:r w:rsidRPr="00356C78">
        <w:t xml:space="preserve">. </w:t>
      </w:r>
    </w:p>
    <w:p w14:paraId="4F6C479D" w14:textId="77777777" w:rsidR="00BD46D6" w:rsidRPr="00356C78" w:rsidRDefault="00BD46D6" w:rsidP="004773D8">
      <w:r w:rsidRPr="00356C78">
        <w:rPr>
          <w:rFonts w:cs="Times New Roman"/>
        </w:rPr>
        <w:lastRenderedPageBreak/>
        <w:t>Firstly, firm size is measured as natural log of a firm’s total admitted assets.</w:t>
      </w:r>
      <w:r w:rsidR="00DA2CD7" w:rsidRPr="00356C78">
        <w:rPr>
          <w:rFonts w:cs="Times New Roman"/>
        </w:rPr>
        <w:t xml:space="preserve"> Larger firms tend to realize economies of </w:t>
      </w:r>
      <w:r w:rsidR="00B928E1" w:rsidRPr="00356C78">
        <w:rPr>
          <w:rFonts w:cs="Times New Roman"/>
        </w:rPr>
        <w:t>scale</w:t>
      </w:r>
      <w:r w:rsidR="00DA31A9" w:rsidRPr="00356C78">
        <w:rPr>
          <w:rFonts w:cs="Times New Roman"/>
        </w:rPr>
        <w:t xml:space="preserve">, resulting in a lower labor cost in delivering insurance products. Moreover, larger firms are normally more diversified than small firms, which enables insurers to have a greater capacity to quickly respond to changes in market conditions. </w:t>
      </w:r>
      <w:r w:rsidR="00F02DB1" w:rsidRPr="00356C78">
        <w:t>Regan and Kleffner (2010) find that underwriting performance is positively related to firm size. Therefore, a positive and significant relationship is expected between underwriting performance and firm size.</w:t>
      </w:r>
    </w:p>
    <w:p w14:paraId="08043D69" w14:textId="77777777" w:rsidR="00C35A21" w:rsidRPr="00356C78" w:rsidRDefault="009F1360" w:rsidP="004773D8">
      <w:r w:rsidRPr="00356C78">
        <w:t>Secondly, I include financial leverage, which is measured as the ratio of total liabilities to total surplus. The degree of ﬁnancial leverage reﬂects insurers’ ability to manage their economic exposure to unexpected losses. Therefore, a low level of leverage reduces the need for managers to increase investment earnings. According to MM’s Proposition II, the more financial leverage, the higher expected return on equity with the increase in risk (Brealey &amp; Myers, 2000).</w:t>
      </w:r>
      <w:r w:rsidR="00C35A21" w:rsidRPr="00356C78">
        <w:t xml:space="preserve"> In addition, the free cash ﬂow hypothesis states that high ﬁnancial leverage can increase a company’s ﬁnancial performance because it forces managers to generate cash ﬂows in order to meet their obligations to ﬁxed claimants (Jensen, 1986). Regan and Kleffner (2010) also find a positive relationship between leverage and underwriting performance. Therefore, a positive and significant relationship is expected between underwriting performance and financial leverage.</w:t>
      </w:r>
    </w:p>
    <w:p w14:paraId="25B4A3C9" w14:textId="77777777" w:rsidR="00C35A21" w:rsidRPr="00356C78" w:rsidRDefault="00A0101D" w:rsidP="004773D8">
      <w:r w:rsidRPr="00356C78">
        <w:t>In addition, I include the proportion of total premiums written in commercial lines to account for the impact of commercial lines of business.</w:t>
      </w:r>
      <w:r w:rsidR="00A7730C">
        <w:rPr>
          <w:rStyle w:val="FootnoteReference"/>
        </w:rPr>
        <w:footnoteReference w:id="5"/>
      </w:r>
      <w:r w:rsidRPr="00356C78">
        <w:t xml:space="preserve"> </w:t>
      </w:r>
      <w:r w:rsidR="003E561F" w:rsidRPr="00356C78">
        <w:t>Insurers have more premiums written in commercial lines tend to be larger firms. Since underwriting performance is expected to be positively related to firm size, a positive relationship between underwriting performance and commercial lines of business is also expected.</w:t>
      </w:r>
    </w:p>
    <w:p w14:paraId="1DFC2A2B" w14:textId="6F209209" w:rsidR="003E561F" w:rsidRPr="00356C78" w:rsidRDefault="007A07F4" w:rsidP="004773D8">
      <w:r w:rsidRPr="00356C78">
        <w:rPr>
          <w:rFonts w:cs="Times New Roman"/>
        </w:rPr>
        <w:t xml:space="preserve">Firms with a greater level of diversification enable insurers to better respond to a loss </w:t>
      </w:r>
      <w:r w:rsidRPr="00356C78">
        <w:rPr>
          <w:rFonts w:cs="Times New Roman"/>
        </w:rPr>
        <w:lastRenderedPageBreak/>
        <w:t xml:space="preserve">shock occurred in a single line of business or geographic location. </w:t>
      </w:r>
      <w:r w:rsidR="003E561F" w:rsidRPr="00356C78">
        <w:rPr>
          <w:rFonts w:cs="Times New Roman"/>
        </w:rPr>
        <w:t>To control for the effect of diversification on insurers’ underwriting performance, I will add two Herfindahl index variables: geographic Herfindahl-Hirschman Index (HHI) and line-of-business HHI.</w:t>
      </w:r>
      <w:r w:rsidR="00A7730C">
        <w:rPr>
          <w:rStyle w:val="FootnoteReference"/>
          <w:rFonts w:cs="Times New Roman"/>
        </w:rPr>
        <w:footnoteReference w:id="6"/>
      </w:r>
      <w:r w:rsidR="003E561F" w:rsidRPr="00356C78">
        <w:rPr>
          <w:rFonts w:cs="Times New Roman"/>
        </w:rPr>
        <w:t xml:space="preserve"> Both of the two Herfindahl indexes are based on net premiums written by lines of business and states, respectively.</w:t>
      </w:r>
      <w:r w:rsidRPr="00356C78">
        <w:rPr>
          <w:rFonts w:cs="Times New Roman"/>
        </w:rPr>
        <w:t xml:space="preserve"> According to </w:t>
      </w:r>
      <w:r w:rsidRPr="00356C78">
        <w:t>Regan and Kleffner (2010), a better underwriting performance is associated with a higher level of concentration of insurers’ business. Thus, a positive and significa</w:t>
      </w:r>
      <w:r w:rsidR="00590184" w:rsidRPr="00356C78">
        <w:t>nt relationship is expected</w:t>
      </w:r>
      <w:r w:rsidRPr="00356C78">
        <w:t xml:space="preserve">. </w:t>
      </w:r>
    </w:p>
    <w:p w14:paraId="6DEA666C" w14:textId="7D79AAB8" w:rsidR="003E561F" w:rsidRPr="00356C78" w:rsidRDefault="000B0A63" w:rsidP="004773D8">
      <w:pPr>
        <w:rPr>
          <w:rFonts w:cs="Times New Roman"/>
        </w:rPr>
      </w:pPr>
      <w:r w:rsidRPr="00356C78">
        <w:rPr>
          <w:rFonts w:cs="Times New Roman"/>
        </w:rPr>
        <w:t xml:space="preserve">Reinsurance is defined as </w:t>
      </w:r>
      <w:r w:rsidR="005913E1">
        <w:t>premiums ceded divided by direct premiums written plus reinsurance assumed</w:t>
      </w:r>
      <w:r w:rsidRPr="00356C78">
        <w:rPr>
          <w:rFonts w:cs="Times New Roman"/>
        </w:rPr>
        <w:t>.</w:t>
      </w:r>
      <w:r w:rsidR="00E14CAB" w:rsidRPr="00356C78">
        <w:rPr>
          <w:rFonts w:cs="Times New Roman"/>
        </w:rPr>
        <w:t xml:space="preserve"> Adams and Bucle (2003) find that reinsurance companies are likely to have better firm performance because of a higher level of diversification in business and lower costs of regulatory compliance. However, Shiu (2004) report a negative relationship between reinsurance dependence and firm performance and they offer an explanation that the benefit of reinsurance may decrease beyond a threshold. Thus, the relationship between reinsurance and underwriting performance is unclear.</w:t>
      </w:r>
    </w:p>
    <w:p w14:paraId="54681CEB" w14:textId="324202BB" w:rsidR="00835642" w:rsidRPr="00356C78" w:rsidRDefault="00835642" w:rsidP="004773D8">
      <w:pPr>
        <w:rPr>
          <w:rFonts w:cs="Times New Roman"/>
        </w:rPr>
      </w:pPr>
      <w:r w:rsidRPr="00356C78">
        <w:rPr>
          <w:rFonts w:cs="Times New Roman"/>
        </w:rPr>
        <w:t>An indicator variable is included to account for use of distribution system based on information provided by Best’s Key Rating Guide. The dummy equals 1 for insurers using the independent agency system or broker, and 0 otherwise</w:t>
      </w:r>
      <w:r w:rsidR="00B058B7">
        <w:rPr>
          <w:rFonts w:cs="Times New Roman"/>
        </w:rPr>
        <w:t>.</w:t>
      </w:r>
      <w:r w:rsidR="00B058B7">
        <w:rPr>
          <w:rFonts w:cs="Times New Roman"/>
          <w:color w:val="FF0000"/>
        </w:rPr>
        <w:t xml:space="preserve"> </w:t>
      </w:r>
      <w:r w:rsidRPr="00356C78">
        <w:rPr>
          <w:rFonts w:cs="Times New Roman"/>
        </w:rPr>
        <w:t xml:space="preserve">According to </w:t>
      </w:r>
      <w:r w:rsidR="00B058B7" w:rsidRPr="00B058B7">
        <w:rPr>
          <w:rFonts w:cs="Times New Roman"/>
        </w:rPr>
        <w:t xml:space="preserve">D’Arcy and Doherty (1990), </w:t>
      </w:r>
      <w:r w:rsidR="00B058B7">
        <w:rPr>
          <w:rFonts w:cs="Times New Roman"/>
        </w:rPr>
        <w:t xml:space="preserve">insurers are more easily convinced by independent agents of the validity of information they provide to them in regard to prospective policyholders because of the use of profit-based contingent commissions. </w:t>
      </w:r>
      <w:r w:rsidR="00B058B7" w:rsidRPr="00B058B7">
        <w:rPr>
          <w:rFonts w:cs="Times New Roman"/>
        </w:rPr>
        <w:t>Similarly, Regan and Tennyson (1996)</w:t>
      </w:r>
      <w:r w:rsidR="00B058B7">
        <w:rPr>
          <w:rFonts w:cs="Times New Roman"/>
        </w:rPr>
        <w:t xml:space="preserve"> argue that contingent commissions could provide incentives to independent agents and brokers, who are more involved in assisting insurers with risk assessment than exclusive agents, to do effective risk assessment.  </w:t>
      </w:r>
      <w:r w:rsidR="00B058B7">
        <w:rPr>
          <w:rFonts w:cs="Times New Roman"/>
        </w:rPr>
        <w:lastRenderedPageBreak/>
        <w:t xml:space="preserve">Thus, the independent agency system or broker indicator is included as a control variable. In addition, </w:t>
      </w:r>
      <w:r w:rsidR="00B058B7" w:rsidRPr="00356C78">
        <w:rPr>
          <w:rFonts w:cs="Times New Roman"/>
        </w:rPr>
        <w:t>Regan and Kleffner (2010)</w:t>
      </w:r>
      <w:r w:rsidR="00B058B7">
        <w:rPr>
          <w:rFonts w:cs="Times New Roman"/>
        </w:rPr>
        <w:t xml:space="preserve"> find</w:t>
      </w:r>
      <w:r w:rsidRPr="00356C78">
        <w:rPr>
          <w:rFonts w:cs="Times New Roman"/>
        </w:rPr>
        <w:t xml:space="preserve"> a positiv</w:t>
      </w:r>
      <w:r w:rsidR="009425C7" w:rsidRPr="00356C78">
        <w:rPr>
          <w:rFonts w:cs="Times New Roman"/>
        </w:rPr>
        <w:t xml:space="preserve">e relation between the use of </w:t>
      </w:r>
      <w:r w:rsidRPr="00356C78">
        <w:rPr>
          <w:rFonts w:cs="Times New Roman"/>
        </w:rPr>
        <w:t xml:space="preserve">independent agency system or broker and </w:t>
      </w:r>
      <w:r w:rsidR="007D4637" w:rsidRPr="00356C78">
        <w:rPr>
          <w:rFonts w:cs="Times New Roman"/>
        </w:rPr>
        <w:t xml:space="preserve">underwriting </w:t>
      </w:r>
      <w:r w:rsidR="009425C7" w:rsidRPr="00356C78">
        <w:rPr>
          <w:rFonts w:cs="Times New Roman"/>
        </w:rPr>
        <w:t>performance</w:t>
      </w:r>
      <w:r w:rsidRPr="00356C78">
        <w:rPr>
          <w:rFonts w:cs="Times New Roman"/>
        </w:rPr>
        <w:t>.</w:t>
      </w:r>
    </w:p>
    <w:p w14:paraId="392A3B90" w14:textId="39B58965" w:rsidR="007D4637" w:rsidRPr="00356C78" w:rsidRDefault="00546A58" w:rsidP="004773D8">
      <w:pPr>
        <w:rPr>
          <w:rFonts w:cs="Times New Roman"/>
        </w:rPr>
      </w:pPr>
      <w:r>
        <w:rPr>
          <w:rFonts w:cs="Times New Roman"/>
        </w:rPr>
        <w:t xml:space="preserve">Firms that are group members could increase underwriting performance by pooling losses with their members. </w:t>
      </w:r>
      <w:r w:rsidRPr="00356C78">
        <w:rPr>
          <w:rFonts w:cs="Times New Roman"/>
        </w:rPr>
        <w:t>Therefore, I utilize an indicator variable equaling to 1 if the firm is a group member, and 0 otherwise.</w:t>
      </w:r>
      <w:r>
        <w:rPr>
          <w:rFonts w:cs="Times New Roman"/>
        </w:rPr>
        <w:t xml:space="preserve"> </w:t>
      </w:r>
      <w:r w:rsidR="007D4637" w:rsidRPr="00356C78">
        <w:rPr>
          <w:rFonts w:cs="Times New Roman"/>
        </w:rPr>
        <w:t xml:space="preserve">According to Regan and Kleffner (2010), firms that are group members would have better underwriting performance. </w:t>
      </w:r>
    </w:p>
    <w:p w14:paraId="549C7A29" w14:textId="77777777" w:rsidR="00BF1D5F" w:rsidRDefault="00962C55" w:rsidP="004773D8">
      <w:pPr>
        <w:rPr>
          <w:rFonts w:cs="Times New Roman"/>
        </w:rPr>
      </w:pPr>
      <w:r>
        <w:rPr>
          <w:rFonts w:cs="Times New Roman"/>
        </w:rPr>
        <w:t>Risk difference is found to exist between stock and mutual insurers. Lamm-Tennant Starks (</w:t>
      </w:r>
      <w:r w:rsidRPr="00962C55">
        <w:rPr>
          <w:rFonts w:cs="Times New Roman"/>
        </w:rPr>
        <w:t>1993</w:t>
      </w:r>
      <w:r>
        <w:rPr>
          <w:rFonts w:cs="Times New Roman"/>
        </w:rPr>
        <w:t xml:space="preserve">) provide empirical evidence that </w:t>
      </w:r>
      <w:r>
        <w:t xml:space="preserve">stock insurers have more risk than mutual insurers where the risk is inherent in future cash flows. Therefore, I include organizational form indicator to control for possible differences in underwriting strategy between firms with different organization forms. </w:t>
      </w:r>
      <w:r w:rsidR="007D4637" w:rsidRPr="00356C78">
        <w:rPr>
          <w:rFonts w:cs="Times New Roman"/>
        </w:rPr>
        <w:t xml:space="preserve">Organizational form is measured as a dummy variable which equals 1 if the insurer is a stock company, and 0 if it is a mutual company. </w:t>
      </w:r>
    </w:p>
    <w:p w14:paraId="243BD523" w14:textId="2CC5107E" w:rsidR="007D4637" w:rsidRPr="00356C78" w:rsidRDefault="00BF1D5F" w:rsidP="00BF1D5F">
      <w:pPr>
        <w:rPr>
          <w:rFonts w:cs="Times New Roman"/>
        </w:rPr>
      </w:pPr>
      <w:r w:rsidRPr="00721890">
        <w:rPr>
          <w:rFonts w:cs="Times New Roman"/>
        </w:rPr>
        <w:t xml:space="preserve">Cheng et al. (2007) find strong adverse stock market reactions to the announcement of the 2004 Spitzer suit against Marsh alleging bid rigging and other illegal activities, which indicate that market believes that contingent commissions improve insurer underwriting performance. </w:t>
      </w:r>
      <w:r>
        <w:rPr>
          <w:rFonts w:cs="Times New Roman"/>
        </w:rPr>
        <w:t xml:space="preserve">Therefore, </w:t>
      </w:r>
      <w:r w:rsidR="009425C7" w:rsidRPr="00356C78">
        <w:rPr>
          <w:rFonts w:cs="Times New Roman"/>
        </w:rPr>
        <w:t>a</w:t>
      </w:r>
      <w:r w:rsidR="007D4637" w:rsidRPr="00356C78">
        <w:rPr>
          <w:rFonts w:cs="Times New Roman"/>
        </w:rPr>
        <w:t xml:space="preserve">n indicator variable is included and equals 1 if the firm is publicly traded and 0 otherwise. </w:t>
      </w:r>
    </w:p>
    <w:p w14:paraId="266C60AE" w14:textId="77777777" w:rsidR="00BD46D6" w:rsidRPr="00356C78" w:rsidRDefault="007D4637" w:rsidP="004773D8">
      <w:r w:rsidRPr="00356C78">
        <w:rPr>
          <w:rFonts w:cs="Times New Roman"/>
        </w:rPr>
        <w:t xml:space="preserve">Advertising is measured as the ratio of advertising expenditure to net premium written. Underwriting surveys and audits is measured as the ratio of underwriting survey and auditing expenses to net premium written. Insurers may increase advertising to compensate the agent’s efforts in risk assessment so that qualified risks might be attracted that match the insurer’s objectives. Similarly, insurers may conduct underwriting surveys or audits to directly observe client risks as a substitute for compensating agents for risk assessment efforts. Since the main </w:t>
      </w:r>
      <w:r w:rsidRPr="00356C78">
        <w:rPr>
          <w:rFonts w:cs="Times New Roman"/>
        </w:rPr>
        <w:lastRenderedPageBreak/>
        <w:t xml:space="preserve">purpose of this study is to examine the relationship between contingent commissions use and underwriting performance, I also include these two variables as control variables. </w:t>
      </w:r>
    </w:p>
    <w:p w14:paraId="26C5B932" w14:textId="77777777" w:rsidR="00BD46D6" w:rsidRPr="00356C78" w:rsidRDefault="00BD46D6" w:rsidP="004773D8">
      <w:pPr>
        <w:ind w:firstLine="0"/>
        <w:rPr>
          <w:rFonts w:cs="Times New Roman"/>
          <w:b/>
        </w:rPr>
      </w:pPr>
      <w:r w:rsidRPr="00356C78">
        <w:rPr>
          <w:rFonts w:cs="Times New Roman"/>
          <w:b/>
        </w:rPr>
        <w:t>4. Data</w:t>
      </w:r>
    </w:p>
    <w:p w14:paraId="0A5E7FAB" w14:textId="77777777" w:rsidR="00DA2CD7" w:rsidRPr="00356C78" w:rsidRDefault="00DA2CD7" w:rsidP="004773D8">
      <w:r w:rsidRPr="00356C78">
        <w:t>This project utilizes firm-level property–casualty data obtained from the National Association of Insurance Commissioners’ (NAIC) annual statements and Best’s Key Rating Guide from 2007 to 2014. Best’s Key Rating Guide is utilized to access data of distribution system, group member, organizational form and publicly traded firms. The commission and other financial data are obtained from NAIC database.</w:t>
      </w:r>
    </w:p>
    <w:p w14:paraId="6654880E" w14:textId="3D3E32C6" w:rsidR="00A0667C" w:rsidRPr="00356C78" w:rsidRDefault="00A0667C" w:rsidP="004773D8">
      <w:pPr>
        <w:rPr>
          <w:rFonts w:cs="Times New Roman"/>
        </w:rPr>
      </w:pPr>
      <w:r w:rsidRPr="00356C78">
        <w:rPr>
          <w:rFonts w:cs="Times New Roman"/>
        </w:rPr>
        <w:t>A number of screens are made before estimating the models. Insurers that reported non-positive number</w:t>
      </w:r>
      <w:r w:rsidR="006C6F68">
        <w:rPr>
          <w:rFonts w:cs="Times New Roman"/>
        </w:rPr>
        <w:t xml:space="preserve">s for total admitted assets, liabilities, and surplus </w:t>
      </w:r>
      <w:r w:rsidRPr="00356C78">
        <w:rPr>
          <w:rFonts w:cs="Times New Roman"/>
        </w:rPr>
        <w:t xml:space="preserve">are excluded. </w:t>
      </w:r>
      <w:r w:rsidR="00F46882">
        <w:rPr>
          <w:rFonts w:cs="Times New Roman"/>
        </w:rPr>
        <w:t xml:space="preserve">I will also screen for non-positive numbers for net premiums written in future study. </w:t>
      </w:r>
      <w:r w:rsidRPr="00356C78">
        <w:rPr>
          <w:rFonts w:cs="Times New Roman"/>
        </w:rPr>
        <w:t>Another step in the sample selection process is to exclude insurers reporting incomplete figures for any of the dependent or independent variable</w:t>
      </w:r>
      <w:r w:rsidR="00633999" w:rsidRPr="00356C78">
        <w:rPr>
          <w:rFonts w:cs="Times New Roman"/>
        </w:rPr>
        <w:t xml:space="preserve">s used in the models. The </w:t>
      </w:r>
      <w:r w:rsidRPr="00356C78">
        <w:rPr>
          <w:rFonts w:cs="Times New Roman"/>
        </w:rPr>
        <w:t xml:space="preserve">sample </w:t>
      </w:r>
      <w:r w:rsidR="00633999" w:rsidRPr="00356C78">
        <w:rPr>
          <w:rFonts w:cs="Times New Roman"/>
        </w:rPr>
        <w:t xml:space="preserve">before matching </w:t>
      </w:r>
      <w:r w:rsidRPr="00356C78">
        <w:rPr>
          <w:rFonts w:cs="Times New Roman"/>
        </w:rPr>
        <w:t xml:space="preserve">is an unbalanced panel data set including </w:t>
      </w:r>
      <w:r w:rsidR="00560145">
        <w:rPr>
          <w:rFonts w:cs="Times New Roman"/>
        </w:rPr>
        <w:t>7,495</w:t>
      </w:r>
      <w:r w:rsidRPr="00B74B32">
        <w:rPr>
          <w:rFonts w:cs="Times New Roman"/>
        </w:rPr>
        <w:t xml:space="preserve"> firm</w:t>
      </w:r>
      <w:r w:rsidRPr="00356C78">
        <w:rPr>
          <w:rFonts w:cs="Times New Roman"/>
        </w:rPr>
        <w:t>-year observations. Dependent and independent variables are winsorized at 1% and 99% in order to reduce the influence on estimations by big outliers in the sample</w:t>
      </w:r>
      <w:r w:rsidRPr="00356C78">
        <w:rPr>
          <w:rFonts w:cs="Times New Roman"/>
          <w:b/>
        </w:rPr>
        <w:t>.</w:t>
      </w:r>
      <w:r w:rsidR="00633999" w:rsidRPr="00356C78">
        <w:rPr>
          <w:rFonts w:cs="Times New Roman"/>
          <w:b/>
        </w:rPr>
        <w:t xml:space="preserve"> </w:t>
      </w:r>
    </w:p>
    <w:p w14:paraId="53F45F1F" w14:textId="77777777" w:rsidR="00B74B32" w:rsidRDefault="00A0667C" w:rsidP="004773D8">
      <w:pPr>
        <w:rPr>
          <w:rFonts w:cs="Times New Roman"/>
          <w:szCs w:val="24"/>
        </w:rPr>
      </w:pPr>
      <w:r w:rsidRPr="00356C78">
        <w:rPr>
          <w:rFonts w:cs="Times New Roman"/>
          <w:szCs w:val="24"/>
        </w:rPr>
        <w:t>The statistics summary for independent variables is provided in Table 1. I divide the whole sample into two parts according to whether or not an insurer pays contingent commissions. As can be seen,</w:t>
      </w:r>
      <w:r w:rsidR="00B74B32">
        <w:rPr>
          <w:rFonts w:cs="Times New Roman"/>
          <w:szCs w:val="24"/>
        </w:rPr>
        <w:t xml:space="preserve"> statistically significant differences exist in most of the variables mentioned before for firms using contingent commissions and those not according to t-test results. On average, firms that pay contingent commissions have significantly lower loss ratio and combined ratio than those do not at 1% level of significance, which indicates a better underwriting performance for firms using contingent commissions. The average loss ratio for firms using contingent commissions is 66.46 while one for firms not is 69.90. The combined ratio is 104.02 </w:t>
      </w:r>
      <w:r w:rsidR="00B74B32">
        <w:rPr>
          <w:rFonts w:cs="Times New Roman"/>
          <w:szCs w:val="24"/>
        </w:rPr>
        <w:lastRenderedPageBreak/>
        <w:t xml:space="preserve">for firms that pay contingent commissions compared to 114.66 for those that do not use contingent commissions. </w:t>
      </w:r>
    </w:p>
    <w:p w14:paraId="60F20087" w14:textId="667AF0C7" w:rsidR="00A0667C" w:rsidRPr="00356C78" w:rsidRDefault="00B74B32" w:rsidP="004773D8">
      <w:pPr>
        <w:rPr>
          <w:rFonts w:cs="Times New Roman"/>
          <w:szCs w:val="24"/>
        </w:rPr>
      </w:pPr>
      <w:r>
        <w:rPr>
          <w:rFonts w:cs="Times New Roman"/>
          <w:szCs w:val="24"/>
        </w:rPr>
        <w:t xml:space="preserve"> The summary statistics are also interesting for control variables. As can be seen,</w:t>
      </w:r>
      <w:r w:rsidR="00A0667C" w:rsidRPr="00356C78">
        <w:rPr>
          <w:rFonts w:cs="Times New Roman"/>
          <w:szCs w:val="24"/>
        </w:rPr>
        <w:t xml:space="preserve"> the average asset size of the </w:t>
      </w:r>
      <w:r w:rsidR="00A0667C" w:rsidRPr="00B74B32">
        <w:rPr>
          <w:rFonts w:cs="Times New Roman"/>
          <w:szCs w:val="24"/>
        </w:rPr>
        <w:t xml:space="preserve">users is </w:t>
      </w:r>
      <w:r w:rsidRPr="00B74B32">
        <w:rPr>
          <w:rFonts w:eastAsia="Times New Roman" w:cs="Times New Roman"/>
          <w:bCs/>
          <w:szCs w:val="24"/>
        </w:rPr>
        <w:t>19.19</w:t>
      </w:r>
      <w:r w:rsidR="00A0667C" w:rsidRPr="00B74B32">
        <w:rPr>
          <w:rFonts w:eastAsia="Times New Roman" w:cs="Times New Roman"/>
          <w:b/>
          <w:bCs/>
          <w:szCs w:val="24"/>
        </w:rPr>
        <w:t xml:space="preserve">, </w:t>
      </w:r>
      <w:r w:rsidR="00A0667C" w:rsidRPr="00B74B32">
        <w:rPr>
          <w:rFonts w:eastAsia="Times New Roman" w:cs="Times New Roman"/>
          <w:bCs/>
          <w:szCs w:val="24"/>
        </w:rPr>
        <w:t xml:space="preserve">which is </w:t>
      </w:r>
      <w:r w:rsidR="00A0667C" w:rsidRPr="00B74B32">
        <w:rPr>
          <w:rFonts w:cs="Times New Roman"/>
          <w:szCs w:val="24"/>
        </w:rPr>
        <w:t xml:space="preserve">statistically larger than that of the nonusers, </w:t>
      </w:r>
      <w:r w:rsidRPr="00B74B32">
        <w:rPr>
          <w:rFonts w:cs="Times New Roman"/>
          <w:szCs w:val="24"/>
        </w:rPr>
        <w:t>18.16</w:t>
      </w:r>
      <w:r w:rsidR="00A0667C" w:rsidRPr="00B74B32">
        <w:rPr>
          <w:rFonts w:cs="Times New Roman"/>
          <w:szCs w:val="24"/>
        </w:rPr>
        <w:t xml:space="preserve">. </w:t>
      </w:r>
      <w:r>
        <w:rPr>
          <w:rFonts w:cs="Times New Roman"/>
          <w:szCs w:val="24"/>
        </w:rPr>
        <w:t xml:space="preserve">However, the average value of the </w:t>
      </w:r>
      <w:r w:rsidR="00A0667C" w:rsidRPr="00356C78">
        <w:rPr>
          <w:rFonts w:cs="Times New Roman"/>
        </w:rPr>
        <w:t>commercial lines var</w:t>
      </w:r>
      <w:r>
        <w:rPr>
          <w:rFonts w:cs="Times New Roman"/>
        </w:rPr>
        <w:t xml:space="preserve">iable for users is </w:t>
      </w:r>
      <w:r w:rsidR="00A0667C" w:rsidRPr="00356C78">
        <w:rPr>
          <w:rFonts w:cs="Times New Roman"/>
        </w:rPr>
        <w:t xml:space="preserve">statistically </w:t>
      </w:r>
      <w:r>
        <w:rPr>
          <w:rFonts w:cs="Times New Roman"/>
        </w:rPr>
        <w:t>smaller</w:t>
      </w:r>
      <w:r w:rsidR="00A0667C" w:rsidRPr="00356C78">
        <w:rPr>
          <w:rFonts w:cs="Times New Roman"/>
        </w:rPr>
        <w:t xml:space="preserve"> </w:t>
      </w:r>
      <w:r>
        <w:rPr>
          <w:rFonts w:cs="Times New Roman"/>
          <w:szCs w:val="24"/>
        </w:rPr>
        <w:t>than that of the nonusers, which is inconsistent with the hypothesis. The users on average show significantly lower financial leverage than the nonusers. In addition, t</w:t>
      </w:r>
      <w:r w:rsidRPr="00356C78">
        <w:rPr>
          <w:rFonts w:cs="Times New Roman"/>
          <w:szCs w:val="24"/>
        </w:rPr>
        <w:t>he contingent commission users</w:t>
      </w:r>
      <w:r>
        <w:rPr>
          <w:rFonts w:cs="Times New Roman"/>
          <w:szCs w:val="24"/>
        </w:rPr>
        <w:t xml:space="preserve"> are more diversified in both lines of business and geography. </w:t>
      </w:r>
      <w:r w:rsidRPr="00356C78">
        <w:rPr>
          <w:rFonts w:cs="Times New Roman"/>
          <w:szCs w:val="24"/>
        </w:rPr>
        <w:t xml:space="preserve"> </w:t>
      </w:r>
      <w:r>
        <w:rPr>
          <w:rFonts w:cs="Times New Roman"/>
          <w:szCs w:val="24"/>
        </w:rPr>
        <w:t>Moreover, t</w:t>
      </w:r>
      <w:r w:rsidR="00A0667C" w:rsidRPr="00356C78">
        <w:rPr>
          <w:rFonts w:cs="Times New Roman"/>
          <w:szCs w:val="24"/>
        </w:rPr>
        <w:t xml:space="preserve">he contingent commission users tend to use more reinsurance </w:t>
      </w:r>
      <w:r w:rsidR="003904E4">
        <w:rPr>
          <w:rFonts w:cs="Times New Roman"/>
          <w:szCs w:val="24"/>
        </w:rPr>
        <w:t>volume</w:t>
      </w:r>
      <w:r>
        <w:rPr>
          <w:rFonts w:cs="Times New Roman"/>
          <w:szCs w:val="24"/>
        </w:rPr>
        <w:t>, with a value of 0.</w:t>
      </w:r>
      <w:r w:rsidR="00560145">
        <w:rPr>
          <w:rFonts w:cs="Times New Roman"/>
          <w:szCs w:val="24"/>
        </w:rPr>
        <w:t>90</w:t>
      </w:r>
      <w:r>
        <w:rPr>
          <w:rFonts w:cs="Times New Roman"/>
          <w:szCs w:val="24"/>
        </w:rPr>
        <w:t xml:space="preserve"> for users compared to a value of 0.</w:t>
      </w:r>
      <w:r w:rsidR="00560145">
        <w:rPr>
          <w:rFonts w:cs="Times New Roman"/>
          <w:szCs w:val="24"/>
        </w:rPr>
        <w:t>51</w:t>
      </w:r>
      <w:r>
        <w:rPr>
          <w:rFonts w:cs="Times New Roman"/>
          <w:szCs w:val="24"/>
        </w:rPr>
        <w:t xml:space="preserve"> for nonusers. T</w:t>
      </w:r>
      <w:r w:rsidR="003904E4">
        <w:rPr>
          <w:rFonts w:cs="Times New Roman"/>
          <w:szCs w:val="24"/>
        </w:rPr>
        <w:t xml:space="preserve">he nonusers </w:t>
      </w:r>
      <w:r w:rsidR="00A0667C" w:rsidRPr="00356C78">
        <w:rPr>
          <w:rFonts w:cs="Times New Roman"/>
          <w:szCs w:val="24"/>
        </w:rPr>
        <w:t>expend more on a</w:t>
      </w:r>
      <w:r>
        <w:rPr>
          <w:rFonts w:cs="Times New Roman"/>
          <w:szCs w:val="24"/>
        </w:rPr>
        <w:t>dvertisings than users while the users tend to spend more on surveys and audits compared to nonusers.</w:t>
      </w:r>
      <w:r w:rsidR="00A0667C" w:rsidRPr="00356C78">
        <w:rPr>
          <w:rFonts w:cs="Times New Roman"/>
          <w:szCs w:val="24"/>
        </w:rPr>
        <w:t xml:space="preserve"> As can be seen, </w:t>
      </w:r>
      <w:r>
        <w:rPr>
          <w:rFonts w:cs="Times New Roman"/>
          <w:szCs w:val="24"/>
        </w:rPr>
        <w:t>77.</w:t>
      </w:r>
      <w:r w:rsidR="00560145">
        <w:rPr>
          <w:rFonts w:cs="Times New Roman"/>
          <w:szCs w:val="24"/>
        </w:rPr>
        <w:t>0</w:t>
      </w:r>
      <w:r w:rsidR="00A0667C" w:rsidRPr="00356C78">
        <w:rPr>
          <w:rFonts w:cs="Times New Roman"/>
          <w:szCs w:val="24"/>
        </w:rPr>
        <w:t xml:space="preserve">% of users are stock firms while </w:t>
      </w:r>
      <w:r w:rsidR="00560145">
        <w:rPr>
          <w:rFonts w:cs="Times New Roman"/>
          <w:szCs w:val="24"/>
        </w:rPr>
        <w:t>72.8</w:t>
      </w:r>
      <w:r w:rsidR="00A0667C" w:rsidRPr="00356C78">
        <w:rPr>
          <w:rFonts w:cs="Times New Roman"/>
          <w:szCs w:val="24"/>
        </w:rPr>
        <w:t xml:space="preserve">% of nonusers are stock firms. </w:t>
      </w:r>
      <w:r w:rsidR="003904E4">
        <w:rPr>
          <w:rFonts w:cs="Times New Roman"/>
          <w:szCs w:val="24"/>
        </w:rPr>
        <w:t>81.0</w:t>
      </w:r>
      <w:r>
        <w:rPr>
          <w:rFonts w:cs="Times New Roman"/>
          <w:szCs w:val="24"/>
        </w:rPr>
        <w:t>% of users ar</w:t>
      </w:r>
      <w:r w:rsidR="003904E4">
        <w:rPr>
          <w:rFonts w:cs="Times New Roman"/>
          <w:szCs w:val="24"/>
        </w:rPr>
        <w:t>e group members while only 5</w:t>
      </w:r>
      <w:r w:rsidR="00560145">
        <w:rPr>
          <w:rFonts w:cs="Times New Roman"/>
          <w:szCs w:val="24"/>
        </w:rPr>
        <w:t>0</w:t>
      </w:r>
      <w:r w:rsidR="003904E4">
        <w:rPr>
          <w:rFonts w:cs="Times New Roman"/>
          <w:szCs w:val="24"/>
        </w:rPr>
        <w:t>.</w:t>
      </w:r>
      <w:r w:rsidR="00560145">
        <w:rPr>
          <w:rFonts w:cs="Times New Roman"/>
          <w:szCs w:val="24"/>
        </w:rPr>
        <w:t>7</w:t>
      </w:r>
      <w:r>
        <w:rPr>
          <w:rFonts w:cs="Times New Roman"/>
          <w:szCs w:val="24"/>
        </w:rPr>
        <w:t>% of no</w:t>
      </w:r>
      <w:r w:rsidR="003904E4">
        <w:rPr>
          <w:rFonts w:cs="Times New Roman"/>
          <w:szCs w:val="24"/>
        </w:rPr>
        <w:t>nusers are not. Similarly, 66.</w:t>
      </w:r>
      <w:r w:rsidR="00560145">
        <w:rPr>
          <w:rFonts w:cs="Times New Roman"/>
          <w:szCs w:val="24"/>
        </w:rPr>
        <w:t>4</w:t>
      </w:r>
      <w:r>
        <w:rPr>
          <w:rFonts w:cs="Times New Roman"/>
          <w:szCs w:val="24"/>
        </w:rPr>
        <w:t>% of users use independent agen</w:t>
      </w:r>
      <w:r w:rsidR="003904E4">
        <w:rPr>
          <w:rFonts w:cs="Times New Roman"/>
          <w:szCs w:val="24"/>
        </w:rPr>
        <w:t>cies or brokers while only 32.</w:t>
      </w:r>
      <w:r w:rsidR="00560145">
        <w:rPr>
          <w:rFonts w:cs="Times New Roman"/>
          <w:szCs w:val="24"/>
        </w:rPr>
        <w:t>1</w:t>
      </w:r>
      <w:r>
        <w:rPr>
          <w:rFonts w:cs="Times New Roman"/>
          <w:szCs w:val="24"/>
        </w:rPr>
        <w:t xml:space="preserve">% of nonusers do. </w:t>
      </w:r>
      <w:r w:rsidR="00A0667C" w:rsidRPr="00356C78">
        <w:rPr>
          <w:rFonts w:cs="Times New Roman"/>
          <w:szCs w:val="24"/>
        </w:rPr>
        <w:t>Also, 0.</w:t>
      </w:r>
      <w:r w:rsidR="003904E4">
        <w:rPr>
          <w:rFonts w:cs="Times New Roman"/>
          <w:szCs w:val="24"/>
        </w:rPr>
        <w:t>5</w:t>
      </w:r>
      <w:r w:rsidR="00A0667C" w:rsidRPr="00356C78">
        <w:rPr>
          <w:rFonts w:cs="Times New Roman"/>
          <w:szCs w:val="24"/>
        </w:rPr>
        <w:t>% of users are publicly traded firms while 0.</w:t>
      </w:r>
      <w:r w:rsidR="003904E4">
        <w:rPr>
          <w:rFonts w:cs="Times New Roman"/>
          <w:szCs w:val="24"/>
        </w:rPr>
        <w:t>2</w:t>
      </w:r>
      <w:r w:rsidR="00A0667C" w:rsidRPr="00356C78">
        <w:rPr>
          <w:rFonts w:cs="Times New Roman"/>
          <w:szCs w:val="24"/>
        </w:rPr>
        <w:t>% of nonusers are publicly traded firms.</w:t>
      </w:r>
    </w:p>
    <w:p w14:paraId="3F0B13D5" w14:textId="09B8678B" w:rsidR="00E01303" w:rsidRPr="002E68C5" w:rsidRDefault="00625952" w:rsidP="004773D8">
      <w:r>
        <w:t>Table 2 reports the T-test results for the differences in variable means between firm-years with contingent commissions payments (Usecont = 1) and those without contingent commissions payments (Usecont = 0)</w:t>
      </w:r>
      <w:r w:rsidR="00C274DB">
        <w:t xml:space="preserve"> after matching</w:t>
      </w:r>
      <w:r>
        <w:t xml:space="preserve">. </w:t>
      </w:r>
      <w:r w:rsidR="00C274DB">
        <w:t>The original sample includes 4,5</w:t>
      </w:r>
      <w:r w:rsidR="00560145">
        <w:t>45</w:t>
      </w:r>
      <w:r w:rsidR="00C274DB">
        <w:t xml:space="preserve"> observations of contingent commissions’ users and 2,9</w:t>
      </w:r>
      <w:r w:rsidR="00560145">
        <w:t>48</w:t>
      </w:r>
      <w:r w:rsidR="00C274DB">
        <w:t xml:space="preserve"> observations of nonusers. After matching, the sample reduces to 4,0</w:t>
      </w:r>
      <w:r w:rsidR="00560145">
        <w:t xml:space="preserve">25 </w:t>
      </w:r>
      <w:r w:rsidR="00C274DB">
        <w:t>firm-ye</w:t>
      </w:r>
      <w:r w:rsidR="00560145">
        <w:t xml:space="preserve">ar observations of users and 2,797 </w:t>
      </w:r>
      <w:r w:rsidR="00C274DB">
        <w:t xml:space="preserve">firm-year observations of nonusers. </w:t>
      </w:r>
      <w:r w:rsidR="002E68C5">
        <w:t xml:space="preserve">As can be seen, the difference in means of both loss ratio and combined ratio is reduced a lot. The difference in means of loss ratio is reduced from </w:t>
      </w:r>
      <w:r w:rsidR="00560145">
        <w:t>-0.038</w:t>
      </w:r>
      <w:r w:rsidR="002E68C5">
        <w:t xml:space="preserve"> to </w:t>
      </w:r>
      <w:r w:rsidR="00195FD3">
        <w:t>0.02</w:t>
      </w:r>
      <w:r w:rsidR="00560145">
        <w:t>9</w:t>
      </w:r>
      <w:r w:rsidR="002E68C5">
        <w:t>. At the same times, the difference in means of combin</w:t>
      </w:r>
      <w:r w:rsidR="00195FD3">
        <w:t xml:space="preserve">ed ratio is reduced from </w:t>
      </w:r>
      <w:r w:rsidR="00560145">
        <w:t>0.032</w:t>
      </w:r>
      <w:r w:rsidR="00195FD3">
        <w:t xml:space="preserve"> to 0.01</w:t>
      </w:r>
      <w:r w:rsidR="00560145">
        <w:t>9</w:t>
      </w:r>
      <w:r w:rsidR="002E68C5">
        <w:t xml:space="preserve">. </w:t>
      </w:r>
      <w:r w:rsidR="00C274DB">
        <w:t>Although</w:t>
      </w:r>
      <w:r>
        <w:t xml:space="preserve"> the matching </w:t>
      </w:r>
      <w:r w:rsidR="00C274DB">
        <w:t xml:space="preserve">is not perfect, the means of most of covariates are no longer significantly different. For covariates </w:t>
      </w:r>
      <w:r w:rsidR="00C274DB">
        <w:lastRenderedPageBreak/>
        <w:t>that the difference of means are still significantly different, the difference becomes much smaller, suggesting that the matched sample is well balanced between the two groups of firms compared to the original sample.</w:t>
      </w:r>
    </w:p>
    <w:p w14:paraId="2704B596" w14:textId="77777777" w:rsidR="00E01303" w:rsidRDefault="002E68C5" w:rsidP="004773D8">
      <w:pPr>
        <w:ind w:firstLine="0"/>
        <w:rPr>
          <w:rFonts w:cs="Times New Roman"/>
          <w:b/>
        </w:rPr>
      </w:pPr>
      <w:r>
        <w:rPr>
          <w:rFonts w:cs="Times New Roman"/>
          <w:b/>
        </w:rPr>
        <w:t>5. Results</w:t>
      </w:r>
    </w:p>
    <w:p w14:paraId="7AB701D9" w14:textId="77777777" w:rsidR="002E68C5" w:rsidRDefault="00C51768" w:rsidP="004773D8">
      <w:r>
        <w:t xml:space="preserve">A Probit model is employed to estimate the likelihood (propensity score) of contingent commissions usage based on firm characteristics, the result of which is shown </w:t>
      </w:r>
      <w:r w:rsidR="003D2F89">
        <w:t xml:space="preserve">in </w:t>
      </w:r>
      <w:r>
        <w:t xml:space="preserve">Table 3. We can see that insurers that are larger in size, </w:t>
      </w:r>
      <w:r w:rsidR="00DB73C4">
        <w:t xml:space="preserve">writing fewer premiums </w:t>
      </w:r>
      <w:r>
        <w:t>in commercial lines, more diversified in both lines of business and locations are more likely to include contingent commissions in their compensation scheme. In addition, insurers that are group members</w:t>
      </w:r>
      <w:r w:rsidR="00DB73C4">
        <w:t xml:space="preserve">, having an organizational form of mutual insurers, or </w:t>
      </w:r>
      <w:r>
        <w:t>using ind</w:t>
      </w:r>
      <w:r w:rsidR="00DB73C4">
        <w:t xml:space="preserve">ependent agencies or brokers tend to employ contingent commissions. </w:t>
      </w:r>
    </w:p>
    <w:p w14:paraId="59CED12D" w14:textId="02690449" w:rsidR="002E68C5" w:rsidRDefault="00BF1D5F" w:rsidP="004773D8">
      <w:r>
        <w:t xml:space="preserve">Equation (1) and equation (2) are examined </w:t>
      </w:r>
      <w:r w:rsidR="003D2F89">
        <w:t xml:space="preserve">on the matched sample to evaluate whether underwriting performance is associated with the use of contingent commissions with the loss ratio and the combined ratio as dependent variables separately. The results are reported in Table 4. </w:t>
      </w:r>
      <w:r w:rsidR="00301CEE">
        <w:t xml:space="preserve">The fixed effects will be tested in future study. I will employ </w:t>
      </w:r>
      <w:r w:rsidR="009C1A04">
        <w:t xml:space="preserve">a Hausman test where the null hypothesis is that the preferred model is random effects against the alternative the fixed effects. </w:t>
      </w:r>
      <w:r w:rsidR="003D2F89">
        <w:t>The estimated coefficient</w:t>
      </w:r>
      <w:r w:rsidR="001D14E1">
        <w:t>s</w:t>
      </w:r>
      <w:r w:rsidR="003D2F89">
        <w:t xml:space="preserve"> for the contingent commission indicator variable </w:t>
      </w:r>
      <w:r w:rsidR="001D14E1">
        <w:t>are</w:t>
      </w:r>
      <w:r w:rsidR="003D2F89">
        <w:t xml:space="preserve"> negative and significant in both models, with </w:t>
      </w:r>
      <w:r w:rsidR="00A83224">
        <w:t xml:space="preserve">a </w:t>
      </w:r>
      <w:r w:rsidR="003D2F89">
        <w:t>significance level of 5%</w:t>
      </w:r>
      <w:r w:rsidR="00A83224">
        <w:t>. This results indicate that contingent commissions’ usage improves underwriting performance. Although contingent commission users may have higher expense ratios, the increased underwriting costs can be offset by the savings from improved loss performance.</w:t>
      </w:r>
    </w:p>
    <w:p w14:paraId="6E3B8230" w14:textId="5BEDB41F" w:rsidR="001D14E1" w:rsidRPr="00356C78" w:rsidRDefault="001D14E1" w:rsidP="004773D8">
      <w:r>
        <w:t>For control variables, size is found to be positive and significantly related to the loss ratio and negative and significantly associated with the combined ratio</w:t>
      </w:r>
      <w:r>
        <w:rPr>
          <w:rFonts w:hint="eastAsia"/>
        </w:rPr>
        <w:t>,</w:t>
      </w:r>
      <w:r>
        <w:t xml:space="preserve"> which indicates that larger insurers have a higher loss ratio as well as a much lower expense ratio. One explanation is that </w:t>
      </w:r>
      <w:r>
        <w:lastRenderedPageBreak/>
        <w:t>large firms could realize economies of scale. The estimated coefficients for commercial-line variable are negative and significant in both models with a significance level of 1%, indicating that insurers writing more premiums in commercial lines have better underwriting performance. Leverage is found to be positive and signific</w:t>
      </w:r>
      <w:r w:rsidR="009D2826">
        <w:t>antly related to the loss ratio and positive but not significantly related to the combined ratio</w:t>
      </w:r>
      <w:r w:rsidR="00030D56">
        <w:t xml:space="preserve">, which indicates that a more leveraged insurer is not associated with a better underwriting </w:t>
      </w:r>
      <w:r w:rsidR="00560145">
        <w:t>performance</w:t>
      </w:r>
      <w:r w:rsidR="00030D56">
        <w:t xml:space="preserve">. </w:t>
      </w:r>
      <w:r>
        <w:t xml:space="preserve"> </w:t>
      </w:r>
      <w:r w:rsidR="0083153C">
        <w:t xml:space="preserve">This finding is </w:t>
      </w:r>
      <w:r w:rsidR="00030D56">
        <w:t>in</w:t>
      </w:r>
      <w:r w:rsidR="0083153C">
        <w:t xml:space="preserve">consistent </w:t>
      </w:r>
      <w:r w:rsidR="0083153C" w:rsidRPr="0083153C">
        <w:t xml:space="preserve">with </w:t>
      </w:r>
      <w:r w:rsidR="00030D56">
        <w:t xml:space="preserve">either </w:t>
      </w:r>
      <w:r w:rsidR="0083153C" w:rsidRPr="0083153C">
        <w:t xml:space="preserve">MM’s Proposition II </w:t>
      </w:r>
      <w:r w:rsidR="00030D56">
        <w:t xml:space="preserve">or </w:t>
      </w:r>
      <w:r w:rsidR="0083153C" w:rsidRPr="0083153C">
        <w:t xml:space="preserve">the free cash ﬂow hypothesis. </w:t>
      </w:r>
      <w:r w:rsidR="009D2826">
        <w:t xml:space="preserve">Insurers that are more diversified in both lines of business and locations are found to be associated with better underwriting performance. Stock firms show better underwriting performance compared to mutual insurers. In addition, insurers that are group members are positive and significantly associated with both </w:t>
      </w:r>
      <w:r w:rsidR="005A2F02">
        <w:t xml:space="preserve">the </w:t>
      </w:r>
      <w:r w:rsidR="009D2826">
        <w:t xml:space="preserve">loss ratio and </w:t>
      </w:r>
      <w:r w:rsidR="005A2F02">
        <w:t xml:space="preserve">the </w:t>
      </w:r>
      <w:r w:rsidR="009D2826">
        <w:t xml:space="preserve">combined ratio. </w:t>
      </w:r>
      <w:r w:rsidR="005A2F02">
        <w:t xml:space="preserve">Similarly, the coefficient of publicly traded insurers are positive and significant in the loss ratio regression. Moreover, insurers with more premiums written in reinsurance show worse underwriting performance. </w:t>
      </w:r>
    </w:p>
    <w:p w14:paraId="7BFE5947" w14:textId="66B33569" w:rsidR="00AA74DF" w:rsidRDefault="00DB5A22" w:rsidP="004773D8">
      <w:r>
        <w:t xml:space="preserve">To </w:t>
      </w:r>
      <w:r w:rsidR="00204B5F">
        <w:t>examine Hypothesis 2</w:t>
      </w:r>
      <w:r>
        <w:t xml:space="preserve">, </w:t>
      </w:r>
      <w:r w:rsidR="00BF1D5F">
        <w:t xml:space="preserve">equation (3) and equation (4) are examined </w:t>
      </w:r>
      <w:r>
        <w:t xml:space="preserve">on the matched sample containing </w:t>
      </w:r>
      <w:r w:rsidR="00204B5F">
        <w:t xml:space="preserve">only </w:t>
      </w:r>
      <w:r>
        <w:t xml:space="preserve">firms </w:t>
      </w:r>
      <w:r w:rsidR="00204B5F">
        <w:t>including</w:t>
      </w:r>
      <w:r>
        <w:t xml:space="preserve"> contingent commissions in their incentive compensation scheme. The contingent commission indicator is replaced with the proportion of contingent commissions used to total commissions as the variable of interest. Table 5 presents the results of the regression models that examine the relationship between underwriting performance and the proportion of contingent commissions</w:t>
      </w:r>
      <w:r w:rsidR="00204B5F">
        <w:t xml:space="preserve">. As can be </w:t>
      </w:r>
      <w:r w:rsidR="0092209D">
        <w:t xml:space="preserve">seen, the coefficient of the contingent commission variable is negative and significantly related to the loss ratio, indicating that the loss ratio declines as the proportion of contingent commissions in total commissions increase. </w:t>
      </w:r>
      <w:r w:rsidR="00204B5F">
        <w:t>However</w:t>
      </w:r>
      <w:r w:rsidR="00711F46">
        <w:t xml:space="preserve">, inconsistent </w:t>
      </w:r>
      <w:r w:rsidR="00AA74DF">
        <w:t xml:space="preserve">with </w:t>
      </w:r>
      <w:r w:rsidR="00711F46">
        <w:t>the findings of Regan and Kleffner (2010)</w:t>
      </w:r>
      <w:r w:rsidR="00AA74DF">
        <w:t xml:space="preserve">, the coefficient of interest is positive but not significant in the model with the combined ratio as dependent variable. The results indicate that although firms using more contingent commissions experience a statistically </w:t>
      </w:r>
      <w:r w:rsidR="00AA74DF">
        <w:lastRenderedPageBreak/>
        <w:t>significant lower loss ratio, they may also have a relatively higher expense ratios at the same time.</w:t>
      </w:r>
      <w:r w:rsidR="009C1A04">
        <w:t xml:space="preserve"> I will conduct regressions with the expense ratio as the dependent variables to examine whether firms using more contingent commissions experience higher expense ratios. For now,</w:t>
      </w:r>
      <w:r w:rsidR="00AA74DF">
        <w:t xml:space="preserve"> </w:t>
      </w:r>
      <w:r w:rsidR="009C1A04">
        <w:t>a</w:t>
      </w:r>
      <w:r w:rsidR="00AA74DF" w:rsidRPr="00AA74DF">
        <w:t xml:space="preserve">n implication of the results is that the benefits of </w:t>
      </w:r>
      <w:r w:rsidR="00033457">
        <w:t>contingent commissions</w:t>
      </w:r>
      <w:r w:rsidR="00AA74DF" w:rsidRPr="00AA74DF">
        <w:t xml:space="preserve"> </w:t>
      </w:r>
      <w:r w:rsidR="00033457">
        <w:t xml:space="preserve">on insurers’ underwriting performance </w:t>
      </w:r>
      <w:r w:rsidR="00AA74DF" w:rsidRPr="00AA74DF">
        <w:t xml:space="preserve">become smaller beyond a threshold. Further research </w:t>
      </w:r>
      <w:r w:rsidR="00033457">
        <w:t>can try to find the optimal threshold</w:t>
      </w:r>
      <w:r w:rsidR="00AA74DF" w:rsidRPr="00AA74DF">
        <w:t>.</w:t>
      </w:r>
      <w:r w:rsidR="00033457">
        <w:t xml:space="preserve"> In a word, i</w:t>
      </w:r>
      <w:r w:rsidR="00AA74DF" w:rsidRPr="00AA74DF">
        <w:t xml:space="preserve">nsurers have to determine an appropriate </w:t>
      </w:r>
      <w:r w:rsidR="00033457">
        <w:t>proportion of contingent commissions used in total commissions</w:t>
      </w:r>
      <w:r w:rsidR="00AA74DF" w:rsidRPr="00AA74DF">
        <w:t xml:space="preserve">, depending on their individual situations, </w:t>
      </w:r>
      <w:r w:rsidR="00033457">
        <w:t xml:space="preserve">meaning that </w:t>
      </w:r>
      <w:r w:rsidR="00AA74DF" w:rsidRPr="00AA74DF">
        <w:t xml:space="preserve">they have to try to strike a balance between </w:t>
      </w:r>
      <w:r w:rsidR="00033457">
        <w:t xml:space="preserve">the increased expense ratio </w:t>
      </w:r>
      <w:r w:rsidR="00AA74DF" w:rsidRPr="00AA74DF">
        <w:t>and reduc</w:t>
      </w:r>
      <w:r w:rsidR="00033457">
        <w:t>ed loss ratio</w:t>
      </w:r>
      <w:r w:rsidR="00AA74DF" w:rsidRPr="00AA74DF">
        <w:t>.</w:t>
      </w:r>
      <w:r w:rsidR="009C1A04">
        <w:t xml:space="preserve"> </w:t>
      </w:r>
    </w:p>
    <w:p w14:paraId="67B40415" w14:textId="09945109" w:rsidR="00C216A6" w:rsidRDefault="00C216A6" w:rsidP="004773D8">
      <w:r>
        <w:t xml:space="preserve">For control variables, similar to the findings of previous two models with contingent </w:t>
      </w:r>
      <w:r w:rsidR="003C0168">
        <w:t>commission</w:t>
      </w:r>
      <w:r>
        <w:t xml:space="preserve"> indicator, size is positive and significantly related to the loss ratio</w:t>
      </w:r>
      <w:r w:rsidR="003C0168">
        <w:t xml:space="preserve"> but losses significance in the combined ratio model</w:t>
      </w:r>
      <w:r>
        <w:t>. Commercial line variable is found to be negative and significantly associated with both the loss ratio and the combined ratio</w:t>
      </w:r>
      <w:r w:rsidR="00030D56">
        <w:t xml:space="preserve">, indicating that insurers with more premiums written in commercial lines have better underwriting performance. According to Cummins and Doherty (2006), </w:t>
      </w:r>
      <w:r w:rsidR="00030D56" w:rsidRPr="00030D56">
        <w:t xml:space="preserve">the need for underwriting assistance by intermediaries is the greatest for “complex coverages </w:t>
      </w:r>
      <w:r w:rsidR="00030D56">
        <w:t>such as the commercial PC lines</w:t>
      </w:r>
      <w:r w:rsidR="00030D56" w:rsidRPr="00030D56">
        <w:t>”</w:t>
      </w:r>
      <w:r w:rsidR="00030D56">
        <w:t>.</w:t>
      </w:r>
      <w:r w:rsidR="00030D56" w:rsidRPr="00030D56">
        <w:t xml:space="preserve"> </w:t>
      </w:r>
      <w:r w:rsidR="00F42DF1">
        <w:t xml:space="preserve">Thus, this result may also suggest the positive effect of contingent commission use on insurers’ underwriting performance. </w:t>
      </w:r>
      <w:r>
        <w:t xml:space="preserve">Moreover, more leveraged insurers are associated with higher loss ratio. </w:t>
      </w:r>
      <w:r w:rsidR="003C0168" w:rsidRPr="00C216A6">
        <w:t xml:space="preserve">Stock firms </w:t>
      </w:r>
      <w:r w:rsidR="003C0168">
        <w:t xml:space="preserve">again </w:t>
      </w:r>
      <w:r w:rsidR="003C0168" w:rsidRPr="00C216A6">
        <w:t>show better underwriting performance compared to mutual insurers.</w:t>
      </w:r>
      <w:r w:rsidR="003C0168">
        <w:t xml:space="preserve"> T</w:t>
      </w:r>
      <w:r w:rsidR="003C0168" w:rsidRPr="00C216A6">
        <w:t xml:space="preserve">he coefficient of insurers </w:t>
      </w:r>
      <w:r w:rsidR="003C0168">
        <w:t xml:space="preserve">using independent agencies or brokers </w:t>
      </w:r>
      <w:r w:rsidR="003C0168" w:rsidRPr="00C216A6">
        <w:t xml:space="preserve">are </w:t>
      </w:r>
      <w:r w:rsidR="003C0168">
        <w:t>negative</w:t>
      </w:r>
      <w:r w:rsidR="003C0168" w:rsidRPr="00C216A6">
        <w:t xml:space="preserve"> and significant in the </w:t>
      </w:r>
      <w:r w:rsidR="003C0168">
        <w:t>combined</w:t>
      </w:r>
      <w:r w:rsidR="003C0168" w:rsidRPr="00C216A6">
        <w:t xml:space="preserve"> ratio regression.</w:t>
      </w:r>
      <w:r w:rsidR="003C0168" w:rsidRPr="003C0168">
        <w:t xml:space="preserve"> </w:t>
      </w:r>
      <w:r w:rsidR="003C0168">
        <w:t>Again, in</w:t>
      </w:r>
      <w:r w:rsidR="003C0168" w:rsidRPr="003C0168">
        <w:t>surers with more premiums written in reinsurance show worse underwriting performance.</w:t>
      </w:r>
      <w:r w:rsidR="003C0168">
        <w:t xml:space="preserve"> What is new in these two models is that advertising is found to be positive and significant at 10% in the combined ratio model while survey and audit is negative and significantly related to the combined ratio. In addition, lines-of-business diversification is negative and significantly related to the loss ratio but positive and not significant in the </w:t>
      </w:r>
      <w:r w:rsidR="003C0168">
        <w:lastRenderedPageBreak/>
        <w:t xml:space="preserve">combined ratio model. Geography-diversification also losses its significance in both models. </w:t>
      </w:r>
    </w:p>
    <w:p w14:paraId="000D8D3F" w14:textId="77777777" w:rsidR="00033457" w:rsidRDefault="007B2DFC" w:rsidP="004773D8">
      <w:pPr>
        <w:tabs>
          <w:tab w:val="left" w:pos="1690"/>
        </w:tabs>
        <w:ind w:firstLine="0"/>
        <w:rPr>
          <w:b/>
        </w:rPr>
      </w:pPr>
      <w:r w:rsidRPr="007B2DFC">
        <w:rPr>
          <w:b/>
        </w:rPr>
        <w:t>6. Conclusion</w:t>
      </w:r>
      <w:r w:rsidR="00C216A6" w:rsidRPr="007B2DFC">
        <w:rPr>
          <w:b/>
        </w:rPr>
        <w:tab/>
      </w:r>
    </w:p>
    <w:p w14:paraId="22F067C8" w14:textId="77777777" w:rsidR="007906B8" w:rsidRDefault="007906B8" w:rsidP="008205FC">
      <w:r>
        <w:t xml:space="preserve">I employ OLS models to examine the relationship between contingent commission use and underwriting performance using firm-level PC insurers’ data for the period from 2007 to 2014. The underwriting performance as the dependent variable is measured using the loss ratio and the combined ratio and contingent commission use/ratio of contingent commissions to total commissions paid is the variable of interest. I also control for other firm characteristics including firm size, leverage, commercial line business, diversification, reinsurance, organizational form, group member, independent agency and broker, publicly traded firm, expenditure on advertising, surveys and audits. A treatment effect model is used to control the self-selection bias. I utilize a caliper (caliper=0.005) matching with no replacement on a propensity score estimated with categorical variables in this study under the common support assumption. A matched sample is where any difference in underwriting performance between firms in treated and control groups is due to the use of contingent commissions. </w:t>
      </w:r>
    </w:p>
    <w:p w14:paraId="7BCA187B" w14:textId="77777777" w:rsidR="007906B8" w:rsidRDefault="007906B8" w:rsidP="008205FC">
      <w:r>
        <w:t xml:space="preserve">I find that contingent commissions’ usage improves insurers’ underwriting performance. This result indicates that although contingent commission users may have higher expense ratios, the increased underwriting costs can be offset by the savings from improved loss performance. For firms using contingent commissions, the loss ratio declines as the proportion of contingent commission increases. However, the coefficient of the contingent commission proportion variable is positive but not significantly related to the combined ratio. An implication is that the benefits of contingent commissions on insurers’ underwriting performance become smaller beyond a threshold. Insurers have to determine an appropriate proportion of contingent commissions used in total commissions, trying to strike a balance between the increased expense ratio and reduced loss ratio. Thus, one possible area of further research is to find the optimal </w:t>
      </w:r>
      <w:r>
        <w:lastRenderedPageBreak/>
        <w:t xml:space="preserve">level of contingent commissions in total commissions. This study also provides evidence supporting the relaxed regulation on the ban of using contingent commissions after 2004. </w:t>
      </w:r>
    </w:p>
    <w:p w14:paraId="131A1056" w14:textId="77777777" w:rsidR="00E323CA" w:rsidRPr="007B2DFC" w:rsidRDefault="007906B8" w:rsidP="008205FC">
      <w:pPr>
        <w:rPr>
          <w:b/>
        </w:rPr>
      </w:pPr>
      <w:r>
        <w:t>One drawback of this study is that the matched sample is not well balanced. Significant difference still exists in the mean test of some key variables between firms using contingent commissions and those not although the difference is reduced a lot. Better matching methods could be tried to achieve a more balanced matched sample.</w:t>
      </w:r>
    </w:p>
    <w:p w14:paraId="69F16B36" w14:textId="77777777" w:rsidR="00E01303" w:rsidRPr="00356C78" w:rsidRDefault="00E01303" w:rsidP="004773D8">
      <w:pPr>
        <w:rPr>
          <w:b/>
        </w:rPr>
      </w:pPr>
    </w:p>
    <w:p w14:paraId="6DAAEAC1" w14:textId="77777777" w:rsidR="00E01303" w:rsidRPr="00356C78" w:rsidRDefault="00E01303" w:rsidP="004773D8">
      <w:pPr>
        <w:rPr>
          <w:b/>
        </w:rPr>
      </w:pPr>
    </w:p>
    <w:p w14:paraId="50FCDCC8" w14:textId="77777777" w:rsidR="00E01303" w:rsidRPr="00356C78" w:rsidRDefault="00E01303" w:rsidP="004773D8">
      <w:pPr>
        <w:spacing w:line="240" w:lineRule="auto"/>
        <w:rPr>
          <w:rFonts w:cs="Times New Roman"/>
          <w:b/>
        </w:rPr>
      </w:pPr>
    </w:p>
    <w:p w14:paraId="0FAEC970" w14:textId="77777777" w:rsidR="00326E5D" w:rsidRDefault="00326E5D" w:rsidP="004773D8">
      <w:pPr>
        <w:spacing w:line="240" w:lineRule="auto"/>
        <w:ind w:firstLine="0"/>
        <w:rPr>
          <w:rFonts w:cs="Times New Roman"/>
          <w:b/>
        </w:rPr>
      </w:pPr>
    </w:p>
    <w:p w14:paraId="3F728CED" w14:textId="77777777" w:rsidR="00326E5D" w:rsidRDefault="00326E5D" w:rsidP="004773D8">
      <w:pPr>
        <w:spacing w:line="240" w:lineRule="auto"/>
        <w:ind w:firstLine="0"/>
        <w:rPr>
          <w:rFonts w:cs="Times New Roman"/>
          <w:b/>
        </w:rPr>
      </w:pPr>
    </w:p>
    <w:p w14:paraId="289545A1" w14:textId="77777777" w:rsidR="00326E5D" w:rsidRDefault="00326E5D" w:rsidP="004773D8">
      <w:pPr>
        <w:spacing w:line="240" w:lineRule="auto"/>
        <w:ind w:firstLine="0"/>
        <w:rPr>
          <w:rFonts w:cs="Times New Roman"/>
          <w:b/>
        </w:rPr>
      </w:pPr>
    </w:p>
    <w:p w14:paraId="019CE9B0" w14:textId="77777777" w:rsidR="00326E5D" w:rsidRDefault="00326E5D" w:rsidP="004773D8">
      <w:pPr>
        <w:spacing w:line="240" w:lineRule="auto"/>
        <w:ind w:firstLine="0"/>
        <w:rPr>
          <w:rFonts w:cs="Times New Roman"/>
          <w:b/>
        </w:rPr>
      </w:pPr>
    </w:p>
    <w:p w14:paraId="7BBDC140" w14:textId="77777777" w:rsidR="00326E5D" w:rsidRDefault="00326E5D" w:rsidP="004773D8">
      <w:pPr>
        <w:spacing w:line="240" w:lineRule="auto"/>
        <w:ind w:firstLine="0"/>
        <w:rPr>
          <w:rFonts w:cs="Times New Roman"/>
          <w:b/>
        </w:rPr>
      </w:pPr>
    </w:p>
    <w:p w14:paraId="39ABBCEC" w14:textId="77777777" w:rsidR="00326E5D" w:rsidRDefault="00326E5D" w:rsidP="004773D8">
      <w:pPr>
        <w:spacing w:line="240" w:lineRule="auto"/>
        <w:ind w:firstLine="0"/>
        <w:rPr>
          <w:rFonts w:cs="Times New Roman"/>
          <w:b/>
        </w:rPr>
      </w:pPr>
    </w:p>
    <w:p w14:paraId="0C7B74BE" w14:textId="77777777" w:rsidR="00A7730C" w:rsidRDefault="00A7730C" w:rsidP="004773D8">
      <w:pPr>
        <w:spacing w:line="240" w:lineRule="auto"/>
        <w:ind w:firstLine="0"/>
        <w:rPr>
          <w:rFonts w:cs="Times New Roman"/>
          <w:b/>
        </w:rPr>
      </w:pPr>
    </w:p>
    <w:p w14:paraId="773A49AD" w14:textId="77777777" w:rsidR="00A7730C" w:rsidRDefault="00A7730C" w:rsidP="004773D8">
      <w:pPr>
        <w:spacing w:line="240" w:lineRule="auto"/>
        <w:ind w:firstLine="0"/>
        <w:rPr>
          <w:rFonts w:cs="Times New Roman"/>
          <w:b/>
        </w:rPr>
      </w:pPr>
    </w:p>
    <w:p w14:paraId="12297BF2" w14:textId="77777777" w:rsidR="00A7730C" w:rsidRDefault="00A7730C" w:rsidP="004773D8">
      <w:pPr>
        <w:spacing w:line="240" w:lineRule="auto"/>
        <w:ind w:firstLine="0"/>
        <w:rPr>
          <w:rFonts w:cs="Times New Roman"/>
          <w:b/>
        </w:rPr>
      </w:pPr>
    </w:p>
    <w:p w14:paraId="5C849D66" w14:textId="77777777" w:rsidR="00A7730C" w:rsidRDefault="00A7730C" w:rsidP="004773D8">
      <w:pPr>
        <w:spacing w:line="240" w:lineRule="auto"/>
        <w:ind w:firstLine="0"/>
        <w:rPr>
          <w:rFonts w:cs="Times New Roman"/>
          <w:b/>
        </w:rPr>
      </w:pPr>
    </w:p>
    <w:p w14:paraId="66972B84" w14:textId="77777777" w:rsidR="00A7730C" w:rsidRDefault="00A7730C" w:rsidP="004773D8">
      <w:pPr>
        <w:spacing w:line="240" w:lineRule="auto"/>
        <w:ind w:firstLine="0"/>
        <w:rPr>
          <w:rFonts w:cs="Times New Roman"/>
          <w:b/>
        </w:rPr>
      </w:pPr>
    </w:p>
    <w:p w14:paraId="506D6282" w14:textId="77777777" w:rsidR="00A7730C" w:rsidRDefault="00A7730C" w:rsidP="004773D8">
      <w:pPr>
        <w:spacing w:line="240" w:lineRule="auto"/>
        <w:ind w:firstLine="0"/>
        <w:rPr>
          <w:rFonts w:cs="Times New Roman"/>
          <w:b/>
        </w:rPr>
      </w:pPr>
    </w:p>
    <w:p w14:paraId="0F690339" w14:textId="77777777" w:rsidR="00A7730C" w:rsidRDefault="00A7730C" w:rsidP="004773D8">
      <w:pPr>
        <w:spacing w:line="240" w:lineRule="auto"/>
        <w:ind w:firstLine="0"/>
        <w:rPr>
          <w:rFonts w:cs="Times New Roman"/>
          <w:b/>
        </w:rPr>
      </w:pPr>
    </w:p>
    <w:p w14:paraId="4AAD6E0F" w14:textId="77777777" w:rsidR="00A7730C" w:rsidRDefault="00A7730C" w:rsidP="004773D8">
      <w:pPr>
        <w:spacing w:line="240" w:lineRule="auto"/>
        <w:ind w:firstLine="0"/>
        <w:rPr>
          <w:rFonts w:cs="Times New Roman"/>
          <w:b/>
        </w:rPr>
      </w:pPr>
    </w:p>
    <w:p w14:paraId="7A6412CE" w14:textId="77777777" w:rsidR="00A7730C" w:rsidRDefault="00A7730C" w:rsidP="004773D8">
      <w:pPr>
        <w:spacing w:line="240" w:lineRule="auto"/>
        <w:ind w:firstLine="0"/>
        <w:rPr>
          <w:rFonts w:cs="Times New Roman"/>
          <w:b/>
        </w:rPr>
      </w:pPr>
    </w:p>
    <w:p w14:paraId="6C327579" w14:textId="77777777" w:rsidR="00A7730C" w:rsidRDefault="00A7730C" w:rsidP="004773D8">
      <w:pPr>
        <w:spacing w:line="240" w:lineRule="auto"/>
        <w:ind w:firstLine="0"/>
        <w:rPr>
          <w:rFonts w:cs="Times New Roman"/>
          <w:b/>
        </w:rPr>
      </w:pPr>
    </w:p>
    <w:p w14:paraId="66D1A0E9" w14:textId="77777777" w:rsidR="00A7730C" w:rsidRDefault="00A7730C" w:rsidP="004773D8">
      <w:pPr>
        <w:spacing w:line="240" w:lineRule="auto"/>
        <w:ind w:firstLine="0"/>
        <w:rPr>
          <w:rFonts w:cs="Times New Roman"/>
          <w:b/>
        </w:rPr>
      </w:pPr>
    </w:p>
    <w:p w14:paraId="1316F186" w14:textId="77777777" w:rsidR="00A7730C" w:rsidRDefault="00A7730C" w:rsidP="004773D8">
      <w:pPr>
        <w:spacing w:line="240" w:lineRule="auto"/>
        <w:ind w:firstLine="0"/>
        <w:rPr>
          <w:rFonts w:cs="Times New Roman"/>
          <w:b/>
        </w:rPr>
      </w:pPr>
    </w:p>
    <w:p w14:paraId="723C6437" w14:textId="77777777" w:rsidR="00A7730C" w:rsidRDefault="00A7730C" w:rsidP="004773D8">
      <w:pPr>
        <w:spacing w:line="240" w:lineRule="auto"/>
        <w:ind w:firstLine="0"/>
        <w:rPr>
          <w:rFonts w:cs="Times New Roman"/>
          <w:b/>
        </w:rPr>
      </w:pPr>
    </w:p>
    <w:p w14:paraId="11DD7736" w14:textId="77777777" w:rsidR="00A7730C" w:rsidRDefault="00A7730C" w:rsidP="004773D8">
      <w:pPr>
        <w:spacing w:line="240" w:lineRule="auto"/>
        <w:ind w:firstLine="0"/>
        <w:rPr>
          <w:rFonts w:cs="Times New Roman"/>
          <w:b/>
        </w:rPr>
      </w:pPr>
    </w:p>
    <w:p w14:paraId="78331560" w14:textId="77777777" w:rsidR="00A7730C" w:rsidRDefault="00A7730C" w:rsidP="004773D8">
      <w:pPr>
        <w:spacing w:line="240" w:lineRule="auto"/>
        <w:ind w:firstLine="0"/>
        <w:rPr>
          <w:rFonts w:cs="Times New Roman"/>
          <w:b/>
        </w:rPr>
      </w:pPr>
    </w:p>
    <w:p w14:paraId="5AC7FE02" w14:textId="77777777" w:rsidR="00A7730C" w:rsidRDefault="00A7730C" w:rsidP="004773D8">
      <w:pPr>
        <w:spacing w:line="240" w:lineRule="auto"/>
        <w:ind w:firstLine="0"/>
        <w:rPr>
          <w:rFonts w:cs="Times New Roman"/>
          <w:b/>
        </w:rPr>
      </w:pPr>
    </w:p>
    <w:p w14:paraId="45686F90" w14:textId="77777777" w:rsidR="00A7730C" w:rsidRDefault="00A7730C" w:rsidP="004773D8">
      <w:pPr>
        <w:spacing w:line="240" w:lineRule="auto"/>
        <w:ind w:firstLine="0"/>
        <w:rPr>
          <w:rFonts w:cs="Times New Roman"/>
          <w:b/>
        </w:rPr>
      </w:pPr>
    </w:p>
    <w:p w14:paraId="528CC32C" w14:textId="77777777" w:rsidR="00A7730C" w:rsidRDefault="00A7730C" w:rsidP="004773D8">
      <w:pPr>
        <w:spacing w:line="240" w:lineRule="auto"/>
        <w:ind w:firstLine="0"/>
        <w:rPr>
          <w:rFonts w:cs="Times New Roman"/>
          <w:b/>
        </w:rPr>
      </w:pPr>
    </w:p>
    <w:p w14:paraId="19F571F5" w14:textId="77777777" w:rsidR="00F42DF1" w:rsidRDefault="00F42DF1" w:rsidP="004773D8">
      <w:pPr>
        <w:spacing w:line="240" w:lineRule="auto"/>
        <w:ind w:firstLine="0"/>
        <w:rPr>
          <w:rFonts w:cs="Times New Roman"/>
          <w:b/>
        </w:rPr>
      </w:pPr>
    </w:p>
    <w:p w14:paraId="78217381" w14:textId="77777777" w:rsidR="00F42DF1" w:rsidRDefault="00F42DF1" w:rsidP="004773D8">
      <w:pPr>
        <w:spacing w:line="240" w:lineRule="auto"/>
        <w:ind w:firstLine="0"/>
        <w:rPr>
          <w:rFonts w:cs="Times New Roman"/>
          <w:b/>
        </w:rPr>
      </w:pPr>
    </w:p>
    <w:p w14:paraId="36592236" w14:textId="77777777" w:rsidR="00F42DF1" w:rsidRDefault="00F42DF1" w:rsidP="004773D8">
      <w:pPr>
        <w:spacing w:line="240" w:lineRule="auto"/>
        <w:ind w:firstLine="0"/>
        <w:rPr>
          <w:rFonts w:cs="Times New Roman"/>
          <w:b/>
        </w:rPr>
      </w:pPr>
    </w:p>
    <w:p w14:paraId="14823F52" w14:textId="77777777" w:rsidR="00F42DF1" w:rsidRDefault="00F42DF1" w:rsidP="004773D8">
      <w:pPr>
        <w:spacing w:line="240" w:lineRule="auto"/>
        <w:ind w:firstLine="0"/>
        <w:rPr>
          <w:rFonts w:cs="Times New Roman"/>
          <w:b/>
        </w:rPr>
      </w:pPr>
    </w:p>
    <w:p w14:paraId="63C3EE20" w14:textId="77777777" w:rsidR="00F42DF1" w:rsidRDefault="00F42DF1" w:rsidP="004773D8">
      <w:pPr>
        <w:spacing w:line="240" w:lineRule="auto"/>
        <w:ind w:firstLine="0"/>
        <w:rPr>
          <w:rFonts w:cs="Times New Roman"/>
          <w:b/>
        </w:rPr>
      </w:pPr>
    </w:p>
    <w:p w14:paraId="6E932A72" w14:textId="77777777" w:rsidR="00F42DF1" w:rsidRDefault="00F42DF1" w:rsidP="004773D8">
      <w:pPr>
        <w:spacing w:line="240" w:lineRule="auto"/>
        <w:ind w:firstLine="0"/>
        <w:rPr>
          <w:rFonts w:cs="Times New Roman"/>
          <w:b/>
        </w:rPr>
      </w:pPr>
    </w:p>
    <w:p w14:paraId="0414EBA1" w14:textId="77777777" w:rsidR="009C1A04" w:rsidRDefault="009C1A04" w:rsidP="004773D8">
      <w:pPr>
        <w:spacing w:line="240" w:lineRule="auto"/>
        <w:ind w:firstLine="0"/>
        <w:rPr>
          <w:rFonts w:cs="Times New Roman"/>
          <w:b/>
        </w:rPr>
      </w:pPr>
    </w:p>
    <w:p w14:paraId="31A03FA1" w14:textId="77777777" w:rsidR="009C1A04" w:rsidRDefault="009C1A04" w:rsidP="004773D8">
      <w:pPr>
        <w:spacing w:line="240" w:lineRule="auto"/>
        <w:ind w:firstLine="0"/>
        <w:rPr>
          <w:rFonts w:cs="Times New Roman"/>
          <w:b/>
        </w:rPr>
      </w:pPr>
    </w:p>
    <w:p w14:paraId="6BB5C98B" w14:textId="77777777" w:rsidR="009C1A04" w:rsidRDefault="009C1A04" w:rsidP="004773D8">
      <w:pPr>
        <w:spacing w:line="240" w:lineRule="auto"/>
        <w:ind w:firstLine="0"/>
        <w:rPr>
          <w:rFonts w:cs="Times New Roman"/>
          <w:b/>
        </w:rPr>
      </w:pPr>
    </w:p>
    <w:p w14:paraId="3801D355" w14:textId="77777777" w:rsidR="009C1A04" w:rsidRDefault="009C1A04" w:rsidP="004773D8">
      <w:pPr>
        <w:spacing w:line="240" w:lineRule="auto"/>
        <w:ind w:firstLine="0"/>
        <w:rPr>
          <w:rFonts w:cs="Times New Roman"/>
          <w:b/>
        </w:rPr>
      </w:pPr>
    </w:p>
    <w:p w14:paraId="391524D8" w14:textId="77777777" w:rsidR="009C1A04" w:rsidRDefault="009C1A04" w:rsidP="004773D8">
      <w:pPr>
        <w:spacing w:line="240" w:lineRule="auto"/>
        <w:ind w:firstLine="0"/>
        <w:rPr>
          <w:rFonts w:cs="Times New Roman"/>
          <w:b/>
        </w:rPr>
      </w:pPr>
    </w:p>
    <w:p w14:paraId="7B333873" w14:textId="77777777" w:rsidR="009C1A04" w:rsidRDefault="009C1A04" w:rsidP="004773D8">
      <w:pPr>
        <w:spacing w:line="240" w:lineRule="auto"/>
        <w:ind w:firstLine="0"/>
        <w:rPr>
          <w:rFonts w:cs="Times New Roman"/>
          <w:b/>
        </w:rPr>
      </w:pPr>
    </w:p>
    <w:p w14:paraId="7BF94371" w14:textId="77777777" w:rsidR="00A7730C" w:rsidRDefault="00A7730C" w:rsidP="004773D8">
      <w:pPr>
        <w:spacing w:line="240" w:lineRule="auto"/>
        <w:ind w:firstLine="0"/>
        <w:rPr>
          <w:rFonts w:cs="Times New Roman"/>
          <w:b/>
        </w:rPr>
      </w:pPr>
    </w:p>
    <w:p w14:paraId="249D341F" w14:textId="77777777" w:rsidR="00326E5D" w:rsidRPr="008B3A5B" w:rsidRDefault="00326E5D" w:rsidP="004773D8">
      <w:pPr>
        <w:spacing w:line="240" w:lineRule="auto"/>
        <w:ind w:firstLine="0"/>
        <w:jc w:val="center"/>
        <w:rPr>
          <w:rFonts w:cs="Times New Roman"/>
          <w:b/>
          <w:szCs w:val="24"/>
        </w:rPr>
      </w:pPr>
      <w:r w:rsidRPr="008B3A5B">
        <w:rPr>
          <w:rFonts w:cs="Times New Roman"/>
          <w:b/>
          <w:szCs w:val="24"/>
        </w:rPr>
        <w:t>Reference</w:t>
      </w:r>
    </w:p>
    <w:p w14:paraId="3DE55CA8" w14:textId="77777777" w:rsidR="00326E5D" w:rsidRPr="008B3A5B" w:rsidRDefault="00326E5D" w:rsidP="004773D8">
      <w:pPr>
        <w:spacing w:line="240" w:lineRule="auto"/>
        <w:rPr>
          <w:rFonts w:cs="Times New Roman"/>
          <w:b/>
          <w:szCs w:val="24"/>
        </w:rPr>
      </w:pPr>
    </w:p>
    <w:p w14:paraId="2320793E" w14:textId="2A23777F" w:rsidR="00326E5D" w:rsidRPr="008B3A5B" w:rsidRDefault="008B3A5B" w:rsidP="004773D8">
      <w:pPr>
        <w:pStyle w:val="NoSpacing"/>
        <w:widowControl w:val="0"/>
        <w:rPr>
          <w:rFonts w:cs="Times New Roman"/>
          <w:szCs w:val="24"/>
        </w:rPr>
      </w:pPr>
      <w:r w:rsidRPr="008B3A5B">
        <w:rPr>
          <w:rFonts w:cs="Times New Roman"/>
          <w:szCs w:val="24"/>
        </w:rPr>
        <w:t>Adams, Mike</w:t>
      </w:r>
      <w:r w:rsidR="009C1A04" w:rsidRPr="008B3A5B">
        <w:rPr>
          <w:rFonts w:cs="Times New Roman"/>
          <w:szCs w:val="24"/>
        </w:rPr>
        <w:t xml:space="preserve"> and Mike Buckle</w:t>
      </w:r>
      <w:r w:rsidR="00326E5D" w:rsidRPr="008B3A5B">
        <w:rPr>
          <w:rFonts w:cs="Times New Roman"/>
          <w:szCs w:val="24"/>
        </w:rPr>
        <w:t xml:space="preserve">, 2003, “The Determinants of Corporate Financial Performance in the Bermuda Insurance Market,” </w:t>
      </w:r>
      <w:r w:rsidR="00326E5D" w:rsidRPr="008B3A5B">
        <w:rPr>
          <w:rFonts w:cs="Times New Roman"/>
          <w:i/>
          <w:szCs w:val="24"/>
        </w:rPr>
        <w:t>Applied Financial Economics</w:t>
      </w:r>
      <w:r w:rsidR="00326E5D" w:rsidRPr="008B3A5B">
        <w:rPr>
          <w:rFonts w:cs="Times New Roman"/>
          <w:szCs w:val="24"/>
        </w:rPr>
        <w:t xml:space="preserve"> 13.2: 133-143.</w:t>
      </w:r>
    </w:p>
    <w:p w14:paraId="2FD7FBB1" w14:textId="77777777" w:rsidR="00326E5D" w:rsidRPr="008B3A5B" w:rsidRDefault="00326E5D" w:rsidP="004773D8">
      <w:pPr>
        <w:pStyle w:val="NoSpacing"/>
        <w:widowControl w:val="0"/>
        <w:rPr>
          <w:rFonts w:cs="Times New Roman"/>
          <w:szCs w:val="24"/>
        </w:rPr>
      </w:pPr>
    </w:p>
    <w:p w14:paraId="0BDF89AC" w14:textId="300D17A4" w:rsidR="00326E5D" w:rsidRPr="008B3A5B" w:rsidRDefault="008B3A5B" w:rsidP="004773D8">
      <w:pPr>
        <w:pStyle w:val="NoSpacing"/>
        <w:widowControl w:val="0"/>
        <w:rPr>
          <w:rFonts w:cs="Times New Roman"/>
          <w:szCs w:val="24"/>
        </w:rPr>
      </w:pPr>
      <w:r w:rsidRPr="008B3A5B">
        <w:rPr>
          <w:rFonts w:cs="Times New Roman"/>
          <w:szCs w:val="24"/>
        </w:rPr>
        <w:t>Brealey, Richard A. and</w:t>
      </w:r>
      <w:r w:rsidR="009C1A04" w:rsidRPr="008B3A5B">
        <w:rPr>
          <w:rFonts w:cs="Times New Roman"/>
          <w:szCs w:val="24"/>
        </w:rPr>
        <w:t xml:space="preserve"> Stewart C. Myers</w:t>
      </w:r>
      <w:r w:rsidR="00326E5D" w:rsidRPr="008B3A5B">
        <w:rPr>
          <w:rFonts w:cs="Times New Roman"/>
          <w:szCs w:val="24"/>
        </w:rPr>
        <w:t xml:space="preserve">, 2000, </w:t>
      </w:r>
      <w:r w:rsidR="00326E5D" w:rsidRPr="008B3A5B">
        <w:rPr>
          <w:rFonts w:cs="Times New Roman"/>
          <w:i/>
          <w:szCs w:val="24"/>
        </w:rPr>
        <w:t>Principles of Corporate ﬁnance</w:t>
      </w:r>
      <w:r w:rsidR="00326E5D" w:rsidRPr="008B3A5B">
        <w:rPr>
          <w:rFonts w:cs="Times New Roman"/>
          <w:szCs w:val="24"/>
        </w:rPr>
        <w:t xml:space="preserve"> (Boston: McGraw-Hill).</w:t>
      </w:r>
    </w:p>
    <w:p w14:paraId="19B15332" w14:textId="77777777" w:rsidR="00326E5D" w:rsidRPr="008B3A5B" w:rsidRDefault="00326E5D" w:rsidP="004773D8">
      <w:pPr>
        <w:pStyle w:val="NoSpacing"/>
        <w:widowControl w:val="0"/>
        <w:rPr>
          <w:rFonts w:cs="Times New Roman"/>
          <w:szCs w:val="24"/>
        </w:rPr>
      </w:pPr>
    </w:p>
    <w:p w14:paraId="42D1521F" w14:textId="042DFC13" w:rsidR="00326E5D" w:rsidRPr="008B3A5B" w:rsidRDefault="008B3A5B" w:rsidP="004773D8">
      <w:pPr>
        <w:pStyle w:val="NoSpacing"/>
        <w:widowControl w:val="0"/>
        <w:rPr>
          <w:rFonts w:cs="Times New Roman"/>
          <w:szCs w:val="24"/>
        </w:rPr>
      </w:pPr>
      <w:r w:rsidRPr="008B3A5B">
        <w:rPr>
          <w:rFonts w:cs="Times New Roman"/>
          <w:szCs w:val="24"/>
        </w:rPr>
        <w:t>Berger, Allen N., J. David Cummins, and Mary A. Weiss</w:t>
      </w:r>
      <w:r w:rsidR="00326E5D" w:rsidRPr="008B3A5B">
        <w:rPr>
          <w:rFonts w:cs="Times New Roman"/>
          <w:szCs w:val="24"/>
        </w:rPr>
        <w:t xml:space="preserve">, 1997, “The Coexistence of Multiple Distribution Systems for Financial Services: The Case of Property-Liability Insurance,” </w:t>
      </w:r>
      <w:r w:rsidR="00326E5D" w:rsidRPr="008B3A5B">
        <w:rPr>
          <w:rFonts w:cs="Times New Roman"/>
          <w:i/>
          <w:szCs w:val="24"/>
        </w:rPr>
        <w:t>Journal of Business</w:t>
      </w:r>
      <w:r w:rsidR="00326E5D" w:rsidRPr="008B3A5B">
        <w:rPr>
          <w:rFonts w:cs="Times New Roman"/>
          <w:szCs w:val="24"/>
        </w:rPr>
        <w:t xml:space="preserve"> 70: 515-546.</w:t>
      </w:r>
    </w:p>
    <w:p w14:paraId="73484880" w14:textId="77777777" w:rsidR="00326E5D" w:rsidRPr="008B3A5B" w:rsidRDefault="00326E5D" w:rsidP="004773D8">
      <w:pPr>
        <w:pStyle w:val="NoSpacing"/>
        <w:widowControl w:val="0"/>
        <w:rPr>
          <w:rFonts w:cs="Times New Roman"/>
          <w:szCs w:val="24"/>
        </w:rPr>
      </w:pPr>
    </w:p>
    <w:p w14:paraId="37123D27" w14:textId="2DAC157C" w:rsidR="00326E5D" w:rsidRPr="008B3A5B" w:rsidRDefault="00326E5D" w:rsidP="004773D8">
      <w:pPr>
        <w:pStyle w:val="NoSpacing"/>
        <w:widowControl w:val="0"/>
        <w:rPr>
          <w:rFonts w:cs="Times New Roman"/>
          <w:szCs w:val="24"/>
        </w:rPr>
      </w:pPr>
      <w:r w:rsidRPr="008B3A5B">
        <w:rPr>
          <w:rFonts w:cs="Times New Roman"/>
          <w:szCs w:val="24"/>
        </w:rPr>
        <w:t>Cheng, Jiang, Elyas Elyasiani</w:t>
      </w:r>
      <w:r w:rsidR="008B3A5B" w:rsidRPr="008B3A5B">
        <w:rPr>
          <w:rFonts w:cs="Times New Roman"/>
          <w:szCs w:val="24"/>
        </w:rPr>
        <w:t>,</w:t>
      </w:r>
      <w:r w:rsidRPr="008B3A5B">
        <w:rPr>
          <w:rFonts w:cs="Times New Roman"/>
          <w:szCs w:val="24"/>
        </w:rPr>
        <w:t xml:space="preserve"> and Tzu-Ting Lin, 2010, “Market Reaction to Regulatory Action in the Insurance Industry: The Case of Contingent Commission,” </w:t>
      </w:r>
      <w:r w:rsidRPr="008B3A5B">
        <w:rPr>
          <w:rFonts w:cs="Times New Roman"/>
          <w:i/>
          <w:szCs w:val="24"/>
        </w:rPr>
        <w:t>The Journal of Risk and Insurance</w:t>
      </w:r>
      <w:r w:rsidRPr="008B3A5B">
        <w:rPr>
          <w:rFonts w:cs="Times New Roman"/>
          <w:szCs w:val="24"/>
        </w:rPr>
        <w:t xml:space="preserve"> 77:347-368.</w:t>
      </w:r>
    </w:p>
    <w:p w14:paraId="51C0D550" w14:textId="77777777" w:rsidR="00326E5D" w:rsidRPr="008B3A5B" w:rsidRDefault="00326E5D" w:rsidP="004773D8">
      <w:pPr>
        <w:pStyle w:val="NoSpacing"/>
        <w:widowControl w:val="0"/>
        <w:rPr>
          <w:rFonts w:cs="Times New Roman"/>
          <w:szCs w:val="24"/>
        </w:rPr>
      </w:pPr>
    </w:p>
    <w:p w14:paraId="6DC4373A" w14:textId="3DC1016D" w:rsidR="00326E5D" w:rsidRPr="008B3A5B" w:rsidRDefault="00326E5D" w:rsidP="004773D8">
      <w:pPr>
        <w:pStyle w:val="NoSpacing"/>
        <w:widowControl w:val="0"/>
        <w:rPr>
          <w:rFonts w:cs="Times New Roman"/>
          <w:szCs w:val="24"/>
        </w:rPr>
      </w:pPr>
      <w:r w:rsidRPr="008B3A5B">
        <w:rPr>
          <w:rFonts w:cs="Times New Roman"/>
          <w:szCs w:val="24"/>
        </w:rPr>
        <w:t>Colquitt, L. Lee, Kathleen A. McCullough</w:t>
      </w:r>
      <w:r w:rsidR="008B3A5B" w:rsidRPr="008B3A5B">
        <w:rPr>
          <w:rFonts w:cs="Times New Roman"/>
          <w:szCs w:val="24"/>
        </w:rPr>
        <w:t>,</w:t>
      </w:r>
      <w:r w:rsidRPr="008B3A5B">
        <w:rPr>
          <w:rFonts w:cs="Times New Roman"/>
          <w:szCs w:val="24"/>
        </w:rPr>
        <w:t xml:space="preserve"> and David W. Sommer, 2011, “An Analysis of Contingent Commission Use by Property–Liability Insurers,” </w:t>
      </w:r>
      <w:r w:rsidRPr="008B3A5B">
        <w:rPr>
          <w:rFonts w:cs="Times New Roman"/>
          <w:i/>
          <w:szCs w:val="24"/>
        </w:rPr>
        <w:t>Risk Management and Insurance Review</w:t>
      </w:r>
      <w:r w:rsidRPr="008B3A5B">
        <w:rPr>
          <w:rFonts w:cs="Times New Roman"/>
          <w:szCs w:val="24"/>
        </w:rPr>
        <w:t xml:space="preserve"> 14: 157-171.</w:t>
      </w:r>
    </w:p>
    <w:p w14:paraId="1B878BC2" w14:textId="77777777" w:rsidR="00326E5D" w:rsidRPr="008B3A5B" w:rsidRDefault="00326E5D" w:rsidP="004773D8">
      <w:pPr>
        <w:pStyle w:val="NoSpacing"/>
        <w:widowControl w:val="0"/>
        <w:rPr>
          <w:rFonts w:cs="Times New Roman"/>
          <w:szCs w:val="24"/>
        </w:rPr>
      </w:pPr>
    </w:p>
    <w:p w14:paraId="3A09434E" w14:textId="016BC836" w:rsidR="00326E5D" w:rsidRPr="008B3A5B" w:rsidRDefault="008B3A5B" w:rsidP="004773D8">
      <w:pPr>
        <w:pStyle w:val="NoSpacing"/>
        <w:widowControl w:val="0"/>
        <w:rPr>
          <w:rFonts w:cs="Times New Roman"/>
          <w:szCs w:val="24"/>
        </w:rPr>
      </w:pPr>
      <w:r w:rsidRPr="008B3A5B">
        <w:rPr>
          <w:rFonts w:cs="Times New Roman"/>
          <w:szCs w:val="24"/>
        </w:rPr>
        <w:t>Cummins, J. David and Neil A. Doherty</w:t>
      </w:r>
      <w:r w:rsidR="00326E5D" w:rsidRPr="008B3A5B">
        <w:rPr>
          <w:rFonts w:cs="Times New Roman"/>
          <w:szCs w:val="24"/>
        </w:rPr>
        <w:t xml:space="preserve">, 2006, “The Economics of Insurance Intermediaries,” </w:t>
      </w:r>
      <w:r w:rsidR="00326E5D" w:rsidRPr="008B3A5B">
        <w:rPr>
          <w:rFonts w:cs="Times New Roman"/>
          <w:i/>
          <w:szCs w:val="24"/>
        </w:rPr>
        <w:t>Journal of Risk and Insurance</w:t>
      </w:r>
      <w:r w:rsidR="00326E5D" w:rsidRPr="008B3A5B">
        <w:rPr>
          <w:rFonts w:cs="Times New Roman"/>
          <w:szCs w:val="24"/>
        </w:rPr>
        <w:t xml:space="preserve"> 73: 359-396.</w:t>
      </w:r>
    </w:p>
    <w:p w14:paraId="1067D929" w14:textId="77777777" w:rsidR="00326E5D" w:rsidRPr="008B3A5B" w:rsidRDefault="00326E5D" w:rsidP="004773D8">
      <w:pPr>
        <w:pStyle w:val="NoSpacing"/>
        <w:widowControl w:val="0"/>
        <w:rPr>
          <w:rFonts w:cs="Times New Roman"/>
          <w:szCs w:val="24"/>
        </w:rPr>
      </w:pPr>
    </w:p>
    <w:p w14:paraId="7B02BADB" w14:textId="4C6EC798" w:rsidR="00326E5D" w:rsidRPr="008B3A5B" w:rsidRDefault="008B3A5B" w:rsidP="004773D8">
      <w:pPr>
        <w:pStyle w:val="NoSpacing"/>
        <w:widowControl w:val="0"/>
        <w:rPr>
          <w:rFonts w:cs="Times New Roman"/>
          <w:szCs w:val="24"/>
        </w:rPr>
      </w:pPr>
      <w:r w:rsidRPr="008B3A5B">
        <w:rPr>
          <w:rFonts w:cs="Times New Roman"/>
          <w:szCs w:val="24"/>
        </w:rPr>
        <w:t>Cummins, J. David, Neil A. Doherty, Gerald Ray, and Terri Vaughan</w:t>
      </w:r>
      <w:r w:rsidR="00326E5D" w:rsidRPr="008B3A5B">
        <w:rPr>
          <w:rFonts w:cs="Times New Roman"/>
          <w:szCs w:val="24"/>
        </w:rPr>
        <w:t xml:space="preserve">, 2006, “The Insurance Brokerage Industry Post-October 2004,” </w:t>
      </w:r>
      <w:r w:rsidR="00326E5D" w:rsidRPr="008B3A5B">
        <w:rPr>
          <w:rFonts w:cs="Times New Roman"/>
          <w:i/>
          <w:szCs w:val="24"/>
        </w:rPr>
        <w:t>Risk Management and Insurance Review</w:t>
      </w:r>
      <w:r w:rsidR="00326E5D" w:rsidRPr="008B3A5B">
        <w:rPr>
          <w:rFonts w:cs="Times New Roman"/>
          <w:szCs w:val="24"/>
        </w:rPr>
        <w:t xml:space="preserve"> 9: 89-108.</w:t>
      </w:r>
    </w:p>
    <w:p w14:paraId="32C74FE8" w14:textId="77777777" w:rsidR="00326E5D" w:rsidRPr="008B3A5B" w:rsidRDefault="00326E5D" w:rsidP="004773D8">
      <w:pPr>
        <w:pStyle w:val="NoSpacing"/>
        <w:widowControl w:val="0"/>
        <w:rPr>
          <w:rFonts w:cs="Times New Roman"/>
          <w:szCs w:val="24"/>
        </w:rPr>
      </w:pPr>
    </w:p>
    <w:p w14:paraId="235143EF" w14:textId="6EF43DCE" w:rsidR="00326E5D" w:rsidRPr="008B3A5B" w:rsidRDefault="008B3A5B" w:rsidP="004773D8">
      <w:pPr>
        <w:pStyle w:val="NoSpacing"/>
        <w:widowControl w:val="0"/>
        <w:rPr>
          <w:rFonts w:cs="Times New Roman"/>
          <w:szCs w:val="24"/>
        </w:rPr>
      </w:pPr>
      <w:r w:rsidRPr="008B3A5B">
        <w:rPr>
          <w:rFonts w:cs="Times New Roman"/>
          <w:szCs w:val="24"/>
        </w:rPr>
        <w:t>D'Arcy, Stephen P. and Neil A. Doherty</w:t>
      </w:r>
      <w:r w:rsidR="00326E5D" w:rsidRPr="008B3A5B">
        <w:rPr>
          <w:rFonts w:cs="Times New Roman"/>
          <w:szCs w:val="24"/>
        </w:rPr>
        <w:t xml:space="preserve">, 1990, “Adverse Selection, Private Information, and Lowballing in Insurance Markets,” </w:t>
      </w:r>
      <w:r w:rsidR="00326E5D" w:rsidRPr="008B3A5B">
        <w:rPr>
          <w:rFonts w:cs="Times New Roman"/>
          <w:i/>
          <w:szCs w:val="24"/>
        </w:rPr>
        <w:t>Journal of Business</w:t>
      </w:r>
      <w:r w:rsidR="00326E5D" w:rsidRPr="008B3A5B">
        <w:rPr>
          <w:rFonts w:cs="Times New Roman"/>
          <w:szCs w:val="24"/>
        </w:rPr>
        <w:t xml:space="preserve"> 63: 145-164.</w:t>
      </w:r>
    </w:p>
    <w:p w14:paraId="7FA7FAB1" w14:textId="77777777" w:rsidR="00326E5D" w:rsidRPr="008B3A5B" w:rsidRDefault="00326E5D" w:rsidP="004773D8">
      <w:pPr>
        <w:pStyle w:val="NoSpacing"/>
        <w:widowControl w:val="0"/>
        <w:rPr>
          <w:rFonts w:cs="Times New Roman"/>
          <w:szCs w:val="24"/>
        </w:rPr>
      </w:pPr>
    </w:p>
    <w:p w14:paraId="6A495474" w14:textId="77777777" w:rsidR="00326E5D" w:rsidRPr="008B3A5B" w:rsidRDefault="00326E5D" w:rsidP="004773D8">
      <w:pPr>
        <w:pStyle w:val="NoSpacing"/>
        <w:widowControl w:val="0"/>
        <w:rPr>
          <w:rFonts w:cs="Times New Roman"/>
          <w:szCs w:val="24"/>
        </w:rPr>
      </w:pPr>
      <w:r w:rsidRPr="008B3A5B">
        <w:rPr>
          <w:rFonts w:cs="Times New Roman"/>
          <w:szCs w:val="24"/>
        </w:rPr>
        <w:t xml:space="preserve">Ghosh, Chinmoy and James I. Hilliard, 2012, “The Value of Contingent Commissions in the Property–Casualty Insurance Industry: Evidence from Stock Market Returns,” </w:t>
      </w:r>
      <w:r w:rsidRPr="008B3A5B">
        <w:rPr>
          <w:rFonts w:cs="Times New Roman"/>
          <w:i/>
          <w:szCs w:val="24"/>
        </w:rPr>
        <w:t>The Journal of Risk and Insurance</w:t>
      </w:r>
      <w:r w:rsidRPr="008B3A5B">
        <w:rPr>
          <w:rFonts w:cs="Times New Roman"/>
          <w:szCs w:val="24"/>
        </w:rPr>
        <w:t xml:space="preserve"> 79: 165-191.</w:t>
      </w:r>
    </w:p>
    <w:p w14:paraId="1A39E599" w14:textId="77777777" w:rsidR="00326E5D" w:rsidRPr="008B3A5B" w:rsidRDefault="00326E5D" w:rsidP="004773D8">
      <w:pPr>
        <w:pStyle w:val="NoSpacing"/>
        <w:widowControl w:val="0"/>
        <w:rPr>
          <w:rFonts w:cs="Times New Roman"/>
          <w:szCs w:val="24"/>
        </w:rPr>
      </w:pPr>
    </w:p>
    <w:p w14:paraId="3A29D0EF" w14:textId="455F1FA6" w:rsidR="00326E5D" w:rsidRPr="008B3A5B" w:rsidRDefault="00326E5D" w:rsidP="004773D8">
      <w:pPr>
        <w:pStyle w:val="NoSpacing"/>
        <w:widowControl w:val="0"/>
        <w:rPr>
          <w:rFonts w:cs="Times New Roman"/>
          <w:szCs w:val="24"/>
        </w:rPr>
      </w:pPr>
      <w:r w:rsidRPr="008B3A5B">
        <w:rPr>
          <w:rFonts w:cs="Times New Roman"/>
          <w:szCs w:val="24"/>
        </w:rPr>
        <w:t xml:space="preserve">Jensen, Michael C., 1986, “Agency </w:t>
      </w:r>
      <w:r w:rsidR="008B3A5B" w:rsidRPr="008B3A5B">
        <w:rPr>
          <w:rFonts w:cs="Times New Roman"/>
          <w:szCs w:val="24"/>
        </w:rPr>
        <w:t>Cost of Free Cash Flow, Corporate Finance, and Takeovers</w:t>
      </w:r>
      <w:r w:rsidRPr="008B3A5B">
        <w:rPr>
          <w:rFonts w:cs="Times New Roman"/>
          <w:szCs w:val="24"/>
        </w:rPr>
        <w:t xml:space="preserve">,” </w:t>
      </w:r>
      <w:r w:rsidRPr="008B3A5B">
        <w:rPr>
          <w:rFonts w:cs="Times New Roman"/>
          <w:i/>
          <w:szCs w:val="24"/>
        </w:rPr>
        <w:t>American Economic Review</w:t>
      </w:r>
      <w:r w:rsidRPr="008B3A5B">
        <w:rPr>
          <w:rFonts w:cs="Times New Roman"/>
          <w:szCs w:val="24"/>
        </w:rPr>
        <w:t xml:space="preserve"> 76.2.</w:t>
      </w:r>
    </w:p>
    <w:p w14:paraId="71413D0F" w14:textId="77777777" w:rsidR="00326E5D" w:rsidRPr="008B3A5B" w:rsidRDefault="00326E5D" w:rsidP="004773D8">
      <w:pPr>
        <w:pStyle w:val="NoSpacing"/>
        <w:widowControl w:val="0"/>
        <w:rPr>
          <w:rFonts w:cs="Times New Roman"/>
          <w:szCs w:val="24"/>
        </w:rPr>
      </w:pPr>
    </w:p>
    <w:p w14:paraId="6ED0594A" w14:textId="6126A671" w:rsidR="00326E5D" w:rsidRPr="008B3A5B" w:rsidRDefault="008B3A5B" w:rsidP="004773D8">
      <w:pPr>
        <w:pStyle w:val="NoSpacing"/>
        <w:widowControl w:val="0"/>
        <w:rPr>
          <w:rFonts w:cs="Times New Roman"/>
          <w:szCs w:val="24"/>
        </w:rPr>
      </w:pPr>
      <w:r w:rsidRPr="008B3A5B">
        <w:rPr>
          <w:rFonts w:cs="Times New Roman"/>
          <w:szCs w:val="24"/>
        </w:rPr>
        <w:t>Lamm-Tennant, Joan and Laura T. Starks</w:t>
      </w:r>
      <w:r w:rsidR="00326E5D" w:rsidRPr="008B3A5B">
        <w:rPr>
          <w:rFonts w:cs="Times New Roman"/>
          <w:szCs w:val="24"/>
        </w:rPr>
        <w:t>, 1993, “Stock Versus Mutual Ownership Structures: The Risk Implications,” Journal of Business 66: 29-46.</w:t>
      </w:r>
    </w:p>
    <w:p w14:paraId="2278E9A5" w14:textId="77777777" w:rsidR="005913E1" w:rsidRPr="008B3A5B" w:rsidRDefault="005913E1" w:rsidP="004773D8">
      <w:pPr>
        <w:pStyle w:val="NoSpacing"/>
        <w:widowControl w:val="0"/>
        <w:rPr>
          <w:rFonts w:cs="Times New Roman"/>
          <w:szCs w:val="24"/>
        </w:rPr>
      </w:pPr>
    </w:p>
    <w:p w14:paraId="13A83111" w14:textId="7DF6529E" w:rsidR="005913E1" w:rsidRPr="008B3A5B" w:rsidRDefault="005913E1" w:rsidP="004773D8">
      <w:pPr>
        <w:pStyle w:val="NoSpacing"/>
        <w:widowControl w:val="0"/>
        <w:rPr>
          <w:rFonts w:cs="Times New Roman"/>
          <w:szCs w:val="24"/>
        </w:rPr>
      </w:pPr>
      <w:r w:rsidRPr="008B3A5B">
        <w:rPr>
          <w:szCs w:val="24"/>
        </w:rPr>
        <w:t xml:space="preserve">Lunt, Mark, 2014, "Selecting An Appropriate Caliper Can Be Essential For Achieving Good Balance With Propensity Score Matching," </w:t>
      </w:r>
      <w:r w:rsidRPr="008B3A5B">
        <w:rPr>
          <w:i/>
          <w:szCs w:val="24"/>
        </w:rPr>
        <w:t>American Journal of</w:t>
      </w:r>
      <w:r w:rsidRPr="008B3A5B">
        <w:rPr>
          <w:szCs w:val="24"/>
        </w:rPr>
        <w:t xml:space="preserve"> </w:t>
      </w:r>
      <w:r w:rsidRPr="008B3A5B">
        <w:rPr>
          <w:i/>
          <w:szCs w:val="24"/>
        </w:rPr>
        <w:t>Epidemiology</w:t>
      </w:r>
      <w:r w:rsidRPr="008B3A5B">
        <w:rPr>
          <w:szCs w:val="24"/>
        </w:rPr>
        <w:t xml:space="preserve"> 179: 226-235.</w:t>
      </w:r>
    </w:p>
    <w:p w14:paraId="05AAA060" w14:textId="77777777" w:rsidR="006C147E" w:rsidRPr="008B3A5B" w:rsidRDefault="006C147E" w:rsidP="004773D8">
      <w:pPr>
        <w:pStyle w:val="NoSpacing"/>
        <w:widowControl w:val="0"/>
        <w:rPr>
          <w:rFonts w:cs="Times New Roman"/>
          <w:szCs w:val="24"/>
        </w:rPr>
      </w:pPr>
    </w:p>
    <w:p w14:paraId="7EB56761" w14:textId="22CC3743" w:rsidR="006C147E" w:rsidRPr="008B3A5B" w:rsidRDefault="006C147E" w:rsidP="004773D8">
      <w:pPr>
        <w:pStyle w:val="NoSpacing"/>
        <w:widowControl w:val="0"/>
        <w:rPr>
          <w:rFonts w:cs="Times New Roman"/>
          <w:szCs w:val="24"/>
        </w:rPr>
      </w:pPr>
      <w:r w:rsidRPr="008B3A5B">
        <w:rPr>
          <w:rFonts w:cs="Times New Roman"/>
          <w:szCs w:val="24"/>
        </w:rPr>
        <w:lastRenderedPageBreak/>
        <w:t>Ma, Yu-Luen, Nat Pope</w:t>
      </w:r>
      <w:r w:rsidR="008B3A5B" w:rsidRPr="008B3A5B">
        <w:rPr>
          <w:rFonts w:cs="Times New Roman"/>
          <w:szCs w:val="24"/>
        </w:rPr>
        <w:t>,</w:t>
      </w:r>
      <w:r w:rsidRPr="008B3A5B">
        <w:rPr>
          <w:rFonts w:cs="Times New Roman"/>
          <w:szCs w:val="24"/>
        </w:rPr>
        <w:t xml:space="preserve"> and Xiaoying Xie, 2009, “Insurer Performance and Contingent Commissions: What’s The Relationship?” </w:t>
      </w:r>
      <w:r w:rsidRPr="008B3A5B">
        <w:rPr>
          <w:rFonts w:cs="Times New Roman"/>
          <w:i/>
          <w:szCs w:val="24"/>
        </w:rPr>
        <w:t>Journal of Financial and Economic Practice</w:t>
      </w:r>
      <w:r w:rsidRPr="008B3A5B">
        <w:rPr>
          <w:rFonts w:cs="Times New Roman"/>
          <w:szCs w:val="24"/>
        </w:rPr>
        <w:t xml:space="preserve">: 45–57. </w:t>
      </w:r>
    </w:p>
    <w:p w14:paraId="4D3B0161" w14:textId="77777777" w:rsidR="006C147E" w:rsidRPr="008B3A5B" w:rsidRDefault="006C147E" w:rsidP="004773D8">
      <w:pPr>
        <w:pStyle w:val="NoSpacing"/>
        <w:widowControl w:val="0"/>
        <w:rPr>
          <w:rFonts w:cs="Times New Roman"/>
          <w:szCs w:val="24"/>
        </w:rPr>
      </w:pPr>
    </w:p>
    <w:p w14:paraId="7DD74568" w14:textId="0F70C2A2" w:rsidR="006C147E" w:rsidRPr="008B3A5B" w:rsidRDefault="006C147E" w:rsidP="004773D8">
      <w:pPr>
        <w:pStyle w:val="NoSpacing"/>
        <w:widowControl w:val="0"/>
        <w:rPr>
          <w:rFonts w:cs="Times New Roman"/>
          <w:szCs w:val="24"/>
        </w:rPr>
      </w:pPr>
      <w:r w:rsidRPr="008B3A5B">
        <w:rPr>
          <w:rFonts w:cs="Times New Roman"/>
          <w:szCs w:val="24"/>
        </w:rPr>
        <w:t>Ma, Yu-Luen, Nat Pope</w:t>
      </w:r>
      <w:r w:rsidR="008B3A5B" w:rsidRPr="008B3A5B">
        <w:rPr>
          <w:rFonts w:cs="Times New Roman"/>
          <w:szCs w:val="24"/>
        </w:rPr>
        <w:t>,</w:t>
      </w:r>
      <w:r w:rsidRPr="008B3A5B">
        <w:rPr>
          <w:rFonts w:cs="Times New Roman"/>
          <w:szCs w:val="24"/>
        </w:rPr>
        <w:t xml:space="preserve"> and Xiaoying Xie, 2013, “Contingent Commissions, Insurance Intermediaries and Insurer Efficiency,” </w:t>
      </w:r>
      <w:r w:rsidRPr="008B3A5B">
        <w:rPr>
          <w:rFonts w:cs="Times New Roman"/>
          <w:i/>
          <w:szCs w:val="24"/>
        </w:rPr>
        <w:t>Risk Management and Insurance Review</w:t>
      </w:r>
      <w:r w:rsidRPr="008B3A5B">
        <w:rPr>
          <w:rFonts w:cs="Times New Roman"/>
          <w:szCs w:val="24"/>
        </w:rPr>
        <w:t>, forthcoming.</w:t>
      </w:r>
    </w:p>
    <w:p w14:paraId="49FE5B00" w14:textId="77777777" w:rsidR="00326E5D" w:rsidRPr="008B3A5B" w:rsidRDefault="00326E5D" w:rsidP="004773D8">
      <w:pPr>
        <w:pStyle w:val="NoSpacing"/>
        <w:widowControl w:val="0"/>
        <w:rPr>
          <w:rFonts w:cs="Times New Roman"/>
          <w:szCs w:val="24"/>
        </w:rPr>
      </w:pPr>
    </w:p>
    <w:p w14:paraId="3DF5F73A" w14:textId="73E78AA7" w:rsidR="00326E5D" w:rsidRPr="008B3A5B" w:rsidRDefault="00326E5D" w:rsidP="004773D8">
      <w:pPr>
        <w:pStyle w:val="NoSpacing"/>
        <w:widowControl w:val="0"/>
        <w:rPr>
          <w:rFonts w:cs="Times New Roman"/>
          <w:szCs w:val="24"/>
        </w:rPr>
      </w:pPr>
      <w:r w:rsidRPr="008B3A5B">
        <w:rPr>
          <w:rFonts w:cs="Times New Roman"/>
          <w:szCs w:val="24"/>
        </w:rPr>
        <w:t>Ma, Yu-Luen, Nat Pope</w:t>
      </w:r>
      <w:r w:rsidR="008B3A5B" w:rsidRPr="008B3A5B">
        <w:rPr>
          <w:rFonts w:cs="Times New Roman"/>
          <w:szCs w:val="24"/>
        </w:rPr>
        <w:t>,</w:t>
      </w:r>
      <w:r w:rsidRPr="008B3A5B">
        <w:rPr>
          <w:rFonts w:cs="Times New Roman"/>
          <w:szCs w:val="24"/>
        </w:rPr>
        <w:t xml:space="preserve"> and Xiaoying Xie, </w:t>
      </w:r>
      <w:r w:rsidR="007B5F76" w:rsidRPr="008B3A5B">
        <w:rPr>
          <w:rFonts w:cs="Times New Roman"/>
          <w:szCs w:val="24"/>
        </w:rPr>
        <w:t xml:space="preserve">2014, </w:t>
      </w:r>
      <w:r w:rsidRPr="008B3A5B">
        <w:rPr>
          <w:rFonts w:cs="Times New Roman"/>
          <w:szCs w:val="24"/>
        </w:rPr>
        <w:t xml:space="preserve">“Insurer Performance and Intermediary Remuneration: The Impact of Abandonment of Contingent Commissions," </w:t>
      </w:r>
      <w:r w:rsidRPr="008B3A5B">
        <w:rPr>
          <w:rFonts w:cs="Times New Roman"/>
          <w:i/>
          <w:szCs w:val="24"/>
        </w:rPr>
        <w:t>The Geneva Papers on Risk and Insurance-Issues and Practice</w:t>
      </w:r>
      <w:r w:rsidRPr="008B3A5B">
        <w:rPr>
          <w:rFonts w:cs="Times New Roman"/>
          <w:szCs w:val="24"/>
        </w:rPr>
        <w:t xml:space="preserve"> 39.2: 373-388.</w:t>
      </w:r>
    </w:p>
    <w:p w14:paraId="201A38F3" w14:textId="77777777" w:rsidR="00326E5D" w:rsidRPr="008B3A5B" w:rsidRDefault="00326E5D" w:rsidP="004773D8">
      <w:pPr>
        <w:pStyle w:val="NoSpacing"/>
        <w:widowControl w:val="0"/>
        <w:rPr>
          <w:rFonts w:cs="Times New Roman"/>
          <w:szCs w:val="24"/>
        </w:rPr>
      </w:pPr>
    </w:p>
    <w:p w14:paraId="290783B1" w14:textId="77777777" w:rsidR="00326E5D" w:rsidRPr="008B3A5B" w:rsidRDefault="00326E5D" w:rsidP="004773D8">
      <w:pPr>
        <w:pStyle w:val="NoSpacing"/>
        <w:widowControl w:val="0"/>
        <w:rPr>
          <w:rFonts w:cs="Times New Roman"/>
          <w:szCs w:val="24"/>
        </w:rPr>
      </w:pPr>
      <w:r w:rsidRPr="008B3A5B">
        <w:rPr>
          <w:rFonts w:cs="Times New Roman"/>
          <w:szCs w:val="24"/>
        </w:rPr>
        <w:t xml:space="preserve">Hofmann, Mark A., 2012, </w:t>
      </w:r>
      <w:r w:rsidRPr="008B3A5B">
        <w:rPr>
          <w:rFonts w:cs="Times New Roman"/>
          <w:i/>
          <w:szCs w:val="24"/>
        </w:rPr>
        <w:t>Spitzer Inquiry Brought Transparency, but Contingent Commissions Persist</w:t>
      </w:r>
      <w:r w:rsidRPr="008B3A5B">
        <w:rPr>
          <w:rFonts w:cs="Times New Roman"/>
          <w:szCs w:val="24"/>
        </w:rPr>
        <w:t>, from: http://www.businessinsurance.com/article/20120715/NEWS04/307159996/spitzer-inquiry-brought-transparency-but-contingent-commissions-persist</w:t>
      </w:r>
    </w:p>
    <w:p w14:paraId="2053E6BC" w14:textId="77777777" w:rsidR="00326E5D" w:rsidRPr="008B3A5B" w:rsidRDefault="00326E5D" w:rsidP="004773D8">
      <w:pPr>
        <w:pStyle w:val="NoSpacing"/>
        <w:widowControl w:val="0"/>
        <w:rPr>
          <w:rFonts w:cs="Times New Roman"/>
          <w:szCs w:val="24"/>
        </w:rPr>
      </w:pPr>
    </w:p>
    <w:p w14:paraId="4DC76E12" w14:textId="6476475F" w:rsidR="00326E5D" w:rsidRPr="008B3A5B" w:rsidRDefault="008B3A5B" w:rsidP="004773D8">
      <w:pPr>
        <w:pStyle w:val="NoSpacing"/>
        <w:widowControl w:val="0"/>
        <w:rPr>
          <w:rFonts w:cs="Times New Roman"/>
          <w:szCs w:val="24"/>
        </w:rPr>
      </w:pPr>
      <w:r w:rsidRPr="008B3A5B">
        <w:rPr>
          <w:rFonts w:cs="Times New Roman"/>
          <w:szCs w:val="24"/>
        </w:rPr>
        <w:t>Powell, Lawrence S., David W. Sommer, and David L. Eckles</w:t>
      </w:r>
      <w:r w:rsidR="00326E5D" w:rsidRPr="008B3A5B">
        <w:rPr>
          <w:rFonts w:cs="Times New Roman"/>
          <w:szCs w:val="24"/>
        </w:rPr>
        <w:t xml:space="preserve">, 2008, “The Role of Internal Capital Markets in Financial Intermediaries: Evidence from Insurer Groups,” </w:t>
      </w:r>
      <w:r w:rsidR="00326E5D" w:rsidRPr="008B3A5B">
        <w:rPr>
          <w:rFonts w:cs="Times New Roman"/>
          <w:i/>
          <w:szCs w:val="24"/>
        </w:rPr>
        <w:t>Journal of Risk and Insurance</w:t>
      </w:r>
      <w:r w:rsidR="00326E5D" w:rsidRPr="008B3A5B">
        <w:rPr>
          <w:rFonts w:cs="Times New Roman"/>
          <w:szCs w:val="24"/>
        </w:rPr>
        <w:t xml:space="preserve"> 75: 439-461.</w:t>
      </w:r>
    </w:p>
    <w:p w14:paraId="76D69615" w14:textId="77777777" w:rsidR="00326E5D" w:rsidRPr="008B3A5B" w:rsidRDefault="00326E5D" w:rsidP="004773D8">
      <w:pPr>
        <w:pStyle w:val="NoSpacing"/>
        <w:widowControl w:val="0"/>
        <w:rPr>
          <w:rFonts w:cs="Times New Roman"/>
          <w:szCs w:val="24"/>
        </w:rPr>
      </w:pPr>
    </w:p>
    <w:p w14:paraId="214892E6" w14:textId="006737F6" w:rsidR="00326E5D" w:rsidRPr="008B3A5B" w:rsidRDefault="008B3A5B" w:rsidP="004773D8">
      <w:pPr>
        <w:pStyle w:val="NoSpacing"/>
        <w:widowControl w:val="0"/>
        <w:rPr>
          <w:rFonts w:cs="Times New Roman"/>
          <w:szCs w:val="24"/>
        </w:rPr>
      </w:pPr>
      <w:r w:rsidRPr="008B3A5B">
        <w:rPr>
          <w:rFonts w:cs="Times New Roman"/>
          <w:szCs w:val="24"/>
        </w:rPr>
        <w:t>Regan, Laureen and Sharon Tennyson</w:t>
      </w:r>
      <w:r w:rsidR="00326E5D" w:rsidRPr="008B3A5B">
        <w:rPr>
          <w:rFonts w:cs="Times New Roman"/>
          <w:szCs w:val="24"/>
        </w:rPr>
        <w:t xml:space="preserve">, 1996, “Agent Discretion and the Choice of Insurance Marketing,” </w:t>
      </w:r>
      <w:r w:rsidR="00326E5D" w:rsidRPr="008B3A5B">
        <w:rPr>
          <w:rFonts w:cs="Times New Roman"/>
          <w:i/>
          <w:szCs w:val="24"/>
        </w:rPr>
        <w:t>Journal of Law and Economics</w:t>
      </w:r>
      <w:r w:rsidR="00326E5D" w:rsidRPr="008B3A5B">
        <w:rPr>
          <w:rFonts w:cs="Times New Roman"/>
          <w:szCs w:val="24"/>
        </w:rPr>
        <w:t xml:space="preserve"> 39: 637-666.</w:t>
      </w:r>
    </w:p>
    <w:p w14:paraId="7838515A" w14:textId="77777777" w:rsidR="00326E5D" w:rsidRPr="008B3A5B" w:rsidRDefault="00326E5D" w:rsidP="004773D8">
      <w:pPr>
        <w:pStyle w:val="NoSpacing"/>
        <w:widowControl w:val="0"/>
        <w:rPr>
          <w:rFonts w:cs="Times New Roman"/>
          <w:szCs w:val="24"/>
        </w:rPr>
      </w:pPr>
    </w:p>
    <w:p w14:paraId="2395D4B2" w14:textId="77777777" w:rsidR="00326E5D" w:rsidRPr="008B3A5B" w:rsidRDefault="00326E5D" w:rsidP="004773D8">
      <w:pPr>
        <w:pStyle w:val="NoSpacing"/>
        <w:widowControl w:val="0"/>
        <w:rPr>
          <w:rFonts w:cs="Times New Roman"/>
          <w:szCs w:val="24"/>
        </w:rPr>
      </w:pPr>
      <w:r w:rsidRPr="008B3A5B">
        <w:rPr>
          <w:rFonts w:cs="Times New Roman"/>
          <w:szCs w:val="24"/>
        </w:rPr>
        <w:t>Regan, Laureen and Anne Kleffner, 2010, “The Role of Contingent Commissions in Property-Liability Insurer Underwriting Performance,” Risk Theory Seminar.</w:t>
      </w:r>
    </w:p>
    <w:p w14:paraId="460D72D3" w14:textId="77777777" w:rsidR="00326E5D" w:rsidRPr="008B3A5B" w:rsidRDefault="00326E5D" w:rsidP="004773D8">
      <w:pPr>
        <w:spacing w:line="240" w:lineRule="auto"/>
        <w:ind w:firstLine="0"/>
        <w:rPr>
          <w:szCs w:val="24"/>
        </w:rPr>
      </w:pPr>
    </w:p>
    <w:p w14:paraId="0CFAF168" w14:textId="77777777" w:rsidR="00326E5D" w:rsidRPr="008B3A5B" w:rsidRDefault="00326E5D" w:rsidP="004773D8">
      <w:pPr>
        <w:pStyle w:val="NoSpacing"/>
        <w:widowControl w:val="0"/>
        <w:rPr>
          <w:rFonts w:cs="Times New Roman"/>
          <w:szCs w:val="24"/>
        </w:rPr>
      </w:pPr>
      <w:r w:rsidRPr="008B3A5B">
        <w:rPr>
          <w:rFonts w:cs="Times New Roman"/>
          <w:szCs w:val="24"/>
        </w:rPr>
        <w:t xml:space="preserve">Rosenbaum, Paul R. and Donald B. Rubin, 1983, "The Central Role of the Propensity Score in Observational Studies for Causal Effects," </w:t>
      </w:r>
      <w:r w:rsidRPr="008B3A5B">
        <w:rPr>
          <w:rFonts w:cs="Times New Roman"/>
          <w:i/>
          <w:szCs w:val="24"/>
        </w:rPr>
        <w:t>Biometrika</w:t>
      </w:r>
      <w:r w:rsidRPr="008B3A5B">
        <w:rPr>
          <w:rFonts w:cs="Times New Roman"/>
          <w:szCs w:val="24"/>
        </w:rPr>
        <w:t xml:space="preserve"> 70.1: 41-55.</w:t>
      </w:r>
    </w:p>
    <w:p w14:paraId="120BD3B6" w14:textId="77777777" w:rsidR="00326E5D" w:rsidRPr="008B3A5B" w:rsidRDefault="00326E5D" w:rsidP="004773D8">
      <w:pPr>
        <w:pStyle w:val="NoSpacing"/>
        <w:widowControl w:val="0"/>
        <w:rPr>
          <w:rFonts w:cs="Times New Roman"/>
          <w:szCs w:val="24"/>
        </w:rPr>
      </w:pPr>
    </w:p>
    <w:p w14:paraId="6AC5B80B" w14:textId="77777777" w:rsidR="00326E5D" w:rsidRPr="008B3A5B" w:rsidRDefault="00326E5D" w:rsidP="004773D8">
      <w:pPr>
        <w:pStyle w:val="NoSpacing"/>
        <w:widowControl w:val="0"/>
        <w:rPr>
          <w:rFonts w:cs="Times New Roman"/>
          <w:szCs w:val="24"/>
        </w:rPr>
      </w:pPr>
      <w:r w:rsidRPr="008B3A5B">
        <w:rPr>
          <w:rFonts w:cs="Times New Roman"/>
          <w:szCs w:val="24"/>
        </w:rPr>
        <w:t xml:space="preserve">Shiu, Y, 2004, “Determinants of United Kingdom General Insurance Company Performance,” </w:t>
      </w:r>
      <w:r w:rsidRPr="008B3A5B">
        <w:rPr>
          <w:rFonts w:cs="Times New Roman"/>
          <w:i/>
          <w:szCs w:val="24"/>
        </w:rPr>
        <w:t>British Actuarial Journal</w:t>
      </w:r>
      <w:r w:rsidRPr="008B3A5B">
        <w:rPr>
          <w:rFonts w:cs="Times New Roman"/>
          <w:szCs w:val="24"/>
        </w:rPr>
        <w:t xml:space="preserve"> 10.05: 1079-1110.</w:t>
      </w:r>
    </w:p>
    <w:p w14:paraId="3E327069" w14:textId="77777777" w:rsidR="00326E5D" w:rsidRPr="008B3A5B" w:rsidRDefault="00326E5D" w:rsidP="004773D8">
      <w:pPr>
        <w:pStyle w:val="NoSpacing"/>
        <w:widowControl w:val="0"/>
        <w:rPr>
          <w:rFonts w:cs="Times New Roman"/>
          <w:szCs w:val="24"/>
        </w:rPr>
      </w:pPr>
    </w:p>
    <w:p w14:paraId="300F5412" w14:textId="3E5AF3C1" w:rsidR="00326E5D" w:rsidRPr="008B3A5B" w:rsidRDefault="00801C72" w:rsidP="00801C72">
      <w:pPr>
        <w:ind w:firstLine="0"/>
        <w:rPr>
          <w:szCs w:val="24"/>
        </w:rPr>
      </w:pPr>
      <w:r w:rsidRPr="008B3A5B">
        <w:rPr>
          <w:szCs w:val="24"/>
        </w:rPr>
        <w:t xml:space="preserve">Wooldridge, Jeffrey M., 2010, </w:t>
      </w:r>
      <w:r w:rsidRPr="008B3A5B">
        <w:rPr>
          <w:i/>
          <w:szCs w:val="24"/>
        </w:rPr>
        <w:t xml:space="preserve">Econometric </w:t>
      </w:r>
      <w:r w:rsidR="00FA025F" w:rsidRPr="008B3A5B">
        <w:rPr>
          <w:i/>
          <w:szCs w:val="24"/>
        </w:rPr>
        <w:t>Analysis of Cross Section and Panel Data</w:t>
      </w:r>
      <w:r w:rsidR="00FA025F" w:rsidRPr="008B3A5B">
        <w:rPr>
          <w:szCs w:val="24"/>
        </w:rPr>
        <w:t xml:space="preserve"> (MIT press).</w:t>
      </w:r>
    </w:p>
    <w:p w14:paraId="57190DE8" w14:textId="77777777" w:rsidR="00326E5D" w:rsidRPr="008B3A5B" w:rsidRDefault="00326E5D" w:rsidP="004773D8">
      <w:pPr>
        <w:rPr>
          <w:szCs w:val="24"/>
        </w:rPr>
      </w:pPr>
    </w:p>
    <w:p w14:paraId="77374F2D" w14:textId="77777777" w:rsidR="00326E5D" w:rsidRPr="00356C78" w:rsidRDefault="00326E5D" w:rsidP="004773D8"/>
    <w:p w14:paraId="1FE55FA5" w14:textId="77777777" w:rsidR="00326E5D" w:rsidRPr="00356C78" w:rsidRDefault="00326E5D" w:rsidP="004773D8"/>
    <w:p w14:paraId="3D92FECE" w14:textId="77777777" w:rsidR="00326E5D" w:rsidRPr="00356C78" w:rsidRDefault="00326E5D" w:rsidP="004773D8"/>
    <w:p w14:paraId="4B45F1B6" w14:textId="77777777" w:rsidR="00326E5D" w:rsidRPr="00356C78" w:rsidRDefault="00326E5D" w:rsidP="004773D8"/>
    <w:p w14:paraId="5556BAE4" w14:textId="77777777" w:rsidR="00326E5D" w:rsidRPr="00356C78" w:rsidRDefault="00326E5D" w:rsidP="004773D8"/>
    <w:p w14:paraId="7B4CAC9E" w14:textId="77777777" w:rsidR="00326E5D" w:rsidRPr="00356C78" w:rsidRDefault="00326E5D" w:rsidP="004773D8"/>
    <w:p w14:paraId="478729E6" w14:textId="77777777" w:rsidR="00326E5D" w:rsidRPr="00356C78" w:rsidRDefault="00326E5D" w:rsidP="004773D8"/>
    <w:p w14:paraId="275F4A2D" w14:textId="77777777" w:rsidR="00326E5D" w:rsidRPr="00356C78" w:rsidRDefault="00326E5D" w:rsidP="004773D8"/>
    <w:p w14:paraId="0DAD703A" w14:textId="77777777" w:rsidR="00326E5D" w:rsidRPr="00356C78" w:rsidRDefault="00326E5D" w:rsidP="004773D8"/>
    <w:p w14:paraId="2C798C48" w14:textId="77777777" w:rsidR="007657A1" w:rsidRPr="00356C78" w:rsidRDefault="007657A1" w:rsidP="004773D8">
      <w:pPr>
        <w:ind w:firstLine="0"/>
      </w:pPr>
    </w:p>
    <w:tbl>
      <w:tblPr>
        <w:tblW w:w="8628" w:type="dxa"/>
        <w:jc w:val="center"/>
        <w:tblLook w:val="04A0" w:firstRow="1" w:lastRow="0" w:firstColumn="1" w:lastColumn="0" w:noHBand="0" w:noVBand="1"/>
      </w:tblPr>
      <w:tblGrid>
        <w:gridCol w:w="2394"/>
        <w:gridCol w:w="1116"/>
        <w:gridCol w:w="1215"/>
        <w:gridCol w:w="1116"/>
        <w:gridCol w:w="1215"/>
        <w:gridCol w:w="996"/>
        <w:gridCol w:w="576"/>
      </w:tblGrid>
      <w:tr w:rsidR="00326E5D" w:rsidRPr="00DC2B87" w14:paraId="104A90DF" w14:textId="77777777" w:rsidTr="00234709">
        <w:trPr>
          <w:trHeight w:val="310"/>
          <w:jc w:val="center"/>
        </w:trPr>
        <w:tc>
          <w:tcPr>
            <w:tcW w:w="8628" w:type="dxa"/>
            <w:gridSpan w:val="7"/>
            <w:tcBorders>
              <w:top w:val="nil"/>
              <w:left w:val="nil"/>
              <w:bottom w:val="nil"/>
              <w:right w:val="nil"/>
            </w:tcBorders>
            <w:shd w:val="clear" w:color="auto" w:fill="auto"/>
            <w:noWrap/>
            <w:vAlign w:val="bottom"/>
            <w:hideMark/>
          </w:tcPr>
          <w:p w14:paraId="4E077CC6"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Table 1</w:t>
            </w:r>
          </w:p>
        </w:tc>
      </w:tr>
      <w:tr w:rsidR="00326E5D" w:rsidRPr="00DC2B87" w14:paraId="1DAD7ADD" w14:textId="77777777" w:rsidTr="00234709">
        <w:trPr>
          <w:trHeight w:val="320"/>
          <w:jc w:val="center"/>
        </w:trPr>
        <w:tc>
          <w:tcPr>
            <w:tcW w:w="8628" w:type="dxa"/>
            <w:gridSpan w:val="7"/>
            <w:tcBorders>
              <w:top w:val="nil"/>
              <w:left w:val="nil"/>
              <w:bottom w:val="single" w:sz="4" w:space="0" w:color="auto"/>
              <w:right w:val="nil"/>
            </w:tcBorders>
            <w:shd w:val="clear" w:color="auto" w:fill="auto"/>
            <w:noWrap/>
            <w:vAlign w:val="bottom"/>
            <w:hideMark/>
          </w:tcPr>
          <w:p w14:paraId="17A485CB"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Summary Statistics</w:t>
            </w:r>
          </w:p>
        </w:tc>
      </w:tr>
      <w:tr w:rsidR="00326E5D" w:rsidRPr="00DC2B87" w14:paraId="7C10E3BE" w14:textId="77777777" w:rsidTr="00234709">
        <w:trPr>
          <w:trHeight w:val="610"/>
          <w:jc w:val="center"/>
        </w:trPr>
        <w:tc>
          <w:tcPr>
            <w:tcW w:w="2394" w:type="dxa"/>
            <w:tcBorders>
              <w:top w:val="nil"/>
              <w:left w:val="nil"/>
              <w:bottom w:val="nil"/>
              <w:right w:val="nil"/>
            </w:tcBorders>
            <w:shd w:val="clear" w:color="auto" w:fill="auto"/>
            <w:noWrap/>
            <w:vAlign w:val="bottom"/>
            <w:hideMark/>
          </w:tcPr>
          <w:p w14:paraId="234F3A04" w14:textId="77777777" w:rsidR="00326E5D" w:rsidRPr="00DC2B87" w:rsidRDefault="00326E5D" w:rsidP="004773D8">
            <w:pPr>
              <w:spacing w:line="240" w:lineRule="auto"/>
              <w:ind w:firstLine="0"/>
              <w:jc w:val="center"/>
              <w:rPr>
                <w:rFonts w:eastAsia="Times New Roman" w:cs="Times New Roman"/>
                <w:b/>
                <w:bCs/>
                <w:color w:val="000000"/>
                <w:szCs w:val="24"/>
              </w:rPr>
            </w:pPr>
          </w:p>
        </w:tc>
        <w:tc>
          <w:tcPr>
            <w:tcW w:w="2331" w:type="dxa"/>
            <w:gridSpan w:val="2"/>
            <w:tcBorders>
              <w:top w:val="nil"/>
              <w:left w:val="nil"/>
              <w:bottom w:val="single" w:sz="4" w:space="0" w:color="auto"/>
              <w:right w:val="nil"/>
            </w:tcBorders>
            <w:shd w:val="clear" w:color="auto" w:fill="auto"/>
            <w:vAlign w:val="bottom"/>
            <w:hideMark/>
          </w:tcPr>
          <w:p w14:paraId="31717B1A" w14:textId="19958A89"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UseCo</w:t>
            </w:r>
            <w:r w:rsidR="00EF0377">
              <w:rPr>
                <w:rFonts w:eastAsia="Times New Roman" w:cs="Times New Roman"/>
                <w:b/>
                <w:bCs/>
                <w:color w:val="000000"/>
                <w:szCs w:val="24"/>
              </w:rPr>
              <w:t>nt=0                   ( N= 2948</w:t>
            </w:r>
            <w:r w:rsidRPr="00DC2B87">
              <w:rPr>
                <w:rFonts w:eastAsia="Times New Roman" w:cs="Times New Roman"/>
                <w:b/>
                <w:bCs/>
                <w:color w:val="000000"/>
                <w:szCs w:val="24"/>
              </w:rPr>
              <w:t xml:space="preserve"> )</w:t>
            </w:r>
          </w:p>
        </w:tc>
        <w:tc>
          <w:tcPr>
            <w:tcW w:w="2331" w:type="dxa"/>
            <w:gridSpan w:val="2"/>
            <w:tcBorders>
              <w:top w:val="nil"/>
              <w:left w:val="nil"/>
              <w:bottom w:val="single" w:sz="4" w:space="0" w:color="auto"/>
              <w:right w:val="nil"/>
            </w:tcBorders>
            <w:shd w:val="clear" w:color="auto" w:fill="auto"/>
            <w:vAlign w:val="bottom"/>
            <w:hideMark/>
          </w:tcPr>
          <w:p w14:paraId="698C7181" w14:textId="5D86309F"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UseC</w:t>
            </w:r>
            <w:r w:rsidR="00EF0377">
              <w:rPr>
                <w:rFonts w:eastAsia="Times New Roman" w:cs="Times New Roman"/>
                <w:b/>
                <w:bCs/>
                <w:color w:val="000000"/>
                <w:szCs w:val="24"/>
              </w:rPr>
              <w:t>ont=1                  ( N=4545</w:t>
            </w:r>
            <w:r w:rsidRPr="00DC2B87">
              <w:rPr>
                <w:rFonts w:eastAsia="Times New Roman" w:cs="Times New Roman"/>
                <w:b/>
                <w:bCs/>
                <w:color w:val="000000"/>
                <w:szCs w:val="24"/>
              </w:rPr>
              <w:t xml:space="preserve"> )</w:t>
            </w:r>
          </w:p>
        </w:tc>
        <w:tc>
          <w:tcPr>
            <w:tcW w:w="996" w:type="dxa"/>
            <w:tcBorders>
              <w:top w:val="nil"/>
              <w:left w:val="nil"/>
              <w:bottom w:val="nil"/>
              <w:right w:val="nil"/>
            </w:tcBorders>
            <w:shd w:val="clear" w:color="auto" w:fill="auto"/>
            <w:noWrap/>
            <w:vAlign w:val="bottom"/>
            <w:hideMark/>
          </w:tcPr>
          <w:p w14:paraId="4BEB52A1" w14:textId="77777777" w:rsidR="00326E5D" w:rsidRPr="00DC2B87" w:rsidRDefault="00326E5D" w:rsidP="004773D8">
            <w:pPr>
              <w:spacing w:line="240" w:lineRule="auto"/>
              <w:ind w:firstLine="0"/>
              <w:jc w:val="center"/>
              <w:rPr>
                <w:rFonts w:eastAsia="Times New Roman" w:cs="Times New Roman"/>
                <w:b/>
                <w:bCs/>
                <w:color w:val="000000"/>
                <w:szCs w:val="24"/>
              </w:rPr>
            </w:pPr>
          </w:p>
        </w:tc>
        <w:tc>
          <w:tcPr>
            <w:tcW w:w="576" w:type="dxa"/>
            <w:tcBorders>
              <w:top w:val="nil"/>
              <w:left w:val="nil"/>
              <w:bottom w:val="nil"/>
              <w:right w:val="nil"/>
            </w:tcBorders>
            <w:shd w:val="clear" w:color="auto" w:fill="auto"/>
            <w:noWrap/>
            <w:vAlign w:val="bottom"/>
            <w:hideMark/>
          </w:tcPr>
          <w:p w14:paraId="1DCDD27E" w14:textId="77777777" w:rsidR="00326E5D" w:rsidRPr="00DC2B87" w:rsidRDefault="00326E5D" w:rsidP="004773D8">
            <w:pPr>
              <w:spacing w:line="240" w:lineRule="auto"/>
              <w:ind w:firstLine="0"/>
              <w:jc w:val="left"/>
              <w:rPr>
                <w:rFonts w:eastAsia="Times New Roman" w:cs="Times New Roman"/>
                <w:sz w:val="20"/>
                <w:szCs w:val="20"/>
              </w:rPr>
            </w:pPr>
          </w:p>
        </w:tc>
      </w:tr>
      <w:tr w:rsidR="00326E5D" w:rsidRPr="00DC2B87" w14:paraId="3A3487DB" w14:textId="77777777" w:rsidTr="00234709">
        <w:trPr>
          <w:trHeight w:val="310"/>
          <w:jc w:val="center"/>
        </w:trPr>
        <w:tc>
          <w:tcPr>
            <w:tcW w:w="2394" w:type="dxa"/>
            <w:tcBorders>
              <w:top w:val="nil"/>
              <w:left w:val="nil"/>
              <w:bottom w:val="single" w:sz="4" w:space="0" w:color="auto"/>
              <w:right w:val="nil"/>
            </w:tcBorders>
            <w:shd w:val="clear" w:color="auto" w:fill="auto"/>
            <w:noWrap/>
            <w:vAlign w:val="bottom"/>
            <w:hideMark/>
          </w:tcPr>
          <w:p w14:paraId="2EFDE42A" w14:textId="77777777" w:rsidR="00326E5D" w:rsidRPr="00DC2B87" w:rsidRDefault="00326E5D" w:rsidP="004773D8">
            <w:pPr>
              <w:spacing w:line="240" w:lineRule="auto"/>
              <w:ind w:firstLine="0"/>
              <w:jc w:val="left"/>
              <w:rPr>
                <w:rFonts w:eastAsia="Times New Roman" w:cs="Times New Roman"/>
                <w:b/>
                <w:bCs/>
                <w:color w:val="000000"/>
                <w:szCs w:val="24"/>
              </w:rPr>
            </w:pPr>
            <w:r w:rsidRPr="00DC2B87">
              <w:rPr>
                <w:rFonts w:eastAsia="Times New Roman" w:cs="Times New Roman"/>
                <w:b/>
                <w:bCs/>
                <w:color w:val="000000"/>
                <w:szCs w:val="24"/>
              </w:rPr>
              <w:t> </w:t>
            </w:r>
          </w:p>
        </w:tc>
        <w:tc>
          <w:tcPr>
            <w:tcW w:w="1116" w:type="dxa"/>
            <w:tcBorders>
              <w:top w:val="nil"/>
              <w:left w:val="nil"/>
              <w:bottom w:val="single" w:sz="4" w:space="0" w:color="auto"/>
              <w:right w:val="nil"/>
            </w:tcBorders>
            <w:shd w:val="clear" w:color="auto" w:fill="auto"/>
            <w:noWrap/>
            <w:vAlign w:val="bottom"/>
            <w:hideMark/>
          </w:tcPr>
          <w:p w14:paraId="5D26E7B6"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mean</w:t>
            </w:r>
          </w:p>
        </w:tc>
        <w:tc>
          <w:tcPr>
            <w:tcW w:w="1215" w:type="dxa"/>
            <w:tcBorders>
              <w:top w:val="nil"/>
              <w:left w:val="nil"/>
              <w:bottom w:val="single" w:sz="4" w:space="0" w:color="auto"/>
              <w:right w:val="nil"/>
            </w:tcBorders>
            <w:shd w:val="clear" w:color="auto" w:fill="auto"/>
            <w:noWrap/>
            <w:vAlign w:val="bottom"/>
            <w:hideMark/>
          </w:tcPr>
          <w:p w14:paraId="389423C2"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 xml:space="preserve"> Std. Dev.</w:t>
            </w:r>
          </w:p>
        </w:tc>
        <w:tc>
          <w:tcPr>
            <w:tcW w:w="1116" w:type="dxa"/>
            <w:tcBorders>
              <w:top w:val="nil"/>
              <w:left w:val="nil"/>
              <w:bottom w:val="single" w:sz="4" w:space="0" w:color="auto"/>
              <w:right w:val="nil"/>
            </w:tcBorders>
            <w:shd w:val="clear" w:color="auto" w:fill="auto"/>
            <w:noWrap/>
            <w:vAlign w:val="bottom"/>
            <w:hideMark/>
          </w:tcPr>
          <w:p w14:paraId="262C9FDF"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mean</w:t>
            </w:r>
          </w:p>
        </w:tc>
        <w:tc>
          <w:tcPr>
            <w:tcW w:w="1215" w:type="dxa"/>
            <w:tcBorders>
              <w:top w:val="nil"/>
              <w:left w:val="nil"/>
              <w:bottom w:val="single" w:sz="4" w:space="0" w:color="auto"/>
              <w:right w:val="nil"/>
            </w:tcBorders>
            <w:shd w:val="clear" w:color="auto" w:fill="auto"/>
            <w:noWrap/>
            <w:vAlign w:val="bottom"/>
            <w:hideMark/>
          </w:tcPr>
          <w:p w14:paraId="18FDF20D"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 xml:space="preserve"> Std. Dev.</w:t>
            </w:r>
          </w:p>
        </w:tc>
        <w:tc>
          <w:tcPr>
            <w:tcW w:w="996" w:type="dxa"/>
            <w:tcBorders>
              <w:top w:val="nil"/>
              <w:left w:val="nil"/>
              <w:bottom w:val="single" w:sz="4" w:space="0" w:color="auto"/>
              <w:right w:val="nil"/>
            </w:tcBorders>
            <w:shd w:val="clear" w:color="auto" w:fill="auto"/>
            <w:noWrap/>
            <w:vAlign w:val="bottom"/>
            <w:hideMark/>
          </w:tcPr>
          <w:p w14:paraId="613B8D80" w14:textId="77777777" w:rsidR="00326E5D" w:rsidRPr="00DC2B87" w:rsidRDefault="00326E5D" w:rsidP="004773D8">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diff.</w:t>
            </w:r>
          </w:p>
        </w:tc>
        <w:tc>
          <w:tcPr>
            <w:tcW w:w="576" w:type="dxa"/>
            <w:tcBorders>
              <w:top w:val="nil"/>
              <w:left w:val="nil"/>
              <w:bottom w:val="single" w:sz="4" w:space="0" w:color="auto"/>
              <w:right w:val="nil"/>
            </w:tcBorders>
            <w:shd w:val="clear" w:color="auto" w:fill="auto"/>
            <w:noWrap/>
            <w:vAlign w:val="bottom"/>
            <w:hideMark/>
          </w:tcPr>
          <w:p w14:paraId="44B04ADB"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 </w:t>
            </w:r>
          </w:p>
        </w:tc>
      </w:tr>
      <w:tr w:rsidR="00EF0377" w:rsidRPr="00EF0377" w14:paraId="6545E324"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0C4C9D4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LossRatio</w:t>
            </w:r>
          </w:p>
        </w:tc>
        <w:tc>
          <w:tcPr>
            <w:tcW w:w="1116" w:type="dxa"/>
            <w:tcBorders>
              <w:top w:val="nil"/>
              <w:left w:val="nil"/>
              <w:bottom w:val="nil"/>
              <w:right w:val="nil"/>
            </w:tcBorders>
            <w:shd w:val="clear" w:color="auto" w:fill="auto"/>
            <w:noWrap/>
            <w:vAlign w:val="bottom"/>
            <w:hideMark/>
          </w:tcPr>
          <w:p w14:paraId="723B440C" w14:textId="27225D2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4.1103</w:t>
            </w:r>
          </w:p>
        </w:tc>
        <w:tc>
          <w:tcPr>
            <w:tcW w:w="1215" w:type="dxa"/>
            <w:tcBorders>
              <w:top w:val="nil"/>
              <w:left w:val="nil"/>
              <w:bottom w:val="nil"/>
              <w:right w:val="nil"/>
            </w:tcBorders>
            <w:shd w:val="clear" w:color="auto" w:fill="auto"/>
            <w:noWrap/>
            <w:vAlign w:val="bottom"/>
            <w:hideMark/>
          </w:tcPr>
          <w:p w14:paraId="66AE7F96" w14:textId="5AA7839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0.6773</w:t>
            </w:r>
          </w:p>
        </w:tc>
        <w:tc>
          <w:tcPr>
            <w:tcW w:w="1116" w:type="dxa"/>
            <w:tcBorders>
              <w:top w:val="nil"/>
              <w:left w:val="nil"/>
              <w:bottom w:val="nil"/>
              <w:right w:val="nil"/>
            </w:tcBorders>
            <w:shd w:val="clear" w:color="auto" w:fill="auto"/>
            <w:noWrap/>
            <w:vAlign w:val="bottom"/>
            <w:hideMark/>
          </w:tcPr>
          <w:p w14:paraId="4F6187D1" w14:textId="4A06002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4.1479</w:t>
            </w:r>
          </w:p>
        </w:tc>
        <w:tc>
          <w:tcPr>
            <w:tcW w:w="1215" w:type="dxa"/>
            <w:tcBorders>
              <w:top w:val="nil"/>
              <w:left w:val="nil"/>
              <w:bottom w:val="nil"/>
              <w:right w:val="nil"/>
            </w:tcBorders>
            <w:shd w:val="clear" w:color="auto" w:fill="auto"/>
            <w:noWrap/>
            <w:vAlign w:val="bottom"/>
            <w:hideMark/>
          </w:tcPr>
          <w:p w14:paraId="6BA42D19" w14:textId="63591F0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0.4003</w:t>
            </w:r>
          </w:p>
        </w:tc>
        <w:tc>
          <w:tcPr>
            <w:tcW w:w="996" w:type="dxa"/>
            <w:tcBorders>
              <w:top w:val="nil"/>
              <w:left w:val="nil"/>
              <w:bottom w:val="nil"/>
              <w:right w:val="nil"/>
            </w:tcBorders>
            <w:shd w:val="clear" w:color="auto" w:fill="auto"/>
            <w:noWrap/>
            <w:vAlign w:val="bottom"/>
            <w:hideMark/>
          </w:tcPr>
          <w:p w14:paraId="1462FF90" w14:textId="200B9C2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-0.0376</w:t>
            </w:r>
          </w:p>
        </w:tc>
        <w:tc>
          <w:tcPr>
            <w:tcW w:w="576" w:type="dxa"/>
            <w:tcBorders>
              <w:top w:val="nil"/>
              <w:left w:val="nil"/>
              <w:bottom w:val="nil"/>
              <w:right w:val="nil"/>
            </w:tcBorders>
            <w:shd w:val="clear" w:color="auto" w:fill="auto"/>
            <w:noWrap/>
            <w:vAlign w:val="bottom"/>
            <w:hideMark/>
          </w:tcPr>
          <w:p w14:paraId="34F2E4F2" w14:textId="6E723131"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7F589C39"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4527C401"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CombinedRatio</w:t>
            </w:r>
          </w:p>
        </w:tc>
        <w:tc>
          <w:tcPr>
            <w:tcW w:w="1116" w:type="dxa"/>
            <w:tcBorders>
              <w:top w:val="nil"/>
              <w:left w:val="nil"/>
              <w:bottom w:val="nil"/>
              <w:right w:val="nil"/>
            </w:tcBorders>
            <w:shd w:val="clear" w:color="auto" w:fill="auto"/>
            <w:noWrap/>
            <w:vAlign w:val="bottom"/>
            <w:hideMark/>
          </w:tcPr>
          <w:p w14:paraId="219731BB" w14:textId="07E110F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4.6387</w:t>
            </w:r>
          </w:p>
        </w:tc>
        <w:tc>
          <w:tcPr>
            <w:tcW w:w="1215" w:type="dxa"/>
            <w:tcBorders>
              <w:top w:val="nil"/>
              <w:left w:val="nil"/>
              <w:bottom w:val="nil"/>
              <w:right w:val="nil"/>
            </w:tcBorders>
            <w:shd w:val="clear" w:color="auto" w:fill="auto"/>
            <w:noWrap/>
            <w:vAlign w:val="bottom"/>
            <w:hideMark/>
          </w:tcPr>
          <w:p w14:paraId="405BA4D5" w14:textId="0A8DA81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0.4693</w:t>
            </w:r>
          </w:p>
        </w:tc>
        <w:tc>
          <w:tcPr>
            <w:tcW w:w="1116" w:type="dxa"/>
            <w:tcBorders>
              <w:top w:val="nil"/>
              <w:left w:val="nil"/>
              <w:bottom w:val="nil"/>
              <w:right w:val="nil"/>
            </w:tcBorders>
            <w:shd w:val="clear" w:color="auto" w:fill="auto"/>
            <w:noWrap/>
            <w:vAlign w:val="bottom"/>
            <w:hideMark/>
          </w:tcPr>
          <w:p w14:paraId="16CF4750" w14:textId="630F4B1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4.6055</w:t>
            </w:r>
          </w:p>
        </w:tc>
        <w:tc>
          <w:tcPr>
            <w:tcW w:w="1215" w:type="dxa"/>
            <w:tcBorders>
              <w:top w:val="nil"/>
              <w:left w:val="nil"/>
              <w:bottom w:val="nil"/>
              <w:right w:val="nil"/>
            </w:tcBorders>
            <w:shd w:val="clear" w:color="auto" w:fill="auto"/>
            <w:noWrap/>
            <w:vAlign w:val="bottom"/>
            <w:hideMark/>
          </w:tcPr>
          <w:p w14:paraId="28EF89ED" w14:textId="07A8193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0.2618</w:t>
            </w:r>
          </w:p>
        </w:tc>
        <w:tc>
          <w:tcPr>
            <w:tcW w:w="996" w:type="dxa"/>
            <w:tcBorders>
              <w:top w:val="nil"/>
              <w:left w:val="nil"/>
              <w:bottom w:val="nil"/>
              <w:right w:val="nil"/>
            </w:tcBorders>
            <w:shd w:val="clear" w:color="auto" w:fill="auto"/>
            <w:noWrap/>
            <w:vAlign w:val="bottom"/>
            <w:hideMark/>
          </w:tcPr>
          <w:p w14:paraId="088B15FA" w14:textId="3DA931B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0.0332</w:t>
            </w:r>
          </w:p>
        </w:tc>
        <w:tc>
          <w:tcPr>
            <w:tcW w:w="576" w:type="dxa"/>
            <w:tcBorders>
              <w:top w:val="nil"/>
              <w:left w:val="nil"/>
              <w:bottom w:val="nil"/>
              <w:right w:val="nil"/>
            </w:tcBorders>
            <w:shd w:val="clear" w:color="auto" w:fill="auto"/>
            <w:noWrap/>
            <w:vAlign w:val="bottom"/>
            <w:hideMark/>
          </w:tcPr>
          <w:p w14:paraId="5AD6D93B" w14:textId="7795F5B0"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4901B81B"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056E3737"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Size</w:t>
            </w:r>
          </w:p>
        </w:tc>
        <w:tc>
          <w:tcPr>
            <w:tcW w:w="1116" w:type="dxa"/>
            <w:tcBorders>
              <w:top w:val="nil"/>
              <w:left w:val="nil"/>
              <w:bottom w:val="nil"/>
              <w:right w:val="nil"/>
            </w:tcBorders>
            <w:shd w:val="clear" w:color="auto" w:fill="auto"/>
            <w:noWrap/>
            <w:vAlign w:val="bottom"/>
            <w:hideMark/>
          </w:tcPr>
          <w:p w14:paraId="7048D9DF" w14:textId="7D763EA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18.1598</w:t>
            </w:r>
          </w:p>
        </w:tc>
        <w:tc>
          <w:tcPr>
            <w:tcW w:w="1215" w:type="dxa"/>
            <w:tcBorders>
              <w:top w:val="nil"/>
              <w:left w:val="nil"/>
              <w:bottom w:val="nil"/>
              <w:right w:val="nil"/>
            </w:tcBorders>
            <w:shd w:val="clear" w:color="auto" w:fill="auto"/>
            <w:noWrap/>
            <w:vAlign w:val="bottom"/>
            <w:hideMark/>
          </w:tcPr>
          <w:p w14:paraId="35DB3640" w14:textId="49C7C77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1.9165</w:t>
            </w:r>
          </w:p>
        </w:tc>
        <w:tc>
          <w:tcPr>
            <w:tcW w:w="1116" w:type="dxa"/>
            <w:tcBorders>
              <w:top w:val="nil"/>
              <w:left w:val="nil"/>
              <w:bottom w:val="nil"/>
              <w:right w:val="nil"/>
            </w:tcBorders>
            <w:shd w:val="clear" w:color="auto" w:fill="auto"/>
            <w:noWrap/>
            <w:vAlign w:val="bottom"/>
            <w:hideMark/>
          </w:tcPr>
          <w:p w14:paraId="35BD0101" w14:textId="7948AEA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19.1929</w:t>
            </w:r>
          </w:p>
        </w:tc>
        <w:tc>
          <w:tcPr>
            <w:tcW w:w="1215" w:type="dxa"/>
            <w:tcBorders>
              <w:top w:val="nil"/>
              <w:left w:val="nil"/>
              <w:bottom w:val="nil"/>
              <w:right w:val="nil"/>
            </w:tcBorders>
            <w:shd w:val="clear" w:color="auto" w:fill="auto"/>
            <w:noWrap/>
            <w:vAlign w:val="bottom"/>
            <w:hideMark/>
          </w:tcPr>
          <w:p w14:paraId="2EDC4F58" w14:textId="588496D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1.8117</w:t>
            </w:r>
          </w:p>
        </w:tc>
        <w:tc>
          <w:tcPr>
            <w:tcW w:w="996" w:type="dxa"/>
            <w:tcBorders>
              <w:top w:val="nil"/>
              <w:left w:val="nil"/>
              <w:bottom w:val="nil"/>
              <w:right w:val="nil"/>
            </w:tcBorders>
            <w:shd w:val="clear" w:color="auto" w:fill="auto"/>
            <w:noWrap/>
            <w:vAlign w:val="bottom"/>
            <w:hideMark/>
          </w:tcPr>
          <w:p w14:paraId="54DC9D7D" w14:textId="5B23D42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-1.0331</w:t>
            </w:r>
          </w:p>
        </w:tc>
        <w:tc>
          <w:tcPr>
            <w:tcW w:w="576" w:type="dxa"/>
            <w:tcBorders>
              <w:top w:val="nil"/>
              <w:left w:val="nil"/>
              <w:bottom w:val="nil"/>
              <w:right w:val="nil"/>
            </w:tcBorders>
            <w:shd w:val="clear" w:color="auto" w:fill="auto"/>
            <w:noWrap/>
            <w:vAlign w:val="bottom"/>
            <w:hideMark/>
          </w:tcPr>
          <w:p w14:paraId="2E9298EE" w14:textId="0AD4932E"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4478C41E"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6200AEE3"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Commercial</w:t>
            </w:r>
          </w:p>
        </w:tc>
        <w:tc>
          <w:tcPr>
            <w:tcW w:w="1116" w:type="dxa"/>
            <w:tcBorders>
              <w:top w:val="nil"/>
              <w:left w:val="nil"/>
              <w:bottom w:val="nil"/>
              <w:right w:val="nil"/>
            </w:tcBorders>
            <w:shd w:val="clear" w:color="auto" w:fill="auto"/>
            <w:noWrap/>
            <w:vAlign w:val="bottom"/>
            <w:hideMark/>
          </w:tcPr>
          <w:p w14:paraId="4F421474" w14:textId="76F4745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0.6773</w:t>
            </w:r>
          </w:p>
        </w:tc>
        <w:tc>
          <w:tcPr>
            <w:tcW w:w="1215" w:type="dxa"/>
            <w:tcBorders>
              <w:top w:val="nil"/>
              <w:left w:val="nil"/>
              <w:bottom w:val="nil"/>
              <w:right w:val="nil"/>
            </w:tcBorders>
            <w:shd w:val="clear" w:color="auto" w:fill="auto"/>
            <w:noWrap/>
            <w:vAlign w:val="bottom"/>
            <w:hideMark/>
          </w:tcPr>
          <w:p w14:paraId="351785C0" w14:textId="2FEB414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0.4226</w:t>
            </w:r>
          </w:p>
        </w:tc>
        <w:tc>
          <w:tcPr>
            <w:tcW w:w="1116" w:type="dxa"/>
            <w:tcBorders>
              <w:top w:val="nil"/>
              <w:left w:val="nil"/>
              <w:bottom w:val="nil"/>
              <w:right w:val="nil"/>
            </w:tcBorders>
            <w:shd w:val="clear" w:color="auto" w:fill="auto"/>
            <w:noWrap/>
            <w:vAlign w:val="bottom"/>
            <w:hideMark/>
          </w:tcPr>
          <w:p w14:paraId="6272E7E5" w14:textId="6A6B1E9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0.5976</w:t>
            </w:r>
          </w:p>
        </w:tc>
        <w:tc>
          <w:tcPr>
            <w:tcW w:w="1215" w:type="dxa"/>
            <w:tcBorders>
              <w:top w:val="nil"/>
              <w:left w:val="nil"/>
              <w:bottom w:val="nil"/>
              <w:right w:val="nil"/>
            </w:tcBorders>
            <w:shd w:val="clear" w:color="auto" w:fill="auto"/>
            <w:noWrap/>
            <w:vAlign w:val="bottom"/>
            <w:hideMark/>
          </w:tcPr>
          <w:p w14:paraId="6D373187" w14:textId="7322560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0.3640</w:t>
            </w:r>
          </w:p>
        </w:tc>
        <w:tc>
          <w:tcPr>
            <w:tcW w:w="996" w:type="dxa"/>
            <w:tcBorders>
              <w:top w:val="nil"/>
              <w:left w:val="nil"/>
              <w:bottom w:val="nil"/>
              <w:right w:val="nil"/>
            </w:tcBorders>
            <w:shd w:val="clear" w:color="auto" w:fill="auto"/>
            <w:noWrap/>
            <w:vAlign w:val="bottom"/>
            <w:hideMark/>
          </w:tcPr>
          <w:p w14:paraId="7973F31D" w14:textId="7DC4A33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0.0797</w:t>
            </w:r>
          </w:p>
        </w:tc>
        <w:tc>
          <w:tcPr>
            <w:tcW w:w="576" w:type="dxa"/>
            <w:tcBorders>
              <w:top w:val="nil"/>
              <w:left w:val="nil"/>
              <w:bottom w:val="nil"/>
              <w:right w:val="nil"/>
            </w:tcBorders>
            <w:shd w:val="clear" w:color="auto" w:fill="auto"/>
            <w:noWrap/>
            <w:vAlign w:val="bottom"/>
            <w:hideMark/>
          </w:tcPr>
          <w:p w14:paraId="70428F1A" w14:textId="50286722"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182ECD38"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68088D7C"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Leverage</w:t>
            </w:r>
          </w:p>
        </w:tc>
        <w:tc>
          <w:tcPr>
            <w:tcW w:w="1116" w:type="dxa"/>
            <w:tcBorders>
              <w:top w:val="nil"/>
              <w:left w:val="nil"/>
              <w:bottom w:val="nil"/>
              <w:right w:val="nil"/>
            </w:tcBorders>
            <w:shd w:val="clear" w:color="auto" w:fill="auto"/>
            <w:noWrap/>
            <w:vAlign w:val="bottom"/>
            <w:hideMark/>
          </w:tcPr>
          <w:p w14:paraId="2B28BF0A" w14:textId="383A679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1.1542</w:t>
            </w:r>
          </w:p>
        </w:tc>
        <w:tc>
          <w:tcPr>
            <w:tcW w:w="1215" w:type="dxa"/>
            <w:tcBorders>
              <w:top w:val="nil"/>
              <w:left w:val="nil"/>
              <w:bottom w:val="nil"/>
              <w:right w:val="nil"/>
            </w:tcBorders>
            <w:shd w:val="clear" w:color="auto" w:fill="auto"/>
            <w:noWrap/>
            <w:vAlign w:val="bottom"/>
            <w:hideMark/>
          </w:tcPr>
          <w:p w14:paraId="5535B92D" w14:textId="7497A696"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2.6876</w:t>
            </w:r>
          </w:p>
        </w:tc>
        <w:tc>
          <w:tcPr>
            <w:tcW w:w="1116" w:type="dxa"/>
            <w:tcBorders>
              <w:top w:val="nil"/>
              <w:left w:val="nil"/>
              <w:bottom w:val="nil"/>
              <w:right w:val="nil"/>
            </w:tcBorders>
            <w:shd w:val="clear" w:color="auto" w:fill="auto"/>
            <w:noWrap/>
            <w:vAlign w:val="bottom"/>
            <w:hideMark/>
          </w:tcPr>
          <w:p w14:paraId="090DC553" w14:textId="15532B96"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0.9592</w:t>
            </w:r>
          </w:p>
        </w:tc>
        <w:tc>
          <w:tcPr>
            <w:tcW w:w="1215" w:type="dxa"/>
            <w:tcBorders>
              <w:top w:val="nil"/>
              <w:left w:val="nil"/>
              <w:bottom w:val="nil"/>
              <w:right w:val="nil"/>
            </w:tcBorders>
            <w:shd w:val="clear" w:color="auto" w:fill="auto"/>
            <w:noWrap/>
            <w:vAlign w:val="bottom"/>
            <w:hideMark/>
          </w:tcPr>
          <w:p w14:paraId="7057A9B0" w14:textId="6C64F8B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2.6782</w:t>
            </w:r>
          </w:p>
        </w:tc>
        <w:tc>
          <w:tcPr>
            <w:tcW w:w="996" w:type="dxa"/>
            <w:tcBorders>
              <w:top w:val="nil"/>
              <w:left w:val="nil"/>
              <w:bottom w:val="nil"/>
              <w:right w:val="nil"/>
            </w:tcBorders>
            <w:shd w:val="clear" w:color="auto" w:fill="auto"/>
            <w:noWrap/>
            <w:vAlign w:val="bottom"/>
            <w:hideMark/>
          </w:tcPr>
          <w:p w14:paraId="6E15A90A" w14:textId="33ED2D2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0.1949</w:t>
            </w:r>
          </w:p>
        </w:tc>
        <w:tc>
          <w:tcPr>
            <w:tcW w:w="576" w:type="dxa"/>
            <w:tcBorders>
              <w:top w:val="nil"/>
              <w:left w:val="nil"/>
              <w:bottom w:val="nil"/>
              <w:right w:val="nil"/>
            </w:tcBorders>
            <w:shd w:val="clear" w:color="auto" w:fill="auto"/>
            <w:noWrap/>
            <w:vAlign w:val="bottom"/>
            <w:hideMark/>
          </w:tcPr>
          <w:p w14:paraId="5002D83F" w14:textId="5676D9E8"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7FC4AAE0"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56839923"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HHI_lines</w:t>
            </w:r>
          </w:p>
        </w:tc>
        <w:tc>
          <w:tcPr>
            <w:tcW w:w="1116" w:type="dxa"/>
            <w:tcBorders>
              <w:top w:val="nil"/>
              <w:left w:val="nil"/>
              <w:bottom w:val="nil"/>
              <w:right w:val="nil"/>
            </w:tcBorders>
            <w:shd w:val="clear" w:color="auto" w:fill="auto"/>
            <w:noWrap/>
            <w:vAlign w:val="bottom"/>
            <w:hideMark/>
          </w:tcPr>
          <w:p w14:paraId="1196AB9C" w14:textId="1437CAD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0.5812</w:t>
            </w:r>
          </w:p>
        </w:tc>
        <w:tc>
          <w:tcPr>
            <w:tcW w:w="1215" w:type="dxa"/>
            <w:tcBorders>
              <w:top w:val="nil"/>
              <w:left w:val="nil"/>
              <w:bottom w:val="nil"/>
              <w:right w:val="nil"/>
            </w:tcBorders>
            <w:shd w:val="clear" w:color="auto" w:fill="auto"/>
            <w:noWrap/>
            <w:vAlign w:val="bottom"/>
            <w:hideMark/>
          </w:tcPr>
          <w:p w14:paraId="5C42359E" w14:textId="17B75EE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0.3107</w:t>
            </w:r>
          </w:p>
        </w:tc>
        <w:tc>
          <w:tcPr>
            <w:tcW w:w="1116" w:type="dxa"/>
            <w:tcBorders>
              <w:top w:val="nil"/>
              <w:left w:val="nil"/>
              <w:bottom w:val="nil"/>
              <w:right w:val="nil"/>
            </w:tcBorders>
            <w:shd w:val="clear" w:color="auto" w:fill="auto"/>
            <w:noWrap/>
            <w:vAlign w:val="bottom"/>
            <w:hideMark/>
          </w:tcPr>
          <w:p w14:paraId="730FE635" w14:textId="4F9B2A0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0.3912</w:t>
            </w:r>
          </w:p>
        </w:tc>
        <w:tc>
          <w:tcPr>
            <w:tcW w:w="1215" w:type="dxa"/>
            <w:tcBorders>
              <w:top w:val="nil"/>
              <w:left w:val="nil"/>
              <w:bottom w:val="nil"/>
              <w:right w:val="nil"/>
            </w:tcBorders>
            <w:shd w:val="clear" w:color="auto" w:fill="auto"/>
            <w:noWrap/>
            <w:vAlign w:val="bottom"/>
            <w:hideMark/>
          </w:tcPr>
          <w:p w14:paraId="43FF6A1A" w14:textId="13E0636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0.2709</w:t>
            </w:r>
          </w:p>
        </w:tc>
        <w:tc>
          <w:tcPr>
            <w:tcW w:w="996" w:type="dxa"/>
            <w:tcBorders>
              <w:top w:val="nil"/>
              <w:left w:val="nil"/>
              <w:bottom w:val="nil"/>
              <w:right w:val="nil"/>
            </w:tcBorders>
            <w:shd w:val="clear" w:color="auto" w:fill="auto"/>
            <w:noWrap/>
            <w:vAlign w:val="bottom"/>
            <w:hideMark/>
          </w:tcPr>
          <w:p w14:paraId="3896422F" w14:textId="274CB3A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0.1900</w:t>
            </w:r>
          </w:p>
        </w:tc>
        <w:tc>
          <w:tcPr>
            <w:tcW w:w="576" w:type="dxa"/>
            <w:tcBorders>
              <w:top w:val="nil"/>
              <w:left w:val="nil"/>
              <w:bottom w:val="nil"/>
              <w:right w:val="nil"/>
            </w:tcBorders>
            <w:shd w:val="clear" w:color="auto" w:fill="auto"/>
            <w:noWrap/>
            <w:vAlign w:val="bottom"/>
            <w:hideMark/>
          </w:tcPr>
          <w:p w14:paraId="7775DDA3" w14:textId="43CC95EB"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4120F5EE"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36DC4C89"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HHI_states</w:t>
            </w:r>
          </w:p>
        </w:tc>
        <w:tc>
          <w:tcPr>
            <w:tcW w:w="1116" w:type="dxa"/>
            <w:tcBorders>
              <w:top w:val="nil"/>
              <w:left w:val="nil"/>
              <w:bottom w:val="nil"/>
              <w:right w:val="nil"/>
            </w:tcBorders>
            <w:shd w:val="clear" w:color="auto" w:fill="auto"/>
            <w:noWrap/>
            <w:vAlign w:val="bottom"/>
            <w:hideMark/>
          </w:tcPr>
          <w:p w14:paraId="3C70F2AB" w14:textId="0D8DE07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0.6629</w:t>
            </w:r>
          </w:p>
        </w:tc>
        <w:tc>
          <w:tcPr>
            <w:tcW w:w="1215" w:type="dxa"/>
            <w:tcBorders>
              <w:top w:val="nil"/>
              <w:left w:val="nil"/>
              <w:bottom w:val="nil"/>
              <w:right w:val="nil"/>
            </w:tcBorders>
            <w:shd w:val="clear" w:color="auto" w:fill="auto"/>
            <w:noWrap/>
            <w:vAlign w:val="bottom"/>
            <w:hideMark/>
          </w:tcPr>
          <w:p w14:paraId="541A6E39" w14:textId="1CA271F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0.3749</w:t>
            </w:r>
          </w:p>
        </w:tc>
        <w:tc>
          <w:tcPr>
            <w:tcW w:w="1116" w:type="dxa"/>
            <w:tcBorders>
              <w:top w:val="nil"/>
              <w:left w:val="nil"/>
              <w:bottom w:val="nil"/>
              <w:right w:val="nil"/>
            </w:tcBorders>
            <w:shd w:val="clear" w:color="auto" w:fill="auto"/>
            <w:noWrap/>
            <w:vAlign w:val="bottom"/>
            <w:hideMark/>
          </w:tcPr>
          <w:p w14:paraId="15037453" w14:textId="267F708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0.4854</w:t>
            </w:r>
          </w:p>
        </w:tc>
        <w:tc>
          <w:tcPr>
            <w:tcW w:w="1215" w:type="dxa"/>
            <w:tcBorders>
              <w:top w:val="nil"/>
              <w:left w:val="nil"/>
              <w:bottom w:val="nil"/>
              <w:right w:val="nil"/>
            </w:tcBorders>
            <w:shd w:val="clear" w:color="auto" w:fill="auto"/>
            <w:noWrap/>
            <w:vAlign w:val="bottom"/>
            <w:hideMark/>
          </w:tcPr>
          <w:p w14:paraId="4092520B" w14:textId="51540FA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0.3689</w:t>
            </w:r>
          </w:p>
        </w:tc>
        <w:tc>
          <w:tcPr>
            <w:tcW w:w="996" w:type="dxa"/>
            <w:tcBorders>
              <w:top w:val="nil"/>
              <w:left w:val="nil"/>
              <w:bottom w:val="nil"/>
              <w:right w:val="nil"/>
            </w:tcBorders>
            <w:shd w:val="clear" w:color="auto" w:fill="auto"/>
            <w:noWrap/>
            <w:vAlign w:val="bottom"/>
            <w:hideMark/>
          </w:tcPr>
          <w:p w14:paraId="48624B2F" w14:textId="5965878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0.1775</w:t>
            </w:r>
          </w:p>
        </w:tc>
        <w:tc>
          <w:tcPr>
            <w:tcW w:w="576" w:type="dxa"/>
            <w:tcBorders>
              <w:top w:val="nil"/>
              <w:left w:val="nil"/>
              <w:bottom w:val="nil"/>
              <w:right w:val="nil"/>
            </w:tcBorders>
            <w:shd w:val="clear" w:color="auto" w:fill="auto"/>
            <w:noWrap/>
            <w:vAlign w:val="bottom"/>
            <w:hideMark/>
          </w:tcPr>
          <w:p w14:paraId="7DEB2615" w14:textId="64EDCD3A"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3D667C03"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28878082"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Group</w:t>
            </w:r>
          </w:p>
        </w:tc>
        <w:tc>
          <w:tcPr>
            <w:tcW w:w="1116" w:type="dxa"/>
            <w:tcBorders>
              <w:top w:val="nil"/>
              <w:left w:val="nil"/>
              <w:bottom w:val="nil"/>
              <w:right w:val="nil"/>
            </w:tcBorders>
            <w:shd w:val="clear" w:color="auto" w:fill="auto"/>
            <w:noWrap/>
            <w:vAlign w:val="bottom"/>
            <w:hideMark/>
          </w:tcPr>
          <w:p w14:paraId="7159B4EB" w14:textId="680C221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0.5068</w:t>
            </w:r>
          </w:p>
        </w:tc>
        <w:tc>
          <w:tcPr>
            <w:tcW w:w="1215" w:type="dxa"/>
            <w:tcBorders>
              <w:top w:val="nil"/>
              <w:left w:val="nil"/>
              <w:bottom w:val="nil"/>
              <w:right w:val="nil"/>
            </w:tcBorders>
            <w:shd w:val="clear" w:color="auto" w:fill="auto"/>
            <w:noWrap/>
            <w:vAlign w:val="bottom"/>
            <w:hideMark/>
          </w:tcPr>
          <w:p w14:paraId="197E9655" w14:textId="066F021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0.5000</w:t>
            </w:r>
          </w:p>
        </w:tc>
        <w:tc>
          <w:tcPr>
            <w:tcW w:w="1116" w:type="dxa"/>
            <w:tcBorders>
              <w:top w:val="nil"/>
              <w:left w:val="nil"/>
              <w:bottom w:val="nil"/>
              <w:right w:val="nil"/>
            </w:tcBorders>
            <w:shd w:val="clear" w:color="auto" w:fill="auto"/>
            <w:noWrap/>
            <w:vAlign w:val="bottom"/>
            <w:hideMark/>
          </w:tcPr>
          <w:p w14:paraId="2859F134" w14:textId="05987246"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0.8097</w:t>
            </w:r>
          </w:p>
        </w:tc>
        <w:tc>
          <w:tcPr>
            <w:tcW w:w="1215" w:type="dxa"/>
            <w:tcBorders>
              <w:top w:val="nil"/>
              <w:left w:val="nil"/>
              <w:bottom w:val="nil"/>
              <w:right w:val="nil"/>
            </w:tcBorders>
            <w:shd w:val="clear" w:color="auto" w:fill="auto"/>
            <w:noWrap/>
            <w:vAlign w:val="bottom"/>
            <w:hideMark/>
          </w:tcPr>
          <w:p w14:paraId="1D8725D2" w14:textId="60C01D2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0.3926</w:t>
            </w:r>
          </w:p>
        </w:tc>
        <w:tc>
          <w:tcPr>
            <w:tcW w:w="996" w:type="dxa"/>
            <w:tcBorders>
              <w:top w:val="nil"/>
              <w:left w:val="nil"/>
              <w:bottom w:val="nil"/>
              <w:right w:val="nil"/>
            </w:tcBorders>
            <w:shd w:val="clear" w:color="auto" w:fill="auto"/>
            <w:noWrap/>
            <w:vAlign w:val="bottom"/>
            <w:hideMark/>
          </w:tcPr>
          <w:p w14:paraId="64C2992B" w14:textId="357E20E1"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-0.3029</w:t>
            </w:r>
          </w:p>
        </w:tc>
        <w:tc>
          <w:tcPr>
            <w:tcW w:w="576" w:type="dxa"/>
            <w:tcBorders>
              <w:top w:val="nil"/>
              <w:left w:val="nil"/>
              <w:bottom w:val="nil"/>
              <w:right w:val="nil"/>
            </w:tcBorders>
            <w:shd w:val="clear" w:color="auto" w:fill="auto"/>
            <w:noWrap/>
            <w:vAlign w:val="bottom"/>
            <w:hideMark/>
          </w:tcPr>
          <w:p w14:paraId="187AE316" w14:textId="606EE121"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4202F2EF"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1FB061B3"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Stock</w:t>
            </w:r>
          </w:p>
        </w:tc>
        <w:tc>
          <w:tcPr>
            <w:tcW w:w="1116" w:type="dxa"/>
            <w:tcBorders>
              <w:top w:val="nil"/>
              <w:left w:val="nil"/>
              <w:bottom w:val="nil"/>
              <w:right w:val="nil"/>
            </w:tcBorders>
            <w:shd w:val="clear" w:color="auto" w:fill="auto"/>
            <w:noWrap/>
            <w:vAlign w:val="bottom"/>
            <w:hideMark/>
          </w:tcPr>
          <w:p w14:paraId="4CA0C500" w14:textId="07F3B30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0.7283</w:t>
            </w:r>
          </w:p>
        </w:tc>
        <w:tc>
          <w:tcPr>
            <w:tcW w:w="1215" w:type="dxa"/>
            <w:tcBorders>
              <w:top w:val="nil"/>
              <w:left w:val="nil"/>
              <w:bottom w:val="nil"/>
              <w:right w:val="nil"/>
            </w:tcBorders>
            <w:shd w:val="clear" w:color="auto" w:fill="auto"/>
            <w:noWrap/>
            <w:vAlign w:val="bottom"/>
            <w:hideMark/>
          </w:tcPr>
          <w:p w14:paraId="4EB27AF3" w14:textId="5460B9F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0.4449</w:t>
            </w:r>
          </w:p>
        </w:tc>
        <w:tc>
          <w:tcPr>
            <w:tcW w:w="1116" w:type="dxa"/>
            <w:tcBorders>
              <w:top w:val="nil"/>
              <w:left w:val="nil"/>
              <w:bottom w:val="nil"/>
              <w:right w:val="nil"/>
            </w:tcBorders>
            <w:shd w:val="clear" w:color="auto" w:fill="auto"/>
            <w:noWrap/>
            <w:vAlign w:val="bottom"/>
            <w:hideMark/>
          </w:tcPr>
          <w:p w14:paraId="30238FF9" w14:textId="3734D6D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0.7701</w:t>
            </w:r>
          </w:p>
        </w:tc>
        <w:tc>
          <w:tcPr>
            <w:tcW w:w="1215" w:type="dxa"/>
            <w:tcBorders>
              <w:top w:val="nil"/>
              <w:left w:val="nil"/>
              <w:bottom w:val="nil"/>
              <w:right w:val="nil"/>
            </w:tcBorders>
            <w:shd w:val="clear" w:color="auto" w:fill="auto"/>
            <w:noWrap/>
            <w:vAlign w:val="bottom"/>
            <w:hideMark/>
          </w:tcPr>
          <w:p w14:paraId="5F57192C" w14:textId="3E629DE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0.4208</w:t>
            </w:r>
          </w:p>
        </w:tc>
        <w:tc>
          <w:tcPr>
            <w:tcW w:w="996" w:type="dxa"/>
            <w:tcBorders>
              <w:top w:val="nil"/>
              <w:left w:val="nil"/>
              <w:bottom w:val="nil"/>
              <w:right w:val="nil"/>
            </w:tcBorders>
            <w:shd w:val="clear" w:color="auto" w:fill="auto"/>
            <w:noWrap/>
            <w:vAlign w:val="bottom"/>
            <w:hideMark/>
          </w:tcPr>
          <w:p w14:paraId="2B6DA565" w14:textId="4C43F271"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-0.0418</w:t>
            </w:r>
          </w:p>
        </w:tc>
        <w:tc>
          <w:tcPr>
            <w:tcW w:w="576" w:type="dxa"/>
            <w:tcBorders>
              <w:top w:val="nil"/>
              <w:left w:val="nil"/>
              <w:bottom w:val="nil"/>
              <w:right w:val="nil"/>
            </w:tcBorders>
            <w:shd w:val="clear" w:color="auto" w:fill="auto"/>
            <w:noWrap/>
            <w:vAlign w:val="bottom"/>
            <w:hideMark/>
          </w:tcPr>
          <w:p w14:paraId="286EE990" w14:textId="7B2675D0"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7FA7BAE2"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062E8874" w14:textId="6BE1239F"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Independen</w:t>
            </w:r>
            <w:r>
              <w:rPr>
                <w:rFonts w:eastAsia="Times New Roman" w:cs="Times New Roman"/>
                <w:bCs/>
                <w:color w:val="000000"/>
                <w:szCs w:val="24"/>
              </w:rPr>
              <w:t>t</w:t>
            </w:r>
            <w:r w:rsidRPr="00940704">
              <w:rPr>
                <w:rFonts w:eastAsia="Times New Roman" w:cs="Times New Roman"/>
                <w:bCs/>
                <w:color w:val="000000"/>
                <w:szCs w:val="24"/>
              </w:rPr>
              <w:t>Agency</w:t>
            </w:r>
          </w:p>
        </w:tc>
        <w:tc>
          <w:tcPr>
            <w:tcW w:w="1116" w:type="dxa"/>
            <w:tcBorders>
              <w:top w:val="nil"/>
              <w:left w:val="nil"/>
              <w:bottom w:val="nil"/>
              <w:right w:val="nil"/>
            </w:tcBorders>
            <w:shd w:val="clear" w:color="auto" w:fill="auto"/>
            <w:noWrap/>
            <w:vAlign w:val="bottom"/>
            <w:hideMark/>
          </w:tcPr>
          <w:p w14:paraId="42358483" w14:textId="69EB445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0.3209</w:t>
            </w:r>
          </w:p>
        </w:tc>
        <w:tc>
          <w:tcPr>
            <w:tcW w:w="1215" w:type="dxa"/>
            <w:tcBorders>
              <w:top w:val="nil"/>
              <w:left w:val="nil"/>
              <w:bottom w:val="nil"/>
              <w:right w:val="nil"/>
            </w:tcBorders>
            <w:shd w:val="clear" w:color="auto" w:fill="auto"/>
            <w:noWrap/>
            <w:vAlign w:val="bottom"/>
            <w:hideMark/>
          </w:tcPr>
          <w:p w14:paraId="1A295C2D" w14:textId="7FC58CC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0.4669</w:t>
            </w:r>
          </w:p>
        </w:tc>
        <w:tc>
          <w:tcPr>
            <w:tcW w:w="1116" w:type="dxa"/>
            <w:tcBorders>
              <w:top w:val="nil"/>
              <w:left w:val="nil"/>
              <w:bottom w:val="nil"/>
              <w:right w:val="nil"/>
            </w:tcBorders>
            <w:shd w:val="clear" w:color="auto" w:fill="auto"/>
            <w:noWrap/>
            <w:vAlign w:val="bottom"/>
            <w:hideMark/>
          </w:tcPr>
          <w:p w14:paraId="3FC1E1DF" w14:textId="0773137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0.6636</w:t>
            </w:r>
          </w:p>
        </w:tc>
        <w:tc>
          <w:tcPr>
            <w:tcW w:w="1215" w:type="dxa"/>
            <w:tcBorders>
              <w:top w:val="nil"/>
              <w:left w:val="nil"/>
              <w:bottom w:val="nil"/>
              <w:right w:val="nil"/>
            </w:tcBorders>
            <w:shd w:val="clear" w:color="auto" w:fill="auto"/>
            <w:noWrap/>
            <w:vAlign w:val="bottom"/>
            <w:hideMark/>
          </w:tcPr>
          <w:p w14:paraId="0C02F258" w14:textId="00984AC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0.4725</w:t>
            </w:r>
          </w:p>
        </w:tc>
        <w:tc>
          <w:tcPr>
            <w:tcW w:w="996" w:type="dxa"/>
            <w:tcBorders>
              <w:top w:val="nil"/>
              <w:left w:val="nil"/>
              <w:bottom w:val="nil"/>
              <w:right w:val="nil"/>
            </w:tcBorders>
            <w:shd w:val="clear" w:color="auto" w:fill="auto"/>
            <w:noWrap/>
            <w:vAlign w:val="bottom"/>
            <w:hideMark/>
          </w:tcPr>
          <w:p w14:paraId="6817D4A3" w14:textId="10EEEEA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-0.3427</w:t>
            </w:r>
          </w:p>
        </w:tc>
        <w:tc>
          <w:tcPr>
            <w:tcW w:w="576" w:type="dxa"/>
            <w:tcBorders>
              <w:top w:val="nil"/>
              <w:left w:val="nil"/>
              <w:bottom w:val="nil"/>
              <w:right w:val="nil"/>
            </w:tcBorders>
            <w:shd w:val="clear" w:color="auto" w:fill="auto"/>
            <w:noWrap/>
            <w:vAlign w:val="bottom"/>
            <w:hideMark/>
          </w:tcPr>
          <w:p w14:paraId="754553AB" w14:textId="5C48F5B0"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197F9244"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60B9625E"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Public</w:t>
            </w:r>
          </w:p>
        </w:tc>
        <w:tc>
          <w:tcPr>
            <w:tcW w:w="1116" w:type="dxa"/>
            <w:tcBorders>
              <w:top w:val="nil"/>
              <w:left w:val="nil"/>
              <w:bottom w:val="nil"/>
              <w:right w:val="nil"/>
            </w:tcBorders>
            <w:shd w:val="clear" w:color="auto" w:fill="auto"/>
            <w:noWrap/>
            <w:vAlign w:val="bottom"/>
            <w:hideMark/>
          </w:tcPr>
          <w:p w14:paraId="42FF8A23" w14:textId="6A2BDD64"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0.0020</w:t>
            </w:r>
          </w:p>
        </w:tc>
        <w:tc>
          <w:tcPr>
            <w:tcW w:w="1215" w:type="dxa"/>
            <w:tcBorders>
              <w:top w:val="nil"/>
              <w:left w:val="nil"/>
              <w:bottom w:val="nil"/>
              <w:right w:val="nil"/>
            </w:tcBorders>
            <w:shd w:val="clear" w:color="auto" w:fill="auto"/>
            <w:noWrap/>
            <w:vAlign w:val="bottom"/>
            <w:hideMark/>
          </w:tcPr>
          <w:p w14:paraId="60634052" w14:textId="3AE0600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0.0451</w:t>
            </w:r>
          </w:p>
        </w:tc>
        <w:tc>
          <w:tcPr>
            <w:tcW w:w="1116" w:type="dxa"/>
            <w:tcBorders>
              <w:top w:val="nil"/>
              <w:left w:val="nil"/>
              <w:bottom w:val="nil"/>
              <w:right w:val="nil"/>
            </w:tcBorders>
            <w:shd w:val="clear" w:color="auto" w:fill="auto"/>
            <w:noWrap/>
            <w:vAlign w:val="bottom"/>
            <w:hideMark/>
          </w:tcPr>
          <w:p w14:paraId="5AA7814C" w14:textId="6A722B7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0.0048</w:t>
            </w:r>
          </w:p>
        </w:tc>
        <w:tc>
          <w:tcPr>
            <w:tcW w:w="1215" w:type="dxa"/>
            <w:tcBorders>
              <w:top w:val="nil"/>
              <w:left w:val="nil"/>
              <w:bottom w:val="nil"/>
              <w:right w:val="nil"/>
            </w:tcBorders>
            <w:shd w:val="clear" w:color="auto" w:fill="auto"/>
            <w:noWrap/>
            <w:vAlign w:val="bottom"/>
            <w:hideMark/>
          </w:tcPr>
          <w:p w14:paraId="671835F2" w14:textId="6CB8C01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0.0694</w:t>
            </w:r>
          </w:p>
        </w:tc>
        <w:tc>
          <w:tcPr>
            <w:tcW w:w="996" w:type="dxa"/>
            <w:tcBorders>
              <w:top w:val="nil"/>
              <w:left w:val="nil"/>
              <w:bottom w:val="nil"/>
              <w:right w:val="nil"/>
            </w:tcBorders>
            <w:shd w:val="clear" w:color="auto" w:fill="auto"/>
            <w:noWrap/>
            <w:vAlign w:val="bottom"/>
            <w:hideMark/>
          </w:tcPr>
          <w:p w14:paraId="26DA6FFD" w14:textId="09FDF24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-0.0028</w:t>
            </w:r>
          </w:p>
        </w:tc>
        <w:tc>
          <w:tcPr>
            <w:tcW w:w="576" w:type="dxa"/>
            <w:tcBorders>
              <w:top w:val="nil"/>
              <w:left w:val="nil"/>
              <w:bottom w:val="nil"/>
              <w:right w:val="nil"/>
            </w:tcBorders>
            <w:shd w:val="clear" w:color="auto" w:fill="auto"/>
            <w:noWrap/>
            <w:vAlign w:val="bottom"/>
            <w:hideMark/>
          </w:tcPr>
          <w:p w14:paraId="2507060B" w14:textId="2427EB49"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626C2630"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4E1AEC01"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Reinsurance</w:t>
            </w:r>
          </w:p>
        </w:tc>
        <w:tc>
          <w:tcPr>
            <w:tcW w:w="1116" w:type="dxa"/>
            <w:tcBorders>
              <w:top w:val="nil"/>
              <w:left w:val="nil"/>
              <w:bottom w:val="nil"/>
              <w:right w:val="nil"/>
            </w:tcBorders>
            <w:shd w:val="clear" w:color="auto" w:fill="auto"/>
            <w:noWrap/>
            <w:vAlign w:val="bottom"/>
            <w:hideMark/>
          </w:tcPr>
          <w:p w14:paraId="79DCD021" w14:textId="29F392B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0.5125</w:t>
            </w:r>
          </w:p>
        </w:tc>
        <w:tc>
          <w:tcPr>
            <w:tcW w:w="1215" w:type="dxa"/>
            <w:tcBorders>
              <w:top w:val="nil"/>
              <w:left w:val="nil"/>
              <w:bottom w:val="nil"/>
              <w:right w:val="nil"/>
            </w:tcBorders>
            <w:shd w:val="clear" w:color="auto" w:fill="auto"/>
            <w:noWrap/>
            <w:vAlign w:val="bottom"/>
            <w:hideMark/>
          </w:tcPr>
          <w:p w14:paraId="2729862A" w14:textId="26C6CD3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1.0345</w:t>
            </w:r>
          </w:p>
        </w:tc>
        <w:tc>
          <w:tcPr>
            <w:tcW w:w="1116" w:type="dxa"/>
            <w:tcBorders>
              <w:top w:val="nil"/>
              <w:left w:val="nil"/>
              <w:bottom w:val="nil"/>
              <w:right w:val="nil"/>
            </w:tcBorders>
            <w:shd w:val="clear" w:color="auto" w:fill="auto"/>
            <w:noWrap/>
            <w:vAlign w:val="bottom"/>
            <w:hideMark/>
          </w:tcPr>
          <w:p w14:paraId="7F0CBC9D" w14:textId="25D63B0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0.8990</w:t>
            </w:r>
          </w:p>
        </w:tc>
        <w:tc>
          <w:tcPr>
            <w:tcW w:w="1215" w:type="dxa"/>
            <w:tcBorders>
              <w:top w:val="nil"/>
              <w:left w:val="nil"/>
              <w:bottom w:val="nil"/>
              <w:right w:val="nil"/>
            </w:tcBorders>
            <w:shd w:val="clear" w:color="auto" w:fill="auto"/>
            <w:noWrap/>
            <w:vAlign w:val="bottom"/>
            <w:hideMark/>
          </w:tcPr>
          <w:p w14:paraId="26ACDE8E" w14:textId="6EB71C0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1.4557</w:t>
            </w:r>
          </w:p>
        </w:tc>
        <w:tc>
          <w:tcPr>
            <w:tcW w:w="996" w:type="dxa"/>
            <w:tcBorders>
              <w:top w:val="nil"/>
              <w:left w:val="nil"/>
              <w:bottom w:val="nil"/>
              <w:right w:val="nil"/>
            </w:tcBorders>
            <w:shd w:val="clear" w:color="auto" w:fill="auto"/>
            <w:noWrap/>
            <w:vAlign w:val="bottom"/>
            <w:hideMark/>
          </w:tcPr>
          <w:p w14:paraId="50E2A974" w14:textId="0945A91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-0.3865</w:t>
            </w:r>
          </w:p>
        </w:tc>
        <w:tc>
          <w:tcPr>
            <w:tcW w:w="576" w:type="dxa"/>
            <w:tcBorders>
              <w:top w:val="nil"/>
              <w:left w:val="nil"/>
              <w:bottom w:val="nil"/>
              <w:right w:val="nil"/>
            </w:tcBorders>
            <w:shd w:val="clear" w:color="auto" w:fill="auto"/>
            <w:noWrap/>
            <w:vAlign w:val="bottom"/>
            <w:hideMark/>
          </w:tcPr>
          <w:p w14:paraId="228BA601" w14:textId="7CCBC27F"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60707B16" w14:textId="77777777" w:rsidTr="00234709">
        <w:trPr>
          <w:trHeight w:val="310"/>
          <w:jc w:val="center"/>
        </w:trPr>
        <w:tc>
          <w:tcPr>
            <w:tcW w:w="2394" w:type="dxa"/>
            <w:tcBorders>
              <w:top w:val="nil"/>
              <w:left w:val="nil"/>
              <w:bottom w:val="nil"/>
              <w:right w:val="nil"/>
            </w:tcBorders>
            <w:shd w:val="clear" w:color="auto" w:fill="auto"/>
            <w:noWrap/>
            <w:vAlign w:val="bottom"/>
            <w:hideMark/>
          </w:tcPr>
          <w:p w14:paraId="6A01F79F"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Advertising</w:t>
            </w:r>
          </w:p>
        </w:tc>
        <w:tc>
          <w:tcPr>
            <w:tcW w:w="1116" w:type="dxa"/>
            <w:tcBorders>
              <w:top w:val="nil"/>
              <w:left w:val="nil"/>
              <w:bottom w:val="nil"/>
              <w:right w:val="nil"/>
            </w:tcBorders>
            <w:shd w:val="clear" w:color="auto" w:fill="auto"/>
            <w:noWrap/>
            <w:vAlign w:val="bottom"/>
            <w:hideMark/>
          </w:tcPr>
          <w:p w14:paraId="68857616" w14:textId="6086855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0.0075</w:t>
            </w:r>
          </w:p>
        </w:tc>
        <w:tc>
          <w:tcPr>
            <w:tcW w:w="1215" w:type="dxa"/>
            <w:tcBorders>
              <w:top w:val="nil"/>
              <w:left w:val="nil"/>
              <w:bottom w:val="nil"/>
              <w:right w:val="nil"/>
            </w:tcBorders>
            <w:shd w:val="clear" w:color="auto" w:fill="auto"/>
            <w:noWrap/>
            <w:vAlign w:val="bottom"/>
            <w:hideMark/>
          </w:tcPr>
          <w:p w14:paraId="63101656" w14:textId="7CAB0254"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0.0201</w:t>
            </w:r>
          </w:p>
        </w:tc>
        <w:tc>
          <w:tcPr>
            <w:tcW w:w="1116" w:type="dxa"/>
            <w:tcBorders>
              <w:top w:val="nil"/>
              <w:left w:val="nil"/>
              <w:bottom w:val="nil"/>
              <w:right w:val="nil"/>
            </w:tcBorders>
            <w:shd w:val="clear" w:color="auto" w:fill="auto"/>
            <w:noWrap/>
            <w:vAlign w:val="bottom"/>
            <w:hideMark/>
          </w:tcPr>
          <w:p w14:paraId="7B35D41B" w14:textId="61F4C35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0.0067</w:t>
            </w:r>
          </w:p>
        </w:tc>
        <w:tc>
          <w:tcPr>
            <w:tcW w:w="1215" w:type="dxa"/>
            <w:tcBorders>
              <w:top w:val="nil"/>
              <w:left w:val="nil"/>
              <w:bottom w:val="nil"/>
              <w:right w:val="nil"/>
            </w:tcBorders>
            <w:shd w:val="clear" w:color="auto" w:fill="auto"/>
            <w:noWrap/>
            <w:vAlign w:val="bottom"/>
            <w:hideMark/>
          </w:tcPr>
          <w:p w14:paraId="5B16FB1B" w14:textId="41253A2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0.0159</w:t>
            </w:r>
          </w:p>
        </w:tc>
        <w:tc>
          <w:tcPr>
            <w:tcW w:w="996" w:type="dxa"/>
            <w:tcBorders>
              <w:top w:val="nil"/>
              <w:left w:val="nil"/>
              <w:bottom w:val="nil"/>
              <w:right w:val="nil"/>
            </w:tcBorders>
            <w:shd w:val="clear" w:color="auto" w:fill="auto"/>
            <w:noWrap/>
            <w:vAlign w:val="bottom"/>
            <w:hideMark/>
          </w:tcPr>
          <w:p w14:paraId="1BAC18D9" w14:textId="2D3F91E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0.0007</w:t>
            </w:r>
          </w:p>
        </w:tc>
        <w:tc>
          <w:tcPr>
            <w:tcW w:w="576" w:type="dxa"/>
            <w:tcBorders>
              <w:top w:val="nil"/>
              <w:left w:val="nil"/>
              <w:bottom w:val="nil"/>
              <w:right w:val="nil"/>
            </w:tcBorders>
            <w:shd w:val="clear" w:color="auto" w:fill="auto"/>
            <w:noWrap/>
            <w:vAlign w:val="bottom"/>
            <w:hideMark/>
          </w:tcPr>
          <w:p w14:paraId="3441EEBC" w14:textId="2EED6B46"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r w:rsidR="00EF0377" w:rsidRPr="00EF0377" w14:paraId="0D9CCD45" w14:textId="77777777" w:rsidTr="00234709">
        <w:trPr>
          <w:trHeight w:val="310"/>
          <w:jc w:val="center"/>
        </w:trPr>
        <w:tc>
          <w:tcPr>
            <w:tcW w:w="2394" w:type="dxa"/>
            <w:tcBorders>
              <w:top w:val="nil"/>
              <w:left w:val="nil"/>
              <w:bottom w:val="single" w:sz="4" w:space="0" w:color="auto"/>
              <w:right w:val="nil"/>
            </w:tcBorders>
            <w:shd w:val="clear" w:color="auto" w:fill="auto"/>
            <w:noWrap/>
            <w:vAlign w:val="bottom"/>
            <w:hideMark/>
          </w:tcPr>
          <w:p w14:paraId="562EDE32"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Surveys&amp;Audits</w:t>
            </w:r>
          </w:p>
        </w:tc>
        <w:tc>
          <w:tcPr>
            <w:tcW w:w="1116" w:type="dxa"/>
            <w:tcBorders>
              <w:top w:val="nil"/>
              <w:left w:val="nil"/>
              <w:bottom w:val="single" w:sz="4" w:space="0" w:color="auto"/>
              <w:right w:val="nil"/>
            </w:tcBorders>
            <w:shd w:val="clear" w:color="auto" w:fill="auto"/>
            <w:noWrap/>
            <w:vAlign w:val="bottom"/>
            <w:hideMark/>
          </w:tcPr>
          <w:p w14:paraId="5F0F10E2" w14:textId="5D40199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0.0083</w:t>
            </w:r>
          </w:p>
        </w:tc>
        <w:tc>
          <w:tcPr>
            <w:tcW w:w="1215" w:type="dxa"/>
            <w:tcBorders>
              <w:top w:val="nil"/>
              <w:left w:val="nil"/>
              <w:bottom w:val="single" w:sz="4" w:space="0" w:color="auto"/>
              <w:right w:val="nil"/>
            </w:tcBorders>
            <w:shd w:val="clear" w:color="auto" w:fill="auto"/>
            <w:noWrap/>
            <w:vAlign w:val="bottom"/>
            <w:hideMark/>
          </w:tcPr>
          <w:p w14:paraId="60079D72" w14:textId="180A755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0.0204</w:t>
            </w:r>
          </w:p>
        </w:tc>
        <w:tc>
          <w:tcPr>
            <w:tcW w:w="1116" w:type="dxa"/>
            <w:tcBorders>
              <w:top w:val="nil"/>
              <w:left w:val="nil"/>
              <w:bottom w:val="single" w:sz="4" w:space="0" w:color="auto"/>
              <w:right w:val="nil"/>
            </w:tcBorders>
            <w:shd w:val="clear" w:color="auto" w:fill="auto"/>
            <w:noWrap/>
            <w:vAlign w:val="bottom"/>
            <w:hideMark/>
          </w:tcPr>
          <w:p w14:paraId="1F2FF51C" w14:textId="34C7764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0.0091</w:t>
            </w:r>
          </w:p>
        </w:tc>
        <w:tc>
          <w:tcPr>
            <w:tcW w:w="1215" w:type="dxa"/>
            <w:tcBorders>
              <w:top w:val="nil"/>
              <w:left w:val="nil"/>
              <w:bottom w:val="single" w:sz="4" w:space="0" w:color="auto"/>
              <w:right w:val="nil"/>
            </w:tcBorders>
            <w:shd w:val="clear" w:color="auto" w:fill="auto"/>
            <w:noWrap/>
            <w:vAlign w:val="bottom"/>
            <w:hideMark/>
          </w:tcPr>
          <w:p w14:paraId="0DDAECB8" w14:textId="3688EDB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rPr>
              <w:t>0.0218</w:t>
            </w:r>
          </w:p>
        </w:tc>
        <w:tc>
          <w:tcPr>
            <w:tcW w:w="996" w:type="dxa"/>
            <w:tcBorders>
              <w:top w:val="nil"/>
              <w:left w:val="nil"/>
              <w:bottom w:val="single" w:sz="4" w:space="0" w:color="auto"/>
              <w:right w:val="nil"/>
            </w:tcBorders>
            <w:shd w:val="clear" w:color="auto" w:fill="auto"/>
            <w:noWrap/>
            <w:vAlign w:val="bottom"/>
            <w:hideMark/>
          </w:tcPr>
          <w:p w14:paraId="22B81581" w14:textId="166FB4C6"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rPr>
              <w:t>-0.0009</w:t>
            </w:r>
          </w:p>
        </w:tc>
        <w:tc>
          <w:tcPr>
            <w:tcW w:w="576" w:type="dxa"/>
            <w:tcBorders>
              <w:top w:val="nil"/>
              <w:left w:val="nil"/>
              <w:bottom w:val="single" w:sz="4" w:space="0" w:color="auto"/>
              <w:right w:val="nil"/>
            </w:tcBorders>
            <w:shd w:val="clear" w:color="auto" w:fill="auto"/>
            <w:noWrap/>
            <w:vAlign w:val="bottom"/>
            <w:hideMark/>
          </w:tcPr>
          <w:p w14:paraId="0B1DB45B" w14:textId="261EF3DA"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rPr>
              <w:t>*</w:t>
            </w:r>
          </w:p>
        </w:tc>
      </w:tr>
    </w:tbl>
    <w:p w14:paraId="5F97666D" w14:textId="77777777" w:rsidR="00477C34" w:rsidRPr="00477C34" w:rsidRDefault="00477C34" w:rsidP="00477C34">
      <w:pPr>
        <w:spacing w:line="240" w:lineRule="auto"/>
        <w:ind w:firstLine="0"/>
        <w:rPr>
          <w:rFonts w:cs="Times New Roman"/>
          <w:sz w:val="20"/>
          <w:szCs w:val="24"/>
        </w:rPr>
      </w:pPr>
      <w:r w:rsidRPr="00940704">
        <w:rPr>
          <w:rFonts w:cs="Times New Roman"/>
          <w:sz w:val="20"/>
          <w:szCs w:val="24"/>
        </w:rPr>
        <w:t>*Note: Statistical significance at the 1, 5, and 10 percent levels are denoted by ***, **, and *    respectively.</w:t>
      </w:r>
    </w:p>
    <w:p w14:paraId="4E414E5F" w14:textId="77777777" w:rsidR="00477C34" w:rsidRPr="00477C34" w:rsidRDefault="00477C34" w:rsidP="00477C34">
      <w:pPr>
        <w:spacing w:line="240" w:lineRule="auto"/>
        <w:ind w:firstLine="0"/>
        <w:rPr>
          <w:rFonts w:cs="Times New Roman"/>
          <w:sz w:val="20"/>
          <w:szCs w:val="24"/>
        </w:rPr>
      </w:pPr>
      <w:r w:rsidRPr="00940704">
        <w:rPr>
          <w:rFonts w:cs="Times New Roman"/>
          <w:sz w:val="20"/>
          <w:szCs w:val="24"/>
        </w:rPr>
        <w:t xml:space="preserve">*UseCont equals 1 if an insurer pays any contingent commissions, and 0 otherwise; </w:t>
      </w:r>
      <w:r w:rsidRPr="00234709">
        <w:rPr>
          <w:rFonts w:cs="Times New Roman"/>
          <w:sz w:val="20"/>
          <w:szCs w:val="24"/>
        </w:rPr>
        <w:t>Firm size is measured as natural logarithm of total admitted assets; Commercial lines of business is measured by proportion of net premiums written in commercial lines of business; Leverage is measured as ratio of liabilities to surplus; HHI_lines is Herfindahl index of premiums written by business lines; HHI_states is Herfindahl index of premiums written by states; Group member indicator is equal to one if the insurer is identified as a group by AM Best; Stock insurer dummy equals to one if the insurer is a stock company and zero otherwise; Independent agency indicator is equal to one if the insurer is identified as independent agency or broker by AM Best; Publicly traded indicator is  equal to one if the insurer is identified as being publicly traded by AM Best; Advertising   is measured as the ratio of advertising expenditures to net premiums written; Surveys &amp; Audits  is measured as the ratio of  expenditure on surveys and audits to net premiums written; Reinsurance is measured  as premiums ceded divided by direct premiums written plus reinsurance assumed.</w:t>
      </w:r>
    </w:p>
    <w:p w14:paraId="6299AFD3" w14:textId="77777777" w:rsidR="00477C34" w:rsidRDefault="00477C34" w:rsidP="004773D8">
      <w:pPr>
        <w:spacing w:line="240" w:lineRule="auto"/>
        <w:ind w:firstLine="0"/>
        <w:rPr>
          <w:rFonts w:cs="Times New Roman"/>
          <w:sz w:val="20"/>
          <w:szCs w:val="24"/>
        </w:rPr>
      </w:pPr>
    </w:p>
    <w:p w14:paraId="3CFB2F9C" w14:textId="77777777" w:rsidR="00477C34" w:rsidRDefault="00477C34" w:rsidP="004773D8">
      <w:pPr>
        <w:spacing w:line="240" w:lineRule="auto"/>
        <w:ind w:firstLine="0"/>
        <w:rPr>
          <w:rFonts w:cs="Times New Roman"/>
          <w:sz w:val="20"/>
          <w:szCs w:val="24"/>
        </w:rPr>
      </w:pPr>
    </w:p>
    <w:p w14:paraId="1B9674CD" w14:textId="77777777" w:rsidR="00477C34" w:rsidRDefault="00477C34" w:rsidP="004773D8">
      <w:pPr>
        <w:spacing w:line="240" w:lineRule="auto"/>
        <w:ind w:firstLine="0"/>
        <w:rPr>
          <w:rFonts w:cs="Times New Roman"/>
          <w:sz w:val="20"/>
          <w:szCs w:val="24"/>
        </w:rPr>
      </w:pPr>
    </w:p>
    <w:p w14:paraId="760B8FA5" w14:textId="77777777" w:rsidR="00477C34" w:rsidRDefault="00477C34" w:rsidP="004773D8">
      <w:pPr>
        <w:spacing w:line="240" w:lineRule="auto"/>
        <w:ind w:firstLine="0"/>
        <w:rPr>
          <w:rFonts w:cs="Times New Roman"/>
          <w:sz w:val="20"/>
          <w:szCs w:val="24"/>
        </w:rPr>
      </w:pPr>
    </w:p>
    <w:p w14:paraId="3492AF78" w14:textId="77777777" w:rsidR="00477C34" w:rsidRDefault="00477C34" w:rsidP="004773D8">
      <w:pPr>
        <w:spacing w:line="240" w:lineRule="auto"/>
        <w:ind w:firstLine="0"/>
        <w:rPr>
          <w:rFonts w:cs="Times New Roman"/>
          <w:sz w:val="20"/>
          <w:szCs w:val="24"/>
        </w:rPr>
      </w:pPr>
    </w:p>
    <w:p w14:paraId="7A625240" w14:textId="77777777" w:rsidR="00477C34" w:rsidRDefault="00477C34" w:rsidP="004773D8">
      <w:pPr>
        <w:spacing w:line="240" w:lineRule="auto"/>
        <w:ind w:firstLine="0"/>
        <w:rPr>
          <w:rFonts w:cs="Times New Roman"/>
          <w:sz w:val="20"/>
          <w:szCs w:val="24"/>
        </w:rPr>
      </w:pPr>
    </w:p>
    <w:p w14:paraId="28FA6247" w14:textId="77777777" w:rsidR="00477C34" w:rsidRDefault="00477C34" w:rsidP="004773D8">
      <w:pPr>
        <w:spacing w:line="240" w:lineRule="auto"/>
        <w:ind w:firstLine="0"/>
        <w:rPr>
          <w:rFonts w:cs="Times New Roman"/>
          <w:sz w:val="20"/>
          <w:szCs w:val="24"/>
        </w:rPr>
      </w:pPr>
    </w:p>
    <w:p w14:paraId="28990F8B" w14:textId="77777777" w:rsidR="00477C34" w:rsidRDefault="00477C34" w:rsidP="004773D8">
      <w:pPr>
        <w:spacing w:line="240" w:lineRule="auto"/>
        <w:ind w:firstLine="0"/>
        <w:rPr>
          <w:rFonts w:cs="Times New Roman"/>
          <w:sz w:val="20"/>
          <w:szCs w:val="24"/>
        </w:rPr>
      </w:pPr>
    </w:p>
    <w:p w14:paraId="12F6017E" w14:textId="77777777" w:rsidR="00477C34" w:rsidRDefault="00477C34" w:rsidP="004773D8">
      <w:pPr>
        <w:spacing w:line="240" w:lineRule="auto"/>
        <w:ind w:firstLine="0"/>
        <w:rPr>
          <w:rFonts w:cs="Times New Roman"/>
          <w:sz w:val="20"/>
          <w:szCs w:val="24"/>
        </w:rPr>
      </w:pPr>
    </w:p>
    <w:p w14:paraId="02A408E2" w14:textId="77777777" w:rsidR="00477C34" w:rsidRDefault="00477C34" w:rsidP="004773D8">
      <w:pPr>
        <w:spacing w:line="240" w:lineRule="auto"/>
        <w:ind w:firstLine="0"/>
        <w:rPr>
          <w:rFonts w:cs="Times New Roman"/>
          <w:sz w:val="20"/>
          <w:szCs w:val="24"/>
        </w:rPr>
      </w:pPr>
    </w:p>
    <w:p w14:paraId="69F56BDD" w14:textId="77777777" w:rsidR="00477C34" w:rsidRDefault="00477C34" w:rsidP="004773D8">
      <w:pPr>
        <w:spacing w:line="240" w:lineRule="auto"/>
        <w:ind w:firstLine="0"/>
        <w:rPr>
          <w:rFonts w:cs="Times New Roman"/>
          <w:sz w:val="20"/>
          <w:szCs w:val="24"/>
        </w:rPr>
      </w:pPr>
    </w:p>
    <w:p w14:paraId="0737EC1C" w14:textId="77777777" w:rsidR="00477C34" w:rsidRDefault="00477C34" w:rsidP="004773D8">
      <w:pPr>
        <w:spacing w:line="240" w:lineRule="auto"/>
        <w:ind w:firstLine="0"/>
        <w:rPr>
          <w:rFonts w:cs="Times New Roman"/>
          <w:sz w:val="20"/>
          <w:szCs w:val="24"/>
        </w:rPr>
      </w:pPr>
    </w:p>
    <w:p w14:paraId="0769AB18" w14:textId="77777777" w:rsidR="00477C34" w:rsidRDefault="00477C34" w:rsidP="004773D8">
      <w:pPr>
        <w:spacing w:line="240" w:lineRule="auto"/>
        <w:ind w:firstLine="0"/>
        <w:rPr>
          <w:rFonts w:cs="Times New Roman"/>
          <w:sz w:val="20"/>
          <w:szCs w:val="24"/>
        </w:rPr>
      </w:pPr>
    </w:p>
    <w:p w14:paraId="7BD55EAE" w14:textId="77777777" w:rsidR="00477C34" w:rsidRDefault="00477C34" w:rsidP="004773D8">
      <w:pPr>
        <w:spacing w:line="240" w:lineRule="auto"/>
        <w:ind w:firstLine="0"/>
        <w:rPr>
          <w:rFonts w:cs="Times New Roman"/>
          <w:sz w:val="20"/>
          <w:szCs w:val="24"/>
        </w:rPr>
      </w:pPr>
    </w:p>
    <w:p w14:paraId="439E246F" w14:textId="77777777" w:rsidR="00477C34" w:rsidRDefault="00477C34" w:rsidP="004773D8">
      <w:pPr>
        <w:spacing w:line="240" w:lineRule="auto"/>
        <w:ind w:firstLine="0"/>
        <w:rPr>
          <w:rFonts w:cs="Times New Roman"/>
          <w:sz w:val="20"/>
          <w:szCs w:val="24"/>
        </w:rPr>
      </w:pPr>
    </w:p>
    <w:p w14:paraId="24E88D78" w14:textId="77777777" w:rsidR="00477C34" w:rsidRDefault="00477C34" w:rsidP="004773D8">
      <w:pPr>
        <w:spacing w:line="240" w:lineRule="auto"/>
        <w:ind w:firstLine="0"/>
        <w:rPr>
          <w:rFonts w:cs="Times New Roman"/>
          <w:sz w:val="20"/>
          <w:szCs w:val="24"/>
        </w:rPr>
      </w:pPr>
    </w:p>
    <w:p w14:paraId="0887F197" w14:textId="77777777" w:rsidR="00477C34" w:rsidRDefault="00477C34" w:rsidP="004773D8">
      <w:pPr>
        <w:spacing w:line="240" w:lineRule="auto"/>
        <w:ind w:firstLine="0"/>
        <w:rPr>
          <w:rFonts w:cs="Times New Roman"/>
          <w:sz w:val="20"/>
          <w:szCs w:val="24"/>
        </w:rPr>
      </w:pPr>
    </w:p>
    <w:p w14:paraId="624BDBC9" w14:textId="77777777" w:rsidR="00477C34" w:rsidRDefault="00477C34" w:rsidP="004773D8">
      <w:pPr>
        <w:spacing w:line="240" w:lineRule="auto"/>
        <w:ind w:firstLine="0"/>
        <w:rPr>
          <w:rFonts w:cs="Times New Roman"/>
          <w:sz w:val="20"/>
          <w:szCs w:val="24"/>
        </w:rPr>
      </w:pPr>
    </w:p>
    <w:p w14:paraId="133B9520" w14:textId="77777777" w:rsidR="00477C34" w:rsidRDefault="00477C34" w:rsidP="004773D8">
      <w:pPr>
        <w:spacing w:line="240" w:lineRule="auto"/>
        <w:ind w:firstLine="0"/>
        <w:rPr>
          <w:rFonts w:cs="Times New Roman"/>
          <w:sz w:val="20"/>
          <w:szCs w:val="24"/>
        </w:rPr>
      </w:pPr>
    </w:p>
    <w:p w14:paraId="6FD49DB3" w14:textId="77777777" w:rsidR="00477C34" w:rsidRDefault="00477C34" w:rsidP="004773D8">
      <w:pPr>
        <w:spacing w:line="240" w:lineRule="auto"/>
        <w:ind w:firstLine="0"/>
        <w:rPr>
          <w:rFonts w:cs="Times New Roman"/>
          <w:sz w:val="20"/>
          <w:szCs w:val="24"/>
        </w:rPr>
      </w:pPr>
    </w:p>
    <w:tbl>
      <w:tblPr>
        <w:tblW w:w="8789" w:type="dxa"/>
        <w:jc w:val="center"/>
        <w:tblLook w:val="04A0" w:firstRow="1" w:lastRow="0" w:firstColumn="1" w:lastColumn="0" w:noHBand="0" w:noVBand="1"/>
      </w:tblPr>
      <w:tblGrid>
        <w:gridCol w:w="2149"/>
        <w:gridCol w:w="1548"/>
        <w:gridCol w:w="2302"/>
        <w:gridCol w:w="997"/>
        <w:gridCol w:w="1793"/>
      </w:tblGrid>
      <w:tr w:rsidR="00477C34" w:rsidRPr="00DC2B87" w14:paraId="6F234BE9" w14:textId="77777777" w:rsidTr="00EF0377">
        <w:trPr>
          <w:trHeight w:val="310"/>
          <w:jc w:val="center"/>
        </w:trPr>
        <w:tc>
          <w:tcPr>
            <w:tcW w:w="8789" w:type="dxa"/>
            <w:gridSpan w:val="5"/>
            <w:tcBorders>
              <w:top w:val="nil"/>
              <w:left w:val="nil"/>
              <w:bottom w:val="nil"/>
              <w:right w:val="nil"/>
            </w:tcBorders>
            <w:shd w:val="clear" w:color="auto" w:fill="auto"/>
            <w:noWrap/>
            <w:vAlign w:val="bottom"/>
            <w:hideMark/>
          </w:tcPr>
          <w:p w14:paraId="5819C18E" w14:textId="77777777" w:rsidR="00477C34" w:rsidRPr="00DC2B87" w:rsidRDefault="00477C34" w:rsidP="00477C34">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Table 2</w:t>
            </w:r>
          </w:p>
        </w:tc>
      </w:tr>
      <w:tr w:rsidR="00477C34" w:rsidRPr="00DC2B87" w14:paraId="5B6C7DEC" w14:textId="77777777" w:rsidTr="00EF0377">
        <w:trPr>
          <w:trHeight w:val="310"/>
          <w:jc w:val="center"/>
        </w:trPr>
        <w:tc>
          <w:tcPr>
            <w:tcW w:w="8789" w:type="dxa"/>
            <w:gridSpan w:val="5"/>
            <w:tcBorders>
              <w:top w:val="nil"/>
              <w:left w:val="nil"/>
              <w:bottom w:val="single" w:sz="4" w:space="0" w:color="auto"/>
              <w:right w:val="nil"/>
            </w:tcBorders>
            <w:shd w:val="clear" w:color="auto" w:fill="auto"/>
            <w:noWrap/>
            <w:vAlign w:val="bottom"/>
            <w:hideMark/>
          </w:tcPr>
          <w:p w14:paraId="382415FE" w14:textId="77777777" w:rsidR="00477C34" w:rsidRPr="00DC2B87" w:rsidRDefault="00477C34" w:rsidP="00F57DCD">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 xml:space="preserve">Mean Test for  Key Variables after Propensity Score Matching </w:t>
            </w:r>
          </w:p>
        </w:tc>
      </w:tr>
      <w:tr w:rsidR="00477C34" w:rsidRPr="00DC2B87" w14:paraId="781F7EAF" w14:textId="77777777" w:rsidTr="00EF0377">
        <w:trPr>
          <w:trHeight w:val="600"/>
          <w:jc w:val="center"/>
        </w:trPr>
        <w:tc>
          <w:tcPr>
            <w:tcW w:w="2149" w:type="dxa"/>
            <w:tcBorders>
              <w:top w:val="nil"/>
              <w:left w:val="nil"/>
              <w:bottom w:val="nil"/>
              <w:right w:val="nil"/>
            </w:tcBorders>
            <w:shd w:val="clear" w:color="auto" w:fill="auto"/>
            <w:noWrap/>
            <w:vAlign w:val="bottom"/>
            <w:hideMark/>
          </w:tcPr>
          <w:p w14:paraId="6C27BFF7" w14:textId="77777777" w:rsidR="00477C34" w:rsidRPr="00DC2B87" w:rsidRDefault="00477C34" w:rsidP="00F57DCD">
            <w:pPr>
              <w:spacing w:line="240" w:lineRule="auto"/>
              <w:ind w:firstLine="0"/>
              <w:jc w:val="center"/>
              <w:rPr>
                <w:rFonts w:eastAsia="Times New Roman" w:cs="Times New Roman"/>
                <w:b/>
                <w:bCs/>
                <w:color w:val="000000"/>
                <w:szCs w:val="24"/>
              </w:rPr>
            </w:pPr>
          </w:p>
        </w:tc>
        <w:tc>
          <w:tcPr>
            <w:tcW w:w="1548" w:type="dxa"/>
            <w:tcBorders>
              <w:top w:val="nil"/>
              <w:left w:val="nil"/>
              <w:bottom w:val="single" w:sz="4" w:space="0" w:color="auto"/>
              <w:right w:val="nil"/>
            </w:tcBorders>
            <w:shd w:val="clear" w:color="auto" w:fill="auto"/>
            <w:vAlign w:val="bottom"/>
            <w:hideMark/>
          </w:tcPr>
          <w:p w14:paraId="4BFC62E3" w14:textId="5F51C669" w:rsidR="00477C34" w:rsidRPr="00DC2B87" w:rsidRDefault="00EF0377" w:rsidP="00F57DCD">
            <w:pPr>
              <w:spacing w:line="240" w:lineRule="auto"/>
              <w:ind w:firstLine="0"/>
              <w:jc w:val="left"/>
              <w:rPr>
                <w:rFonts w:eastAsia="Times New Roman" w:cs="Times New Roman"/>
                <w:b/>
                <w:bCs/>
                <w:color w:val="000000"/>
                <w:szCs w:val="24"/>
              </w:rPr>
            </w:pPr>
            <w:r>
              <w:rPr>
                <w:rFonts w:eastAsia="Times New Roman" w:cs="Times New Roman"/>
                <w:b/>
                <w:bCs/>
                <w:color w:val="000000"/>
                <w:szCs w:val="24"/>
              </w:rPr>
              <w:t>UseCont=0    ( N=2797</w:t>
            </w:r>
            <w:r w:rsidR="00477C34" w:rsidRPr="00DC2B87">
              <w:rPr>
                <w:rFonts w:eastAsia="Times New Roman" w:cs="Times New Roman"/>
                <w:b/>
                <w:bCs/>
                <w:color w:val="000000"/>
                <w:szCs w:val="24"/>
              </w:rPr>
              <w:t xml:space="preserve"> )</w:t>
            </w:r>
          </w:p>
        </w:tc>
        <w:tc>
          <w:tcPr>
            <w:tcW w:w="2302" w:type="dxa"/>
            <w:tcBorders>
              <w:top w:val="nil"/>
              <w:left w:val="nil"/>
              <w:bottom w:val="single" w:sz="4" w:space="0" w:color="auto"/>
              <w:right w:val="nil"/>
            </w:tcBorders>
            <w:shd w:val="clear" w:color="auto" w:fill="auto"/>
            <w:vAlign w:val="bottom"/>
            <w:hideMark/>
          </w:tcPr>
          <w:p w14:paraId="2C6A778E" w14:textId="77777777" w:rsidR="00477C34" w:rsidRDefault="00477C34" w:rsidP="00F57DCD">
            <w:pPr>
              <w:spacing w:line="240" w:lineRule="auto"/>
              <w:ind w:firstLine="0"/>
              <w:jc w:val="left"/>
              <w:rPr>
                <w:rFonts w:eastAsia="Times New Roman" w:cs="Times New Roman"/>
                <w:b/>
                <w:bCs/>
                <w:color w:val="000000"/>
                <w:szCs w:val="24"/>
              </w:rPr>
            </w:pPr>
            <w:r>
              <w:rPr>
                <w:rFonts w:eastAsia="Times New Roman" w:cs="Times New Roman"/>
                <w:b/>
                <w:bCs/>
                <w:color w:val="000000"/>
                <w:szCs w:val="24"/>
              </w:rPr>
              <w:t xml:space="preserve">     </w:t>
            </w:r>
            <w:r w:rsidRPr="00DC2B87">
              <w:rPr>
                <w:rFonts w:eastAsia="Times New Roman" w:cs="Times New Roman"/>
                <w:b/>
                <w:bCs/>
                <w:color w:val="000000"/>
                <w:szCs w:val="24"/>
              </w:rPr>
              <w:t>UseCont=1</w:t>
            </w:r>
          </w:p>
          <w:p w14:paraId="0B795B4E" w14:textId="619F11F5" w:rsidR="00477C34" w:rsidRPr="00DC2B87" w:rsidRDefault="00477C34" w:rsidP="00F57DCD">
            <w:pPr>
              <w:spacing w:line="240" w:lineRule="auto"/>
              <w:ind w:firstLine="0"/>
              <w:jc w:val="left"/>
              <w:rPr>
                <w:rFonts w:eastAsia="Times New Roman" w:cs="Times New Roman"/>
                <w:b/>
                <w:bCs/>
                <w:color w:val="000000"/>
                <w:szCs w:val="24"/>
              </w:rPr>
            </w:pPr>
            <w:r>
              <w:rPr>
                <w:rFonts w:eastAsia="Times New Roman" w:cs="Times New Roman"/>
                <w:b/>
                <w:bCs/>
                <w:color w:val="000000"/>
                <w:szCs w:val="24"/>
              </w:rPr>
              <w:t xml:space="preserve">      </w:t>
            </w:r>
            <w:r w:rsidR="00EF0377">
              <w:rPr>
                <w:rFonts w:eastAsia="Times New Roman" w:cs="Times New Roman"/>
                <w:b/>
                <w:bCs/>
                <w:color w:val="000000"/>
                <w:szCs w:val="24"/>
              </w:rPr>
              <w:t>( N=4025</w:t>
            </w:r>
            <w:r w:rsidRPr="00DC2B87">
              <w:rPr>
                <w:rFonts w:eastAsia="Times New Roman" w:cs="Times New Roman"/>
                <w:b/>
                <w:bCs/>
                <w:color w:val="000000"/>
                <w:szCs w:val="24"/>
              </w:rPr>
              <w:t xml:space="preserve"> )</w:t>
            </w:r>
            <w:r>
              <w:rPr>
                <w:rFonts w:eastAsia="Times New Roman" w:cs="Times New Roman"/>
                <w:b/>
                <w:bCs/>
                <w:color w:val="000000"/>
                <w:szCs w:val="24"/>
              </w:rPr>
              <w:t xml:space="preserve"> </w:t>
            </w:r>
          </w:p>
        </w:tc>
        <w:tc>
          <w:tcPr>
            <w:tcW w:w="997" w:type="dxa"/>
            <w:tcBorders>
              <w:top w:val="nil"/>
              <w:left w:val="nil"/>
              <w:bottom w:val="nil"/>
              <w:right w:val="nil"/>
            </w:tcBorders>
            <w:shd w:val="clear" w:color="auto" w:fill="auto"/>
            <w:noWrap/>
            <w:vAlign w:val="bottom"/>
            <w:hideMark/>
          </w:tcPr>
          <w:p w14:paraId="49B07536" w14:textId="77777777" w:rsidR="00477C34" w:rsidRPr="00DC2B87" w:rsidRDefault="00477C34" w:rsidP="00F57DCD">
            <w:pPr>
              <w:spacing w:line="240" w:lineRule="auto"/>
              <w:ind w:firstLine="0"/>
              <w:jc w:val="left"/>
              <w:rPr>
                <w:rFonts w:eastAsia="Times New Roman" w:cs="Times New Roman"/>
                <w:b/>
                <w:bCs/>
                <w:color w:val="000000"/>
                <w:szCs w:val="24"/>
              </w:rPr>
            </w:pPr>
          </w:p>
        </w:tc>
        <w:tc>
          <w:tcPr>
            <w:tcW w:w="1793" w:type="dxa"/>
            <w:tcBorders>
              <w:top w:val="nil"/>
              <w:left w:val="nil"/>
              <w:bottom w:val="nil"/>
              <w:right w:val="nil"/>
            </w:tcBorders>
            <w:shd w:val="clear" w:color="auto" w:fill="auto"/>
            <w:noWrap/>
            <w:vAlign w:val="bottom"/>
            <w:hideMark/>
          </w:tcPr>
          <w:p w14:paraId="118D6319" w14:textId="77777777" w:rsidR="00477C34" w:rsidRPr="00DC2B87" w:rsidRDefault="00477C34" w:rsidP="00F57DCD">
            <w:pPr>
              <w:spacing w:line="240" w:lineRule="auto"/>
              <w:ind w:firstLine="0"/>
              <w:jc w:val="left"/>
              <w:rPr>
                <w:rFonts w:eastAsia="Times New Roman" w:cs="Times New Roman"/>
                <w:sz w:val="20"/>
                <w:szCs w:val="20"/>
              </w:rPr>
            </w:pPr>
          </w:p>
        </w:tc>
      </w:tr>
      <w:tr w:rsidR="00477C34" w:rsidRPr="00DC2B87" w14:paraId="501B82F8" w14:textId="77777777" w:rsidTr="00EF0377">
        <w:trPr>
          <w:trHeight w:val="310"/>
          <w:jc w:val="center"/>
        </w:trPr>
        <w:tc>
          <w:tcPr>
            <w:tcW w:w="2149" w:type="dxa"/>
            <w:tcBorders>
              <w:top w:val="nil"/>
              <w:left w:val="nil"/>
              <w:bottom w:val="single" w:sz="4" w:space="0" w:color="auto"/>
              <w:right w:val="nil"/>
            </w:tcBorders>
            <w:shd w:val="clear" w:color="auto" w:fill="auto"/>
            <w:noWrap/>
            <w:vAlign w:val="bottom"/>
            <w:hideMark/>
          </w:tcPr>
          <w:p w14:paraId="6B4C0026" w14:textId="77777777" w:rsidR="00477C34" w:rsidRPr="00DC2B87" w:rsidRDefault="00477C34" w:rsidP="00F57DCD">
            <w:pPr>
              <w:spacing w:line="240" w:lineRule="auto"/>
              <w:ind w:firstLine="0"/>
              <w:jc w:val="left"/>
              <w:rPr>
                <w:rFonts w:eastAsia="Times New Roman" w:cs="Times New Roman"/>
                <w:b/>
                <w:bCs/>
                <w:color w:val="000000"/>
                <w:szCs w:val="24"/>
              </w:rPr>
            </w:pPr>
            <w:r w:rsidRPr="00DC2B87">
              <w:rPr>
                <w:rFonts w:eastAsia="Times New Roman" w:cs="Times New Roman"/>
                <w:b/>
                <w:bCs/>
                <w:color w:val="000000"/>
                <w:szCs w:val="24"/>
              </w:rPr>
              <w:t> </w:t>
            </w:r>
          </w:p>
        </w:tc>
        <w:tc>
          <w:tcPr>
            <w:tcW w:w="1548" w:type="dxa"/>
            <w:tcBorders>
              <w:top w:val="nil"/>
              <w:left w:val="nil"/>
              <w:bottom w:val="single" w:sz="4" w:space="0" w:color="auto"/>
              <w:right w:val="nil"/>
            </w:tcBorders>
            <w:shd w:val="clear" w:color="auto" w:fill="auto"/>
            <w:noWrap/>
            <w:vAlign w:val="bottom"/>
            <w:hideMark/>
          </w:tcPr>
          <w:p w14:paraId="5DAEA651" w14:textId="77777777" w:rsidR="00477C34" w:rsidRPr="00DC2B87" w:rsidRDefault="00477C34" w:rsidP="00F57DCD">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mean</w:t>
            </w:r>
          </w:p>
        </w:tc>
        <w:tc>
          <w:tcPr>
            <w:tcW w:w="2302" w:type="dxa"/>
            <w:tcBorders>
              <w:top w:val="nil"/>
              <w:left w:val="nil"/>
              <w:bottom w:val="single" w:sz="4" w:space="0" w:color="auto"/>
              <w:right w:val="nil"/>
            </w:tcBorders>
            <w:shd w:val="clear" w:color="auto" w:fill="auto"/>
            <w:noWrap/>
            <w:vAlign w:val="bottom"/>
            <w:hideMark/>
          </w:tcPr>
          <w:p w14:paraId="102F5CA7" w14:textId="77777777" w:rsidR="00477C34" w:rsidRPr="00DC2B87" w:rsidRDefault="00477C34" w:rsidP="00F57DCD">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mean</w:t>
            </w:r>
          </w:p>
        </w:tc>
        <w:tc>
          <w:tcPr>
            <w:tcW w:w="997" w:type="dxa"/>
            <w:tcBorders>
              <w:top w:val="nil"/>
              <w:left w:val="nil"/>
              <w:bottom w:val="single" w:sz="4" w:space="0" w:color="auto"/>
              <w:right w:val="nil"/>
            </w:tcBorders>
            <w:shd w:val="clear" w:color="auto" w:fill="auto"/>
            <w:noWrap/>
            <w:vAlign w:val="bottom"/>
            <w:hideMark/>
          </w:tcPr>
          <w:p w14:paraId="04022360" w14:textId="77777777" w:rsidR="00477C34" w:rsidRPr="00DC2B87" w:rsidRDefault="00477C34" w:rsidP="00F57DCD">
            <w:pPr>
              <w:spacing w:line="240" w:lineRule="auto"/>
              <w:ind w:firstLine="0"/>
              <w:jc w:val="center"/>
              <w:rPr>
                <w:rFonts w:eastAsia="Times New Roman" w:cs="Times New Roman"/>
                <w:b/>
                <w:bCs/>
                <w:color w:val="000000"/>
                <w:szCs w:val="24"/>
              </w:rPr>
            </w:pPr>
            <w:r w:rsidRPr="00DC2B87">
              <w:rPr>
                <w:rFonts w:eastAsia="Times New Roman" w:cs="Times New Roman"/>
                <w:b/>
                <w:bCs/>
                <w:color w:val="000000"/>
                <w:szCs w:val="24"/>
              </w:rPr>
              <w:t>diff.</w:t>
            </w:r>
          </w:p>
        </w:tc>
        <w:tc>
          <w:tcPr>
            <w:tcW w:w="1793" w:type="dxa"/>
            <w:tcBorders>
              <w:top w:val="nil"/>
              <w:left w:val="nil"/>
              <w:bottom w:val="single" w:sz="4" w:space="0" w:color="auto"/>
              <w:right w:val="nil"/>
            </w:tcBorders>
            <w:shd w:val="clear" w:color="auto" w:fill="auto"/>
            <w:noWrap/>
            <w:vAlign w:val="bottom"/>
            <w:hideMark/>
          </w:tcPr>
          <w:p w14:paraId="6113CFE6" w14:textId="77777777" w:rsidR="00477C34" w:rsidRPr="00DC2B87" w:rsidRDefault="00477C34" w:rsidP="00F57DCD">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 </w:t>
            </w:r>
          </w:p>
        </w:tc>
      </w:tr>
      <w:tr w:rsidR="00EF0377" w:rsidRPr="00DC2B87" w14:paraId="7C03DA2C"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4A7C4AD2"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LossRatio</w:t>
            </w:r>
          </w:p>
        </w:tc>
        <w:tc>
          <w:tcPr>
            <w:tcW w:w="1548" w:type="dxa"/>
            <w:tcBorders>
              <w:top w:val="nil"/>
              <w:left w:val="nil"/>
              <w:bottom w:val="nil"/>
              <w:right w:val="nil"/>
            </w:tcBorders>
            <w:shd w:val="clear" w:color="auto" w:fill="auto"/>
            <w:noWrap/>
            <w:vAlign w:val="bottom"/>
            <w:hideMark/>
          </w:tcPr>
          <w:p w14:paraId="1D4F3541" w14:textId="6CA6E38A"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4.1674</w:t>
            </w:r>
          </w:p>
        </w:tc>
        <w:tc>
          <w:tcPr>
            <w:tcW w:w="2302" w:type="dxa"/>
            <w:tcBorders>
              <w:top w:val="nil"/>
              <w:left w:val="nil"/>
              <w:bottom w:val="nil"/>
              <w:right w:val="nil"/>
            </w:tcBorders>
            <w:shd w:val="clear" w:color="auto" w:fill="auto"/>
            <w:noWrap/>
            <w:vAlign w:val="bottom"/>
            <w:hideMark/>
          </w:tcPr>
          <w:p w14:paraId="02BAC5B9" w14:textId="55C3BD44"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4.1386</w:t>
            </w:r>
          </w:p>
        </w:tc>
        <w:tc>
          <w:tcPr>
            <w:tcW w:w="997" w:type="dxa"/>
            <w:tcBorders>
              <w:top w:val="nil"/>
              <w:left w:val="nil"/>
              <w:bottom w:val="nil"/>
              <w:right w:val="nil"/>
            </w:tcBorders>
            <w:shd w:val="clear" w:color="auto" w:fill="auto"/>
            <w:noWrap/>
            <w:vAlign w:val="bottom"/>
            <w:hideMark/>
          </w:tcPr>
          <w:p w14:paraId="52400C25" w14:textId="3D1D2BA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0.0288</w:t>
            </w:r>
          </w:p>
        </w:tc>
        <w:tc>
          <w:tcPr>
            <w:tcW w:w="1793" w:type="dxa"/>
            <w:tcBorders>
              <w:top w:val="nil"/>
              <w:left w:val="nil"/>
              <w:bottom w:val="nil"/>
              <w:right w:val="nil"/>
            </w:tcBorders>
            <w:shd w:val="clear" w:color="auto" w:fill="auto"/>
            <w:noWrap/>
            <w:vAlign w:val="bottom"/>
            <w:hideMark/>
          </w:tcPr>
          <w:p w14:paraId="7E1EBB49" w14:textId="4E7B79D5"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501EC028"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3AD5D786"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CombinedRatio</w:t>
            </w:r>
          </w:p>
        </w:tc>
        <w:tc>
          <w:tcPr>
            <w:tcW w:w="1548" w:type="dxa"/>
            <w:tcBorders>
              <w:top w:val="nil"/>
              <w:left w:val="nil"/>
              <w:bottom w:val="nil"/>
              <w:right w:val="nil"/>
            </w:tcBorders>
            <w:shd w:val="clear" w:color="auto" w:fill="auto"/>
            <w:noWrap/>
            <w:vAlign w:val="bottom"/>
            <w:hideMark/>
          </w:tcPr>
          <w:p w14:paraId="38BA0E2A" w14:textId="2D0BF175"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4.6258</w:t>
            </w:r>
          </w:p>
        </w:tc>
        <w:tc>
          <w:tcPr>
            <w:tcW w:w="2302" w:type="dxa"/>
            <w:tcBorders>
              <w:top w:val="nil"/>
              <w:left w:val="nil"/>
              <w:bottom w:val="nil"/>
              <w:right w:val="nil"/>
            </w:tcBorders>
            <w:shd w:val="clear" w:color="auto" w:fill="auto"/>
            <w:noWrap/>
            <w:vAlign w:val="bottom"/>
            <w:hideMark/>
          </w:tcPr>
          <w:p w14:paraId="54BE3CF8" w14:textId="75059FC2"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4.6072</w:t>
            </w:r>
          </w:p>
        </w:tc>
        <w:tc>
          <w:tcPr>
            <w:tcW w:w="997" w:type="dxa"/>
            <w:tcBorders>
              <w:top w:val="nil"/>
              <w:left w:val="nil"/>
              <w:bottom w:val="nil"/>
              <w:right w:val="nil"/>
            </w:tcBorders>
            <w:shd w:val="clear" w:color="auto" w:fill="auto"/>
            <w:noWrap/>
            <w:vAlign w:val="bottom"/>
            <w:hideMark/>
          </w:tcPr>
          <w:p w14:paraId="2135DC86" w14:textId="6235B6F4"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0.0186</w:t>
            </w:r>
          </w:p>
        </w:tc>
        <w:tc>
          <w:tcPr>
            <w:tcW w:w="1793" w:type="dxa"/>
            <w:tcBorders>
              <w:top w:val="nil"/>
              <w:left w:val="nil"/>
              <w:bottom w:val="nil"/>
              <w:right w:val="nil"/>
            </w:tcBorders>
            <w:shd w:val="clear" w:color="auto" w:fill="auto"/>
            <w:noWrap/>
            <w:vAlign w:val="bottom"/>
            <w:hideMark/>
          </w:tcPr>
          <w:p w14:paraId="2A59BFC5" w14:textId="636EF947"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7061FFC4"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46BEA555"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Size</w:t>
            </w:r>
          </w:p>
        </w:tc>
        <w:tc>
          <w:tcPr>
            <w:tcW w:w="1548" w:type="dxa"/>
            <w:tcBorders>
              <w:top w:val="nil"/>
              <w:left w:val="nil"/>
              <w:bottom w:val="nil"/>
              <w:right w:val="nil"/>
            </w:tcBorders>
            <w:shd w:val="clear" w:color="auto" w:fill="auto"/>
            <w:noWrap/>
            <w:vAlign w:val="bottom"/>
            <w:hideMark/>
          </w:tcPr>
          <w:p w14:paraId="1AD98FD0" w14:textId="7D1E1D21"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19.0770</w:t>
            </w:r>
          </w:p>
        </w:tc>
        <w:tc>
          <w:tcPr>
            <w:tcW w:w="2302" w:type="dxa"/>
            <w:tcBorders>
              <w:top w:val="nil"/>
              <w:left w:val="nil"/>
              <w:bottom w:val="nil"/>
              <w:right w:val="nil"/>
            </w:tcBorders>
            <w:shd w:val="clear" w:color="auto" w:fill="auto"/>
            <w:noWrap/>
            <w:vAlign w:val="bottom"/>
            <w:hideMark/>
          </w:tcPr>
          <w:p w14:paraId="276EE18D" w14:textId="3439E811"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18.9000</w:t>
            </w:r>
          </w:p>
        </w:tc>
        <w:tc>
          <w:tcPr>
            <w:tcW w:w="997" w:type="dxa"/>
            <w:tcBorders>
              <w:top w:val="nil"/>
              <w:left w:val="nil"/>
              <w:bottom w:val="nil"/>
              <w:right w:val="nil"/>
            </w:tcBorders>
            <w:shd w:val="clear" w:color="auto" w:fill="auto"/>
            <w:noWrap/>
            <w:vAlign w:val="bottom"/>
            <w:hideMark/>
          </w:tcPr>
          <w:p w14:paraId="63CFA088" w14:textId="12E1BD1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0.1770</w:t>
            </w:r>
          </w:p>
        </w:tc>
        <w:tc>
          <w:tcPr>
            <w:tcW w:w="1793" w:type="dxa"/>
            <w:tcBorders>
              <w:top w:val="nil"/>
              <w:left w:val="nil"/>
              <w:bottom w:val="nil"/>
              <w:right w:val="nil"/>
            </w:tcBorders>
            <w:shd w:val="clear" w:color="auto" w:fill="auto"/>
            <w:noWrap/>
            <w:vAlign w:val="bottom"/>
            <w:hideMark/>
          </w:tcPr>
          <w:p w14:paraId="2F4E7818" w14:textId="005577F8"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132728FD"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7A9DF43E" w14:textId="2BAD7A14"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Comm</w:t>
            </w:r>
            <w:r>
              <w:rPr>
                <w:rFonts w:eastAsia="Times New Roman" w:cs="Times New Roman"/>
                <w:bCs/>
                <w:color w:val="000000"/>
                <w:szCs w:val="24"/>
              </w:rPr>
              <w:t>ercial</w:t>
            </w:r>
          </w:p>
        </w:tc>
        <w:tc>
          <w:tcPr>
            <w:tcW w:w="1548" w:type="dxa"/>
            <w:tcBorders>
              <w:top w:val="nil"/>
              <w:left w:val="nil"/>
              <w:bottom w:val="nil"/>
              <w:right w:val="nil"/>
            </w:tcBorders>
            <w:shd w:val="clear" w:color="auto" w:fill="auto"/>
            <w:noWrap/>
            <w:vAlign w:val="bottom"/>
            <w:hideMark/>
          </w:tcPr>
          <w:p w14:paraId="18AFDA0C" w14:textId="06CCF8AF"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0.6161</w:t>
            </w:r>
          </w:p>
        </w:tc>
        <w:tc>
          <w:tcPr>
            <w:tcW w:w="2302" w:type="dxa"/>
            <w:tcBorders>
              <w:top w:val="nil"/>
              <w:left w:val="nil"/>
              <w:bottom w:val="nil"/>
              <w:right w:val="nil"/>
            </w:tcBorders>
            <w:shd w:val="clear" w:color="auto" w:fill="auto"/>
            <w:noWrap/>
            <w:vAlign w:val="bottom"/>
            <w:hideMark/>
          </w:tcPr>
          <w:p w14:paraId="2D4CCB03" w14:textId="7133D7B8"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0.5934</w:t>
            </w:r>
          </w:p>
        </w:tc>
        <w:tc>
          <w:tcPr>
            <w:tcW w:w="997" w:type="dxa"/>
            <w:tcBorders>
              <w:top w:val="nil"/>
              <w:left w:val="nil"/>
              <w:bottom w:val="nil"/>
              <w:right w:val="nil"/>
            </w:tcBorders>
            <w:shd w:val="clear" w:color="auto" w:fill="auto"/>
            <w:noWrap/>
            <w:vAlign w:val="bottom"/>
            <w:hideMark/>
          </w:tcPr>
          <w:p w14:paraId="761504F5" w14:textId="0E99E4D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0.0227</w:t>
            </w:r>
          </w:p>
        </w:tc>
        <w:tc>
          <w:tcPr>
            <w:tcW w:w="1793" w:type="dxa"/>
            <w:tcBorders>
              <w:top w:val="nil"/>
              <w:left w:val="nil"/>
              <w:bottom w:val="nil"/>
              <w:right w:val="nil"/>
            </w:tcBorders>
            <w:shd w:val="clear" w:color="auto" w:fill="auto"/>
            <w:noWrap/>
            <w:vAlign w:val="bottom"/>
            <w:hideMark/>
          </w:tcPr>
          <w:p w14:paraId="1F6C272A" w14:textId="3B4976A6"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0C6B5A10"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605C2443" w14:textId="6E29C1B3"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lev</w:t>
            </w:r>
            <w:r>
              <w:rPr>
                <w:rFonts w:eastAsia="Times New Roman" w:cs="Times New Roman"/>
                <w:bCs/>
                <w:color w:val="000000"/>
                <w:szCs w:val="24"/>
              </w:rPr>
              <w:t>erage</w:t>
            </w:r>
          </w:p>
        </w:tc>
        <w:tc>
          <w:tcPr>
            <w:tcW w:w="1548" w:type="dxa"/>
            <w:tcBorders>
              <w:top w:val="nil"/>
              <w:left w:val="nil"/>
              <w:bottom w:val="nil"/>
              <w:right w:val="nil"/>
            </w:tcBorders>
            <w:shd w:val="clear" w:color="auto" w:fill="auto"/>
            <w:noWrap/>
            <w:vAlign w:val="bottom"/>
            <w:hideMark/>
          </w:tcPr>
          <w:p w14:paraId="49E7FA94" w14:textId="62852840"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0.9493</w:t>
            </w:r>
          </w:p>
        </w:tc>
        <w:tc>
          <w:tcPr>
            <w:tcW w:w="2302" w:type="dxa"/>
            <w:tcBorders>
              <w:top w:val="nil"/>
              <w:left w:val="nil"/>
              <w:bottom w:val="nil"/>
              <w:right w:val="nil"/>
            </w:tcBorders>
            <w:shd w:val="clear" w:color="auto" w:fill="auto"/>
            <w:noWrap/>
            <w:vAlign w:val="bottom"/>
            <w:hideMark/>
          </w:tcPr>
          <w:p w14:paraId="6384CA3E" w14:textId="4D2ABE50"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1.0161</w:t>
            </w:r>
          </w:p>
        </w:tc>
        <w:tc>
          <w:tcPr>
            <w:tcW w:w="997" w:type="dxa"/>
            <w:tcBorders>
              <w:top w:val="nil"/>
              <w:left w:val="nil"/>
              <w:bottom w:val="nil"/>
              <w:right w:val="nil"/>
            </w:tcBorders>
            <w:shd w:val="clear" w:color="auto" w:fill="auto"/>
            <w:noWrap/>
            <w:vAlign w:val="bottom"/>
            <w:hideMark/>
          </w:tcPr>
          <w:p w14:paraId="784F9B7D" w14:textId="0B104D1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-0.0668</w:t>
            </w:r>
          </w:p>
        </w:tc>
        <w:tc>
          <w:tcPr>
            <w:tcW w:w="1793" w:type="dxa"/>
            <w:tcBorders>
              <w:top w:val="nil"/>
              <w:left w:val="nil"/>
              <w:bottom w:val="nil"/>
              <w:right w:val="nil"/>
            </w:tcBorders>
            <w:shd w:val="clear" w:color="auto" w:fill="auto"/>
            <w:noWrap/>
            <w:vAlign w:val="bottom"/>
            <w:hideMark/>
          </w:tcPr>
          <w:p w14:paraId="210D0AFD" w14:textId="77777777" w:rsidR="00EF0377" w:rsidRPr="00EF0377" w:rsidRDefault="00EF0377" w:rsidP="00EF0377">
            <w:pPr>
              <w:spacing w:line="240" w:lineRule="auto"/>
              <w:ind w:firstLine="0"/>
              <w:jc w:val="right"/>
              <w:rPr>
                <w:rFonts w:eastAsia="Times New Roman" w:cs="Times New Roman"/>
                <w:color w:val="000000"/>
                <w:szCs w:val="24"/>
              </w:rPr>
            </w:pPr>
          </w:p>
        </w:tc>
      </w:tr>
      <w:tr w:rsidR="00EF0377" w:rsidRPr="00DC2B87" w14:paraId="0116DFE8"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0D6ADC9A"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HHI_lines</w:t>
            </w:r>
          </w:p>
        </w:tc>
        <w:tc>
          <w:tcPr>
            <w:tcW w:w="1548" w:type="dxa"/>
            <w:tcBorders>
              <w:top w:val="nil"/>
              <w:left w:val="nil"/>
              <w:bottom w:val="nil"/>
              <w:right w:val="nil"/>
            </w:tcBorders>
            <w:shd w:val="clear" w:color="auto" w:fill="auto"/>
            <w:noWrap/>
            <w:vAlign w:val="bottom"/>
            <w:hideMark/>
          </w:tcPr>
          <w:p w14:paraId="579DA9AE" w14:textId="1DB2DA91"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0.4423</w:t>
            </w:r>
          </w:p>
        </w:tc>
        <w:tc>
          <w:tcPr>
            <w:tcW w:w="2302" w:type="dxa"/>
            <w:tcBorders>
              <w:top w:val="nil"/>
              <w:left w:val="nil"/>
              <w:bottom w:val="nil"/>
              <w:right w:val="nil"/>
            </w:tcBorders>
            <w:shd w:val="clear" w:color="auto" w:fill="auto"/>
            <w:noWrap/>
            <w:vAlign w:val="bottom"/>
            <w:hideMark/>
          </w:tcPr>
          <w:p w14:paraId="568358B8" w14:textId="161100CA"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0.4212</w:t>
            </w:r>
          </w:p>
        </w:tc>
        <w:tc>
          <w:tcPr>
            <w:tcW w:w="997" w:type="dxa"/>
            <w:tcBorders>
              <w:top w:val="nil"/>
              <w:left w:val="nil"/>
              <w:bottom w:val="nil"/>
              <w:right w:val="nil"/>
            </w:tcBorders>
            <w:shd w:val="clear" w:color="auto" w:fill="auto"/>
            <w:noWrap/>
            <w:vAlign w:val="bottom"/>
            <w:hideMark/>
          </w:tcPr>
          <w:p w14:paraId="07EF62E3" w14:textId="3DA4C28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0.0211</w:t>
            </w:r>
          </w:p>
        </w:tc>
        <w:tc>
          <w:tcPr>
            <w:tcW w:w="1793" w:type="dxa"/>
            <w:tcBorders>
              <w:top w:val="nil"/>
              <w:left w:val="nil"/>
              <w:bottom w:val="nil"/>
              <w:right w:val="nil"/>
            </w:tcBorders>
            <w:shd w:val="clear" w:color="auto" w:fill="auto"/>
            <w:noWrap/>
            <w:vAlign w:val="bottom"/>
            <w:hideMark/>
          </w:tcPr>
          <w:p w14:paraId="05B1625B" w14:textId="5030288F"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4A4A225C"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65986626"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HHI_states</w:t>
            </w:r>
          </w:p>
        </w:tc>
        <w:tc>
          <w:tcPr>
            <w:tcW w:w="1548" w:type="dxa"/>
            <w:tcBorders>
              <w:top w:val="nil"/>
              <w:left w:val="nil"/>
              <w:bottom w:val="nil"/>
              <w:right w:val="nil"/>
            </w:tcBorders>
            <w:shd w:val="clear" w:color="auto" w:fill="auto"/>
            <w:noWrap/>
            <w:vAlign w:val="bottom"/>
            <w:hideMark/>
          </w:tcPr>
          <w:p w14:paraId="2293B9B7" w14:textId="6BF5A238"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0.4811</w:t>
            </w:r>
          </w:p>
        </w:tc>
        <w:tc>
          <w:tcPr>
            <w:tcW w:w="2302" w:type="dxa"/>
            <w:tcBorders>
              <w:top w:val="nil"/>
              <w:left w:val="nil"/>
              <w:bottom w:val="nil"/>
              <w:right w:val="nil"/>
            </w:tcBorders>
            <w:shd w:val="clear" w:color="auto" w:fill="auto"/>
            <w:noWrap/>
            <w:vAlign w:val="bottom"/>
            <w:hideMark/>
          </w:tcPr>
          <w:p w14:paraId="184874BB" w14:textId="18A59913"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0.5278</w:t>
            </w:r>
          </w:p>
        </w:tc>
        <w:tc>
          <w:tcPr>
            <w:tcW w:w="997" w:type="dxa"/>
            <w:tcBorders>
              <w:top w:val="nil"/>
              <w:left w:val="nil"/>
              <w:bottom w:val="nil"/>
              <w:right w:val="nil"/>
            </w:tcBorders>
            <w:shd w:val="clear" w:color="auto" w:fill="auto"/>
            <w:noWrap/>
            <w:vAlign w:val="bottom"/>
            <w:hideMark/>
          </w:tcPr>
          <w:p w14:paraId="2EB2D5D8" w14:textId="049F9417"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-0.0467</w:t>
            </w:r>
          </w:p>
        </w:tc>
        <w:tc>
          <w:tcPr>
            <w:tcW w:w="1793" w:type="dxa"/>
            <w:tcBorders>
              <w:top w:val="nil"/>
              <w:left w:val="nil"/>
              <w:bottom w:val="nil"/>
              <w:right w:val="nil"/>
            </w:tcBorders>
            <w:shd w:val="clear" w:color="auto" w:fill="auto"/>
            <w:noWrap/>
            <w:vAlign w:val="bottom"/>
            <w:hideMark/>
          </w:tcPr>
          <w:p w14:paraId="1DC283E1" w14:textId="346D72A9"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4B32F1E1"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1914F22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Group</w:t>
            </w:r>
          </w:p>
        </w:tc>
        <w:tc>
          <w:tcPr>
            <w:tcW w:w="1548" w:type="dxa"/>
            <w:tcBorders>
              <w:top w:val="nil"/>
              <w:left w:val="nil"/>
              <w:bottom w:val="nil"/>
              <w:right w:val="nil"/>
            </w:tcBorders>
            <w:shd w:val="clear" w:color="auto" w:fill="auto"/>
            <w:noWrap/>
            <w:vAlign w:val="bottom"/>
            <w:hideMark/>
          </w:tcPr>
          <w:p w14:paraId="539B5827" w14:textId="28EB5CC3"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0.7922</w:t>
            </w:r>
          </w:p>
        </w:tc>
        <w:tc>
          <w:tcPr>
            <w:tcW w:w="2302" w:type="dxa"/>
            <w:tcBorders>
              <w:top w:val="nil"/>
              <w:left w:val="nil"/>
              <w:bottom w:val="nil"/>
              <w:right w:val="nil"/>
            </w:tcBorders>
            <w:shd w:val="clear" w:color="auto" w:fill="auto"/>
            <w:noWrap/>
            <w:vAlign w:val="bottom"/>
            <w:hideMark/>
          </w:tcPr>
          <w:p w14:paraId="0991A5AA" w14:textId="3D884544"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0.7851</w:t>
            </w:r>
          </w:p>
        </w:tc>
        <w:tc>
          <w:tcPr>
            <w:tcW w:w="997" w:type="dxa"/>
            <w:tcBorders>
              <w:top w:val="nil"/>
              <w:left w:val="nil"/>
              <w:bottom w:val="nil"/>
              <w:right w:val="nil"/>
            </w:tcBorders>
            <w:shd w:val="clear" w:color="auto" w:fill="auto"/>
            <w:noWrap/>
            <w:vAlign w:val="bottom"/>
            <w:hideMark/>
          </w:tcPr>
          <w:p w14:paraId="338D27E6" w14:textId="435BBBA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0.0071</w:t>
            </w:r>
          </w:p>
        </w:tc>
        <w:tc>
          <w:tcPr>
            <w:tcW w:w="1793" w:type="dxa"/>
            <w:tcBorders>
              <w:top w:val="nil"/>
              <w:left w:val="nil"/>
              <w:bottom w:val="nil"/>
              <w:right w:val="nil"/>
            </w:tcBorders>
            <w:shd w:val="clear" w:color="auto" w:fill="auto"/>
            <w:noWrap/>
            <w:vAlign w:val="bottom"/>
            <w:hideMark/>
          </w:tcPr>
          <w:p w14:paraId="494084C9" w14:textId="77777777" w:rsidR="00EF0377" w:rsidRPr="00EF0377" w:rsidRDefault="00EF0377" w:rsidP="00EF0377">
            <w:pPr>
              <w:spacing w:line="240" w:lineRule="auto"/>
              <w:ind w:firstLine="0"/>
              <w:jc w:val="right"/>
              <w:rPr>
                <w:rFonts w:eastAsia="Times New Roman" w:cs="Times New Roman"/>
                <w:color w:val="000000"/>
                <w:szCs w:val="24"/>
              </w:rPr>
            </w:pPr>
          </w:p>
        </w:tc>
      </w:tr>
      <w:tr w:rsidR="00EF0377" w:rsidRPr="00DC2B87" w14:paraId="78FEF3D1"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7C761CE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Stock</w:t>
            </w:r>
          </w:p>
        </w:tc>
        <w:tc>
          <w:tcPr>
            <w:tcW w:w="1548" w:type="dxa"/>
            <w:tcBorders>
              <w:top w:val="nil"/>
              <w:left w:val="nil"/>
              <w:bottom w:val="nil"/>
              <w:right w:val="nil"/>
            </w:tcBorders>
            <w:shd w:val="clear" w:color="auto" w:fill="auto"/>
            <w:noWrap/>
            <w:vAlign w:val="bottom"/>
            <w:hideMark/>
          </w:tcPr>
          <w:p w14:paraId="5A40A848" w14:textId="1D89B32E"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0.7776</w:t>
            </w:r>
          </w:p>
        </w:tc>
        <w:tc>
          <w:tcPr>
            <w:tcW w:w="2302" w:type="dxa"/>
            <w:tcBorders>
              <w:top w:val="nil"/>
              <w:left w:val="nil"/>
              <w:bottom w:val="nil"/>
              <w:right w:val="nil"/>
            </w:tcBorders>
            <w:shd w:val="clear" w:color="auto" w:fill="auto"/>
            <w:noWrap/>
            <w:vAlign w:val="bottom"/>
            <w:hideMark/>
          </w:tcPr>
          <w:p w14:paraId="7D84B97B" w14:textId="424E775E"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0.7657</w:t>
            </w:r>
          </w:p>
        </w:tc>
        <w:tc>
          <w:tcPr>
            <w:tcW w:w="997" w:type="dxa"/>
            <w:tcBorders>
              <w:top w:val="nil"/>
              <w:left w:val="nil"/>
              <w:bottom w:val="nil"/>
              <w:right w:val="nil"/>
            </w:tcBorders>
            <w:shd w:val="clear" w:color="auto" w:fill="auto"/>
            <w:noWrap/>
            <w:vAlign w:val="bottom"/>
            <w:hideMark/>
          </w:tcPr>
          <w:p w14:paraId="67CC9007" w14:textId="38708EA7"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0.0119</w:t>
            </w:r>
          </w:p>
        </w:tc>
        <w:tc>
          <w:tcPr>
            <w:tcW w:w="1793" w:type="dxa"/>
            <w:tcBorders>
              <w:top w:val="nil"/>
              <w:left w:val="nil"/>
              <w:bottom w:val="nil"/>
              <w:right w:val="nil"/>
            </w:tcBorders>
            <w:shd w:val="clear" w:color="auto" w:fill="auto"/>
            <w:noWrap/>
            <w:vAlign w:val="bottom"/>
            <w:hideMark/>
          </w:tcPr>
          <w:p w14:paraId="2DBE4F8F" w14:textId="77777777" w:rsidR="00EF0377" w:rsidRPr="00EF0377" w:rsidRDefault="00EF0377" w:rsidP="00EF0377">
            <w:pPr>
              <w:spacing w:line="240" w:lineRule="auto"/>
              <w:ind w:firstLine="0"/>
              <w:jc w:val="right"/>
              <w:rPr>
                <w:rFonts w:eastAsia="Times New Roman" w:cs="Times New Roman"/>
                <w:color w:val="000000"/>
                <w:szCs w:val="24"/>
              </w:rPr>
            </w:pPr>
          </w:p>
        </w:tc>
      </w:tr>
      <w:tr w:rsidR="00EF0377" w:rsidRPr="00DC2B87" w14:paraId="3B86AEFA"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67DC9514" w14:textId="17246FC9"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Independen</w:t>
            </w:r>
            <w:r>
              <w:rPr>
                <w:rFonts w:eastAsia="Times New Roman" w:cs="Times New Roman"/>
                <w:bCs/>
                <w:color w:val="000000"/>
                <w:szCs w:val="24"/>
              </w:rPr>
              <w:t>t</w:t>
            </w:r>
            <w:r w:rsidRPr="00940704">
              <w:rPr>
                <w:rFonts w:eastAsia="Times New Roman" w:cs="Times New Roman"/>
                <w:bCs/>
                <w:color w:val="000000"/>
                <w:szCs w:val="24"/>
              </w:rPr>
              <w:t>Agency</w:t>
            </w:r>
          </w:p>
        </w:tc>
        <w:tc>
          <w:tcPr>
            <w:tcW w:w="1548" w:type="dxa"/>
            <w:tcBorders>
              <w:top w:val="nil"/>
              <w:left w:val="nil"/>
              <w:bottom w:val="nil"/>
              <w:right w:val="nil"/>
            </w:tcBorders>
            <w:shd w:val="clear" w:color="auto" w:fill="auto"/>
            <w:noWrap/>
            <w:vAlign w:val="bottom"/>
            <w:hideMark/>
          </w:tcPr>
          <w:p w14:paraId="14501FB9" w14:textId="734F5FC6"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0.6043</w:t>
            </w:r>
          </w:p>
        </w:tc>
        <w:tc>
          <w:tcPr>
            <w:tcW w:w="2302" w:type="dxa"/>
            <w:tcBorders>
              <w:top w:val="nil"/>
              <w:left w:val="nil"/>
              <w:bottom w:val="nil"/>
              <w:right w:val="nil"/>
            </w:tcBorders>
            <w:shd w:val="clear" w:color="auto" w:fill="auto"/>
            <w:noWrap/>
            <w:vAlign w:val="bottom"/>
            <w:hideMark/>
          </w:tcPr>
          <w:p w14:paraId="60DDAE8F" w14:textId="511F0DA7"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0.6204</w:t>
            </w:r>
          </w:p>
        </w:tc>
        <w:tc>
          <w:tcPr>
            <w:tcW w:w="997" w:type="dxa"/>
            <w:tcBorders>
              <w:top w:val="nil"/>
              <w:left w:val="nil"/>
              <w:bottom w:val="nil"/>
              <w:right w:val="nil"/>
            </w:tcBorders>
            <w:shd w:val="clear" w:color="auto" w:fill="auto"/>
            <w:noWrap/>
            <w:vAlign w:val="bottom"/>
            <w:hideMark/>
          </w:tcPr>
          <w:p w14:paraId="337E8030" w14:textId="67A7073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-0.0161</w:t>
            </w:r>
          </w:p>
        </w:tc>
        <w:tc>
          <w:tcPr>
            <w:tcW w:w="1793" w:type="dxa"/>
            <w:tcBorders>
              <w:top w:val="nil"/>
              <w:left w:val="nil"/>
              <w:bottom w:val="nil"/>
              <w:right w:val="nil"/>
            </w:tcBorders>
            <w:shd w:val="clear" w:color="auto" w:fill="auto"/>
            <w:noWrap/>
            <w:vAlign w:val="bottom"/>
            <w:hideMark/>
          </w:tcPr>
          <w:p w14:paraId="17087BEB" w14:textId="0DCC186E" w:rsidR="00EF0377" w:rsidRPr="00EF0377" w:rsidRDefault="00EF0377" w:rsidP="00EF0377">
            <w:pPr>
              <w:spacing w:line="240" w:lineRule="auto"/>
              <w:ind w:firstLine="0"/>
              <w:jc w:val="left"/>
              <w:rPr>
                <w:rFonts w:eastAsia="Times New Roman" w:cs="Times New Roman"/>
                <w:color w:val="000000"/>
                <w:szCs w:val="24"/>
              </w:rPr>
            </w:pPr>
          </w:p>
        </w:tc>
      </w:tr>
      <w:tr w:rsidR="00EF0377" w:rsidRPr="00DC2B87" w14:paraId="241DDDC7"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38F38709"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Public</w:t>
            </w:r>
          </w:p>
        </w:tc>
        <w:tc>
          <w:tcPr>
            <w:tcW w:w="1548" w:type="dxa"/>
            <w:tcBorders>
              <w:top w:val="nil"/>
              <w:left w:val="nil"/>
              <w:bottom w:val="nil"/>
              <w:right w:val="nil"/>
            </w:tcBorders>
            <w:shd w:val="clear" w:color="auto" w:fill="auto"/>
            <w:noWrap/>
            <w:vAlign w:val="bottom"/>
            <w:hideMark/>
          </w:tcPr>
          <w:p w14:paraId="7190326B" w14:textId="365D71B4"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0.0046</w:t>
            </w:r>
          </w:p>
        </w:tc>
        <w:tc>
          <w:tcPr>
            <w:tcW w:w="2302" w:type="dxa"/>
            <w:tcBorders>
              <w:top w:val="nil"/>
              <w:left w:val="nil"/>
              <w:bottom w:val="nil"/>
              <w:right w:val="nil"/>
            </w:tcBorders>
            <w:shd w:val="clear" w:color="auto" w:fill="auto"/>
            <w:noWrap/>
            <w:vAlign w:val="bottom"/>
            <w:hideMark/>
          </w:tcPr>
          <w:p w14:paraId="43EB1E05" w14:textId="5AB5DF9B"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0.0047</w:t>
            </w:r>
          </w:p>
        </w:tc>
        <w:tc>
          <w:tcPr>
            <w:tcW w:w="997" w:type="dxa"/>
            <w:tcBorders>
              <w:top w:val="nil"/>
              <w:left w:val="nil"/>
              <w:bottom w:val="nil"/>
              <w:right w:val="nil"/>
            </w:tcBorders>
            <w:shd w:val="clear" w:color="auto" w:fill="auto"/>
            <w:noWrap/>
            <w:vAlign w:val="bottom"/>
            <w:hideMark/>
          </w:tcPr>
          <w:p w14:paraId="2DEB7611" w14:textId="357D317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-0.0001</w:t>
            </w:r>
          </w:p>
        </w:tc>
        <w:tc>
          <w:tcPr>
            <w:tcW w:w="1793" w:type="dxa"/>
            <w:tcBorders>
              <w:top w:val="nil"/>
              <w:left w:val="nil"/>
              <w:bottom w:val="nil"/>
              <w:right w:val="nil"/>
            </w:tcBorders>
            <w:shd w:val="clear" w:color="auto" w:fill="auto"/>
            <w:noWrap/>
            <w:vAlign w:val="bottom"/>
            <w:hideMark/>
          </w:tcPr>
          <w:p w14:paraId="3D1D3242" w14:textId="77777777" w:rsidR="00EF0377" w:rsidRPr="00EF0377" w:rsidRDefault="00EF0377" w:rsidP="00EF0377">
            <w:pPr>
              <w:spacing w:line="240" w:lineRule="auto"/>
              <w:ind w:firstLine="0"/>
              <w:jc w:val="right"/>
              <w:rPr>
                <w:rFonts w:eastAsia="Times New Roman" w:cs="Times New Roman"/>
                <w:color w:val="000000"/>
                <w:szCs w:val="24"/>
              </w:rPr>
            </w:pPr>
          </w:p>
        </w:tc>
      </w:tr>
      <w:tr w:rsidR="00EF0377" w:rsidRPr="00DC2B87" w14:paraId="0DD0E6F6"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28D1DFEE" w14:textId="182F124E"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Rein</w:t>
            </w:r>
            <w:r>
              <w:rPr>
                <w:rFonts w:eastAsia="Times New Roman" w:cs="Times New Roman"/>
                <w:bCs/>
                <w:color w:val="000000"/>
                <w:szCs w:val="24"/>
              </w:rPr>
              <w:t>surance</w:t>
            </w:r>
          </w:p>
        </w:tc>
        <w:tc>
          <w:tcPr>
            <w:tcW w:w="1548" w:type="dxa"/>
            <w:tcBorders>
              <w:top w:val="nil"/>
              <w:left w:val="nil"/>
              <w:bottom w:val="nil"/>
              <w:right w:val="nil"/>
            </w:tcBorders>
            <w:shd w:val="clear" w:color="auto" w:fill="auto"/>
            <w:noWrap/>
            <w:vAlign w:val="bottom"/>
            <w:hideMark/>
          </w:tcPr>
          <w:p w14:paraId="16886FA0" w14:textId="07E265E9"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0.6581</w:t>
            </w:r>
          </w:p>
        </w:tc>
        <w:tc>
          <w:tcPr>
            <w:tcW w:w="2302" w:type="dxa"/>
            <w:tcBorders>
              <w:top w:val="nil"/>
              <w:left w:val="nil"/>
              <w:bottom w:val="nil"/>
              <w:right w:val="nil"/>
            </w:tcBorders>
            <w:shd w:val="clear" w:color="auto" w:fill="auto"/>
            <w:noWrap/>
            <w:vAlign w:val="bottom"/>
            <w:hideMark/>
          </w:tcPr>
          <w:p w14:paraId="0B2F0F84" w14:textId="3B583EA0"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0.8342</w:t>
            </w:r>
          </w:p>
        </w:tc>
        <w:tc>
          <w:tcPr>
            <w:tcW w:w="997" w:type="dxa"/>
            <w:tcBorders>
              <w:top w:val="nil"/>
              <w:left w:val="nil"/>
              <w:bottom w:val="nil"/>
              <w:right w:val="nil"/>
            </w:tcBorders>
            <w:shd w:val="clear" w:color="auto" w:fill="auto"/>
            <w:noWrap/>
            <w:vAlign w:val="bottom"/>
            <w:hideMark/>
          </w:tcPr>
          <w:p w14:paraId="2772EBE2" w14:textId="6FF5DEC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-0.1761</w:t>
            </w:r>
          </w:p>
        </w:tc>
        <w:tc>
          <w:tcPr>
            <w:tcW w:w="1793" w:type="dxa"/>
            <w:tcBorders>
              <w:top w:val="nil"/>
              <w:left w:val="nil"/>
              <w:bottom w:val="nil"/>
              <w:right w:val="nil"/>
            </w:tcBorders>
            <w:shd w:val="clear" w:color="auto" w:fill="auto"/>
            <w:noWrap/>
            <w:vAlign w:val="bottom"/>
            <w:hideMark/>
          </w:tcPr>
          <w:p w14:paraId="7ED00807" w14:textId="48E427BF" w:rsidR="00EF0377" w:rsidRPr="00EF0377" w:rsidRDefault="00EF0377" w:rsidP="00EF0377">
            <w:pPr>
              <w:spacing w:line="240" w:lineRule="auto"/>
              <w:ind w:firstLine="0"/>
              <w:jc w:val="left"/>
              <w:rPr>
                <w:rFonts w:eastAsia="Times New Roman" w:cs="Times New Roman"/>
                <w:color w:val="000000"/>
                <w:szCs w:val="24"/>
              </w:rPr>
            </w:pPr>
            <w:r w:rsidRPr="00EF0377">
              <w:rPr>
                <w:rFonts w:cs="Times New Roman"/>
                <w:bCs/>
                <w:color w:val="000000"/>
                <w:szCs w:val="24"/>
              </w:rPr>
              <w:t>***</w:t>
            </w:r>
          </w:p>
        </w:tc>
      </w:tr>
      <w:tr w:rsidR="00EF0377" w:rsidRPr="00DC2B87" w14:paraId="78CD4562" w14:textId="77777777" w:rsidTr="00EF0377">
        <w:trPr>
          <w:trHeight w:val="310"/>
          <w:jc w:val="center"/>
        </w:trPr>
        <w:tc>
          <w:tcPr>
            <w:tcW w:w="2149" w:type="dxa"/>
            <w:tcBorders>
              <w:top w:val="nil"/>
              <w:left w:val="nil"/>
              <w:bottom w:val="nil"/>
              <w:right w:val="nil"/>
            </w:tcBorders>
            <w:shd w:val="clear" w:color="auto" w:fill="auto"/>
            <w:noWrap/>
            <w:vAlign w:val="bottom"/>
            <w:hideMark/>
          </w:tcPr>
          <w:p w14:paraId="22392CEE"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Advertising</w:t>
            </w:r>
          </w:p>
        </w:tc>
        <w:tc>
          <w:tcPr>
            <w:tcW w:w="1548" w:type="dxa"/>
            <w:tcBorders>
              <w:top w:val="nil"/>
              <w:left w:val="nil"/>
              <w:bottom w:val="nil"/>
              <w:right w:val="nil"/>
            </w:tcBorders>
            <w:shd w:val="clear" w:color="auto" w:fill="auto"/>
            <w:noWrap/>
            <w:vAlign w:val="bottom"/>
            <w:hideMark/>
          </w:tcPr>
          <w:p w14:paraId="067D7DD5" w14:textId="69379224"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0.0075</w:t>
            </w:r>
          </w:p>
        </w:tc>
        <w:tc>
          <w:tcPr>
            <w:tcW w:w="2302" w:type="dxa"/>
            <w:tcBorders>
              <w:top w:val="nil"/>
              <w:left w:val="nil"/>
              <w:bottom w:val="nil"/>
              <w:right w:val="nil"/>
            </w:tcBorders>
            <w:shd w:val="clear" w:color="auto" w:fill="auto"/>
            <w:noWrap/>
            <w:vAlign w:val="bottom"/>
            <w:hideMark/>
          </w:tcPr>
          <w:p w14:paraId="1750FFEA" w14:textId="3AD449FD"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0.0069</w:t>
            </w:r>
          </w:p>
        </w:tc>
        <w:tc>
          <w:tcPr>
            <w:tcW w:w="997" w:type="dxa"/>
            <w:tcBorders>
              <w:top w:val="nil"/>
              <w:left w:val="nil"/>
              <w:bottom w:val="nil"/>
              <w:right w:val="nil"/>
            </w:tcBorders>
            <w:shd w:val="clear" w:color="auto" w:fill="auto"/>
            <w:noWrap/>
            <w:vAlign w:val="bottom"/>
            <w:hideMark/>
          </w:tcPr>
          <w:p w14:paraId="19767BF1" w14:textId="6483DD6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0.0006</w:t>
            </w:r>
          </w:p>
        </w:tc>
        <w:tc>
          <w:tcPr>
            <w:tcW w:w="1793" w:type="dxa"/>
            <w:tcBorders>
              <w:top w:val="nil"/>
              <w:left w:val="nil"/>
              <w:bottom w:val="nil"/>
              <w:right w:val="nil"/>
            </w:tcBorders>
            <w:shd w:val="clear" w:color="auto" w:fill="auto"/>
            <w:noWrap/>
            <w:vAlign w:val="bottom"/>
            <w:hideMark/>
          </w:tcPr>
          <w:p w14:paraId="717D8E69" w14:textId="77777777" w:rsidR="00EF0377" w:rsidRPr="00EF0377" w:rsidRDefault="00EF0377" w:rsidP="00EF0377">
            <w:pPr>
              <w:spacing w:line="240" w:lineRule="auto"/>
              <w:ind w:firstLine="0"/>
              <w:jc w:val="right"/>
              <w:rPr>
                <w:rFonts w:eastAsia="Times New Roman" w:cs="Times New Roman"/>
                <w:color w:val="000000"/>
                <w:szCs w:val="24"/>
              </w:rPr>
            </w:pPr>
          </w:p>
        </w:tc>
      </w:tr>
      <w:tr w:rsidR="00EF0377" w:rsidRPr="00DC2B87" w14:paraId="5AFF9F7D" w14:textId="77777777" w:rsidTr="00EF0377">
        <w:trPr>
          <w:trHeight w:val="310"/>
          <w:jc w:val="center"/>
        </w:trPr>
        <w:tc>
          <w:tcPr>
            <w:tcW w:w="2149" w:type="dxa"/>
            <w:tcBorders>
              <w:top w:val="nil"/>
              <w:left w:val="nil"/>
              <w:bottom w:val="single" w:sz="4" w:space="0" w:color="auto"/>
              <w:right w:val="nil"/>
            </w:tcBorders>
            <w:shd w:val="clear" w:color="auto" w:fill="auto"/>
            <w:noWrap/>
            <w:vAlign w:val="bottom"/>
            <w:hideMark/>
          </w:tcPr>
          <w:p w14:paraId="75EBA886"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Surveys&amp;Audits</w:t>
            </w:r>
          </w:p>
        </w:tc>
        <w:tc>
          <w:tcPr>
            <w:tcW w:w="1548" w:type="dxa"/>
            <w:tcBorders>
              <w:top w:val="nil"/>
              <w:left w:val="nil"/>
              <w:bottom w:val="single" w:sz="4" w:space="0" w:color="auto"/>
              <w:right w:val="nil"/>
            </w:tcBorders>
            <w:shd w:val="clear" w:color="auto" w:fill="auto"/>
            <w:noWrap/>
            <w:vAlign w:val="bottom"/>
            <w:hideMark/>
          </w:tcPr>
          <w:p w14:paraId="6CAD1A7B" w14:textId="71E4B80C"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0.0082</w:t>
            </w:r>
          </w:p>
        </w:tc>
        <w:tc>
          <w:tcPr>
            <w:tcW w:w="2302" w:type="dxa"/>
            <w:tcBorders>
              <w:top w:val="nil"/>
              <w:left w:val="nil"/>
              <w:bottom w:val="single" w:sz="4" w:space="0" w:color="auto"/>
              <w:right w:val="nil"/>
            </w:tcBorders>
            <w:shd w:val="clear" w:color="auto" w:fill="auto"/>
            <w:noWrap/>
            <w:vAlign w:val="bottom"/>
            <w:hideMark/>
          </w:tcPr>
          <w:p w14:paraId="47DDDFFD" w14:textId="30934CF1" w:rsidR="00EF0377" w:rsidRPr="00EF0377" w:rsidRDefault="00EF0377" w:rsidP="00EF0377">
            <w:pPr>
              <w:spacing w:line="240" w:lineRule="auto"/>
              <w:ind w:firstLine="0"/>
              <w:jc w:val="center"/>
              <w:rPr>
                <w:rFonts w:eastAsia="Times New Roman" w:cs="Times New Roman"/>
                <w:color w:val="000000"/>
                <w:szCs w:val="24"/>
              </w:rPr>
            </w:pPr>
            <w:r w:rsidRPr="00EF0377">
              <w:rPr>
                <w:rFonts w:cs="Times New Roman"/>
                <w:bCs/>
                <w:color w:val="000000"/>
                <w:szCs w:val="24"/>
              </w:rPr>
              <w:t>0.0093</w:t>
            </w:r>
          </w:p>
        </w:tc>
        <w:tc>
          <w:tcPr>
            <w:tcW w:w="997" w:type="dxa"/>
            <w:tcBorders>
              <w:top w:val="nil"/>
              <w:left w:val="nil"/>
              <w:bottom w:val="single" w:sz="4" w:space="0" w:color="auto"/>
              <w:right w:val="nil"/>
            </w:tcBorders>
            <w:shd w:val="clear" w:color="auto" w:fill="auto"/>
            <w:noWrap/>
            <w:vAlign w:val="bottom"/>
            <w:hideMark/>
          </w:tcPr>
          <w:p w14:paraId="25E6B7C4" w14:textId="567D7E9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-0.0010</w:t>
            </w:r>
          </w:p>
        </w:tc>
        <w:tc>
          <w:tcPr>
            <w:tcW w:w="1793" w:type="dxa"/>
            <w:tcBorders>
              <w:top w:val="nil"/>
              <w:left w:val="nil"/>
              <w:bottom w:val="single" w:sz="4" w:space="0" w:color="auto"/>
              <w:right w:val="nil"/>
            </w:tcBorders>
            <w:shd w:val="clear" w:color="auto" w:fill="auto"/>
            <w:noWrap/>
            <w:vAlign w:val="bottom"/>
            <w:hideMark/>
          </w:tcPr>
          <w:p w14:paraId="1F249F4A" w14:textId="276D7E7B" w:rsidR="00EF0377" w:rsidRPr="00EF0377" w:rsidRDefault="00EF0377" w:rsidP="00EF0377">
            <w:pPr>
              <w:spacing w:line="240" w:lineRule="auto"/>
              <w:ind w:firstLine="0"/>
              <w:jc w:val="left"/>
              <w:rPr>
                <w:rFonts w:eastAsia="Times New Roman" w:cs="Times New Roman"/>
                <w:color w:val="000000"/>
                <w:szCs w:val="24"/>
              </w:rPr>
            </w:pPr>
          </w:p>
        </w:tc>
      </w:tr>
    </w:tbl>
    <w:p w14:paraId="0B457587" w14:textId="77777777" w:rsidR="00326E5D" w:rsidRPr="00940704" w:rsidRDefault="00326E5D" w:rsidP="004773D8">
      <w:pPr>
        <w:spacing w:line="240" w:lineRule="auto"/>
        <w:ind w:firstLine="0"/>
        <w:rPr>
          <w:rFonts w:cs="Times New Roman"/>
          <w:sz w:val="20"/>
          <w:szCs w:val="24"/>
        </w:rPr>
      </w:pPr>
      <w:r w:rsidRPr="00940704">
        <w:rPr>
          <w:rFonts w:cs="Times New Roman"/>
          <w:sz w:val="20"/>
          <w:szCs w:val="24"/>
        </w:rPr>
        <w:t>*Note: Statistical significance at the 1, 5, and 10 percent levels are denoted by ***, **, and * respectively.</w:t>
      </w:r>
    </w:p>
    <w:p w14:paraId="2C311F75" w14:textId="0381345E" w:rsidR="00940704" w:rsidRPr="00940704" w:rsidRDefault="00326E5D" w:rsidP="00940704">
      <w:pPr>
        <w:spacing w:line="240" w:lineRule="auto"/>
        <w:ind w:firstLine="0"/>
        <w:rPr>
          <w:rFonts w:cs="Times New Roman"/>
          <w:sz w:val="20"/>
        </w:rPr>
        <w:sectPr w:rsidR="00940704" w:rsidRPr="00940704" w:rsidSect="00F57DCD">
          <w:footerReference w:type="default" r:id="rId10"/>
          <w:pgSz w:w="12240" w:h="15840" w:code="1"/>
          <w:pgMar w:top="1440" w:right="1440" w:bottom="1080" w:left="1440" w:header="720" w:footer="432" w:gutter="0"/>
          <w:pgNumType w:start="1"/>
          <w:cols w:space="720"/>
          <w:docGrid w:linePitch="360"/>
        </w:sectPr>
      </w:pPr>
      <w:r w:rsidRPr="00940704">
        <w:rPr>
          <w:rFonts w:cs="Times New Roman"/>
          <w:sz w:val="20"/>
          <w:szCs w:val="24"/>
        </w:rPr>
        <w:t xml:space="preserve">* UseCont equals 1 if an insurer pays any contingent commissions, and 0 otherwise; </w:t>
      </w:r>
      <w:r w:rsidRPr="00940704">
        <w:rPr>
          <w:rFonts w:cs="Times New Roman"/>
          <w:sz w:val="20"/>
        </w:rPr>
        <w:t>Firm size is measured as natural logarithm of total admitted assets; Commercial lines of business is measured by proportion of net premiums written in</w:t>
      </w:r>
      <w:r w:rsidR="00940704" w:rsidRPr="00940704">
        <w:rPr>
          <w:rFonts w:cs="Times New Roman"/>
          <w:sz w:val="20"/>
        </w:rPr>
        <w:t xml:space="preserve"> commercial lines of business; </w:t>
      </w:r>
      <w:r w:rsidRPr="00940704">
        <w:rPr>
          <w:sz w:val="20"/>
        </w:rPr>
        <w:t xml:space="preserve">Leverage is measured as ratio of liabilities to surplus; </w:t>
      </w:r>
      <w:r w:rsidRPr="00940704">
        <w:rPr>
          <w:rFonts w:cs="Times New Roman"/>
          <w:sz w:val="20"/>
        </w:rPr>
        <w:t xml:space="preserve">HHI_lines is Herfindahl index of premiums written by business lines; HHI_states is Herfindahl index of premiums written by states; Group member indicator is equal to one if the insurer is identified as a group by AM Best; Stock insurer dummy equals to one if the insurer is a stock company and zero otherwise; Independent agency indicator is equal to one if the insurer is identified as independent agency or broker by AM Best; Publicly traded indicator is  equal to one if the insurer is identified as being publicly traded by AM Best; Advertising   is measured as the ratio of advertising expenditures to net premiums written; Surveys &amp; Audits  is measured as the ratio of  expenditure on surveys and audits to net premiums written; </w:t>
      </w:r>
      <w:r w:rsidR="00940704" w:rsidRPr="00940704">
        <w:rPr>
          <w:rFonts w:cs="Times New Roman"/>
          <w:sz w:val="20"/>
        </w:rPr>
        <w:t xml:space="preserve">Reinsurance is measured  as </w:t>
      </w:r>
      <w:r w:rsidR="00940704" w:rsidRPr="00940704">
        <w:rPr>
          <w:sz w:val="20"/>
        </w:rPr>
        <w:t>premiums ceded divided by direct premiums written plus reinsurance assumed.</w:t>
      </w:r>
    </w:p>
    <w:tbl>
      <w:tblPr>
        <w:tblW w:w="6450" w:type="dxa"/>
        <w:jc w:val="center"/>
        <w:tblLook w:val="04A0" w:firstRow="1" w:lastRow="0" w:firstColumn="1" w:lastColumn="0" w:noHBand="0" w:noVBand="1"/>
      </w:tblPr>
      <w:tblGrid>
        <w:gridCol w:w="2700"/>
        <w:gridCol w:w="3750"/>
      </w:tblGrid>
      <w:tr w:rsidR="00326E5D" w:rsidRPr="00DC2B87" w14:paraId="0890FD4B" w14:textId="77777777" w:rsidTr="001203E8">
        <w:trPr>
          <w:trHeight w:val="310"/>
          <w:jc w:val="center"/>
        </w:trPr>
        <w:tc>
          <w:tcPr>
            <w:tcW w:w="6450" w:type="dxa"/>
            <w:gridSpan w:val="2"/>
            <w:tcBorders>
              <w:top w:val="nil"/>
              <w:left w:val="nil"/>
              <w:bottom w:val="nil"/>
              <w:right w:val="nil"/>
            </w:tcBorders>
            <w:shd w:val="clear" w:color="auto" w:fill="auto"/>
            <w:noWrap/>
            <w:vAlign w:val="bottom"/>
            <w:hideMark/>
          </w:tcPr>
          <w:p w14:paraId="386151EF" w14:textId="208C7B10" w:rsidR="00326E5D" w:rsidRPr="00DC2B87" w:rsidRDefault="00940704" w:rsidP="00940704">
            <w:pPr>
              <w:spacing w:line="240" w:lineRule="auto"/>
              <w:ind w:firstLine="0"/>
              <w:jc w:val="center"/>
              <w:rPr>
                <w:rFonts w:eastAsia="Times New Roman" w:cs="Times New Roman"/>
                <w:b/>
                <w:bCs/>
                <w:color w:val="000000"/>
                <w:szCs w:val="24"/>
              </w:rPr>
            </w:pPr>
            <w:r>
              <w:rPr>
                <w:rFonts w:cs="Times New Roman"/>
              </w:rPr>
              <w:lastRenderedPageBreak/>
              <w:tab/>
            </w:r>
            <w:r w:rsidR="00326E5D" w:rsidRPr="00DC2B87">
              <w:rPr>
                <w:rFonts w:eastAsia="Times New Roman" w:cs="Times New Roman"/>
                <w:b/>
                <w:bCs/>
                <w:color w:val="000000"/>
                <w:szCs w:val="24"/>
              </w:rPr>
              <w:t>Table 3</w:t>
            </w:r>
          </w:p>
        </w:tc>
      </w:tr>
      <w:tr w:rsidR="00326E5D" w:rsidRPr="00DC2B87" w14:paraId="073D09D7" w14:textId="77777777" w:rsidTr="001203E8">
        <w:trPr>
          <w:trHeight w:val="310"/>
          <w:jc w:val="center"/>
        </w:trPr>
        <w:tc>
          <w:tcPr>
            <w:tcW w:w="6450" w:type="dxa"/>
            <w:gridSpan w:val="2"/>
            <w:tcBorders>
              <w:top w:val="nil"/>
              <w:left w:val="nil"/>
              <w:bottom w:val="single" w:sz="4" w:space="0" w:color="auto"/>
              <w:right w:val="nil"/>
            </w:tcBorders>
            <w:shd w:val="clear" w:color="auto" w:fill="auto"/>
            <w:noWrap/>
            <w:vAlign w:val="bottom"/>
            <w:hideMark/>
          </w:tcPr>
          <w:p w14:paraId="3D51D3F4" w14:textId="5E80AB2D" w:rsidR="00326E5D" w:rsidRPr="00DC2B87" w:rsidRDefault="00326E5D" w:rsidP="0094421C">
            <w:pPr>
              <w:spacing w:line="240" w:lineRule="auto"/>
              <w:ind w:right="-4338" w:firstLine="0"/>
              <w:rPr>
                <w:rFonts w:eastAsia="Times New Roman" w:cs="Times New Roman"/>
                <w:b/>
                <w:bCs/>
                <w:color w:val="000000"/>
                <w:szCs w:val="24"/>
              </w:rPr>
            </w:pPr>
            <w:r w:rsidRPr="00DC2B87">
              <w:rPr>
                <w:rFonts w:eastAsia="Times New Roman" w:cs="Times New Roman"/>
                <w:b/>
                <w:bCs/>
                <w:color w:val="000000"/>
                <w:szCs w:val="24"/>
              </w:rPr>
              <w:t>PSM Results</w:t>
            </w:r>
            <w:r w:rsidR="00940704">
              <w:rPr>
                <w:rFonts w:eastAsia="Times New Roman" w:cs="Times New Roman"/>
                <w:b/>
                <w:bCs/>
                <w:color w:val="000000"/>
                <w:szCs w:val="24"/>
              </w:rPr>
              <w:t xml:space="preserve"> </w:t>
            </w:r>
            <w:r w:rsidR="0094421C">
              <w:rPr>
                <w:rFonts w:eastAsia="Times New Roman" w:cs="Times New Roman"/>
                <w:b/>
                <w:bCs/>
                <w:color w:val="000000"/>
                <w:szCs w:val="24"/>
              </w:rPr>
              <w:t>using</w:t>
            </w:r>
            <w:r w:rsidR="001203E8">
              <w:rPr>
                <w:rFonts w:eastAsia="Times New Roman" w:cs="Times New Roman"/>
                <w:b/>
                <w:bCs/>
                <w:color w:val="000000"/>
                <w:szCs w:val="24"/>
              </w:rPr>
              <w:t xml:space="preserve"> </w:t>
            </w:r>
            <w:r w:rsidR="0094421C">
              <w:rPr>
                <w:rFonts w:eastAsia="Times New Roman" w:cs="Times New Roman"/>
                <w:b/>
                <w:bCs/>
                <w:color w:val="000000"/>
                <w:szCs w:val="24"/>
              </w:rPr>
              <w:t>Contingent Commission Usage Indicator</w:t>
            </w:r>
          </w:p>
        </w:tc>
      </w:tr>
      <w:tr w:rsidR="00326E5D" w:rsidRPr="00DC2B87" w14:paraId="0BFFB653" w14:textId="77777777" w:rsidTr="001203E8">
        <w:trPr>
          <w:trHeight w:val="580"/>
          <w:jc w:val="center"/>
        </w:trPr>
        <w:tc>
          <w:tcPr>
            <w:tcW w:w="2700" w:type="dxa"/>
            <w:tcBorders>
              <w:top w:val="nil"/>
              <w:left w:val="nil"/>
              <w:bottom w:val="single" w:sz="4" w:space="0" w:color="auto"/>
              <w:right w:val="nil"/>
            </w:tcBorders>
            <w:shd w:val="clear" w:color="auto" w:fill="auto"/>
            <w:vAlign w:val="bottom"/>
            <w:hideMark/>
          </w:tcPr>
          <w:p w14:paraId="4BAF3A8C" w14:textId="77777777" w:rsidR="00326E5D" w:rsidRPr="00DC2B87" w:rsidRDefault="00326E5D" w:rsidP="001203E8">
            <w:pPr>
              <w:spacing w:line="240" w:lineRule="auto"/>
              <w:ind w:right="-198" w:firstLine="0"/>
              <w:jc w:val="left"/>
              <w:rPr>
                <w:rFonts w:eastAsia="Times New Roman" w:cs="Times New Roman"/>
                <w:b/>
                <w:bCs/>
                <w:color w:val="000000"/>
                <w:szCs w:val="24"/>
              </w:rPr>
            </w:pPr>
            <w:r w:rsidRPr="00DC2B87">
              <w:rPr>
                <w:rFonts w:eastAsia="Times New Roman" w:cs="Times New Roman"/>
                <w:b/>
                <w:bCs/>
                <w:color w:val="000000"/>
                <w:szCs w:val="24"/>
              </w:rPr>
              <w:t>Independent Variables</w:t>
            </w:r>
          </w:p>
        </w:tc>
        <w:tc>
          <w:tcPr>
            <w:tcW w:w="3750" w:type="dxa"/>
            <w:tcBorders>
              <w:top w:val="nil"/>
              <w:left w:val="nil"/>
              <w:bottom w:val="single" w:sz="4" w:space="0" w:color="auto"/>
              <w:right w:val="nil"/>
            </w:tcBorders>
            <w:shd w:val="clear" w:color="auto" w:fill="auto"/>
            <w:noWrap/>
            <w:vAlign w:val="bottom"/>
            <w:hideMark/>
          </w:tcPr>
          <w:p w14:paraId="1C65E49A" w14:textId="77777777" w:rsidR="00326E5D" w:rsidRPr="00DC2B87" w:rsidRDefault="00326E5D" w:rsidP="004773D8">
            <w:pPr>
              <w:spacing w:line="240" w:lineRule="auto"/>
              <w:ind w:firstLine="0"/>
              <w:jc w:val="left"/>
              <w:rPr>
                <w:rFonts w:eastAsia="Times New Roman" w:cs="Times New Roman"/>
                <w:b/>
                <w:bCs/>
                <w:color w:val="000000"/>
                <w:szCs w:val="24"/>
              </w:rPr>
            </w:pPr>
            <w:r w:rsidRPr="00DC2B87">
              <w:rPr>
                <w:rFonts w:eastAsia="Times New Roman" w:cs="Times New Roman"/>
                <w:b/>
                <w:bCs/>
                <w:color w:val="000000"/>
                <w:szCs w:val="24"/>
              </w:rPr>
              <w:t>UseCont</w:t>
            </w:r>
          </w:p>
        </w:tc>
      </w:tr>
      <w:tr w:rsidR="00326E5D" w:rsidRPr="00DC2B87" w14:paraId="0DA01D82"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6C02417A"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Size</w:t>
            </w:r>
          </w:p>
        </w:tc>
        <w:tc>
          <w:tcPr>
            <w:tcW w:w="3750" w:type="dxa"/>
            <w:tcBorders>
              <w:top w:val="nil"/>
              <w:left w:val="nil"/>
              <w:bottom w:val="nil"/>
              <w:right w:val="nil"/>
            </w:tcBorders>
            <w:shd w:val="clear" w:color="auto" w:fill="auto"/>
            <w:noWrap/>
            <w:vAlign w:val="bottom"/>
            <w:hideMark/>
          </w:tcPr>
          <w:p w14:paraId="2D96CF6C" w14:textId="2F4064B1"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0.0830</w:t>
            </w:r>
            <w:r w:rsidR="00326E5D" w:rsidRPr="00DC2B87">
              <w:rPr>
                <w:rFonts w:eastAsia="Times New Roman" w:cs="Times New Roman"/>
                <w:color w:val="000000"/>
                <w:szCs w:val="24"/>
              </w:rPr>
              <w:t>***</w:t>
            </w:r>
          </w:p>
        </w:tc>
      </w:tr>
      <w:tr w:rsidR="00326E5D" w:rsidRPr="00DC2B87" w14:paraId="6F466D3D"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5298AB57"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45F1FB67"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(0.010)</w:t>
            </w:r>
          </w:p>
        </w:tc>
      </w:tr>
      <w:tr w:rsidR="00326E5D" w:rsidRPr="00DC2B87" w14:paraId="6217F707"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7BD9C0A8"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Commercial</w:t>
            </w:r>
          </w:p>
        </w:tc>
        <w:tc>
          <w:tcPr>
            <w:tcW w:w="3750" w:type="dxa"/>
            <w:tcBorders>
              <w:top w:val="nil"/>
              <w:left w:val="nil"/>
              <w:bottom w:val="nil"/>
              <w:right w:val="nil"/>
            </w:tcBorders>
            <w:shd w:val="clear" w:color="auto" w:fill="auto"/>
            <w:noWrap/>
            <w:vAlign w:val="bottom"/>
            <w:hideMark/>
          </w:tcPr>
          <w:p w14:paraId="6BC0E4D7" w14:textId="0C5B7543"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-0.277</w:t>
            </w:r>
            <w:r w:rsidR="00326E5D" w:rsidRPr="00DC2B87">
              <w:rPr>
                <w:rFonts w:eastAsia="Times New Roman" w:cs="Times New Roman"/>
                <w:color w:val="000000"/>
                <w:szCs w:val="24"/>
              </w:rPr>
              <w:t>***</w:t>
            </w:r>
          </w:p>
        </w:tc>
      </w:tr>
      <w:tr w:rsidR="00326E5D" w:rsidRPr="00DC2B87" w14:paraId="28FDA173"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4C6CA92D"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7FA2F0D2"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(0.043)</w:t>
            </w:r>
          </w:p>
        </w:tc>
      </w:tr>
      <w:tr w:rsidR="00326E5D" w:rsidRPr="00DC2B87" w14:paraId="4EDEECE4"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252787AE"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Leverage</w:t>
            </w:r>
          </w:p>
        </w:tc>
        <w:tc>
          <w:tcPr>
            <w:tcW w:w="3750" w:type="dxa"/>
            <w:tcBorders>
              <w:top w:val="nil"/>
              <w:left w:val="nil"/>
              <w:bottom w:val="nil"/>
              <w:right w:val="nil"/>
            </w:tcBorders>
            <w:shd w:val="clear" w:color="auto" w:fill="auto"/>
            <w:noWrap/>
            <w:vAlign w:val="bottom"/>
            <w:hideMark/>
          </w:tcPr>
          <w:p w14:paraId="788CDBF3"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-0.001</w:t>
            </w:r>
          </w:p>
        </w:tc>
      </w:tr>
      <w:tr w:rsidR="00326E5D" w:rsidRPr="00DC2B87" w14:paraId="3C02FAD4"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5932CB28"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0CA89FB1"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(0.006)</w:t>
            </w:r>
          </w:p>
        </w:tc>
      </w:tr>
      <w:tr w:rsidR="00326E5D" w:rsidRPr="00DC2B87" w14:paraId="2DFC7E37"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595D7353"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HHI_lines</w:t>
            </w:r>
          </w:p>
        </w:tc>
        <w:tc>
          <w:tcPr>
            <w:tcW w:w="3750" w:type="dxa"/>
            <w:tcBorders>
              <w:top w:val="nil"/>
              <w:left w:val="nil"/>
              <w:bottom w:val="nil"/>
              <w:right w:val="nil"/>
            </w:tcBorders>
            <w:shd w:val="clear" w:color="auto" w:fill="auto"/>
            <w:noWrap/>
            <w:vAlign w:val="bottom"/>
            <w:hideMark/>
          </w:tcPr>
          <w:p w14:paraId="711E2EF6" w14:textId="250E4012"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-0.902</w:t>
            </w:r>
            <w:r w:rsidR="00326E5D" w:rsidRPr="00DC2B87">
              <w:rPr>
                <w:rFonts w:eastAsia="Times New Roman" w:cs="Times New Roman"/>
                <w:color w:val="000000"/>
                <w:szCs w:val="24"/>
              </w:rPr>
              <w:t>***</w:t>
            </w:r>
          </w:p>
        </w:tc>
      </w:tr>
      <w:tr w:rsidR="00326E5D" w:rsidRPr="00DC2B87" w14:paraId="3953B772"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4A82DEB8"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19A71169" w14:textId="15FAAA49"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(0.057</w:t>
            </w:r>
            <w:r w:rsidR="00326E5D" w:rsidRPr="00DC2B87">
              <w:rPr>
                <w:rFonts w:eastAsia="Times New Roman" w:cs="Times New Roman"/>
                <w:color w:val="000000"/>
                <w:szCs w:val="24"/>
              </w:rPr>
              <w:t>)</w:t>
            </w:r>
          </w:p>
        </w:tc>
      </w:tr>
      <w:tr w:rsidR="00326E5D" w:rsidRPr="00DC2B87" w14:paraId="6EF0AB4B"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5BB16322"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HHI_states</w:t>
            </w:r>
          </w:p>
        </w:tc>
        <w:tc>
          <w:tcPr>
            <w:tcW w:w="3750" w:type="dxa"/>
            <w:tcBorders>
              <w:top w:val="nil"/>
              <w:left w:val="nil"/>
              <w:bottom w:val="nil"/>
              <w:right w:val="nil"/>
            </w:tcBorders>
            <w:shd w:val="clear" w:color="auto" w:fill="auto"/>
            <w:noWrap/>
            <w:vAlign w:val="bottom"/>
            <w:hideMark/>
          </w:tcPr>
          <w:p w14:paraId="3F34FD92" w14:textId="2A7270F3"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-0.467</w:t>
            </w:r>
            <w:r w:rsidR="00326E5D" w:rsidRPr="00DC2B87">
              <w:rPr>
                <w:rFonts w:eastAsia="Times New Roman" w:cs="Times New Roman"/>
                <w:color w:val="000000"/>
                <w:szCs w:val="24"/>
              </w:rPr>
              <w:t>***</w:t>
            </w:r>
          </w:p>
        </w:tc>
      </w:tr>
      <w:tr w:rsidR="00326E5D" w:rsidRPr="00DC2B87" w14:paraId="65E11AF0"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21E8539C"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68DC48C8"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(0.049)</w:t>
            </w:r>
          </w:p>
        </w:tc>
      </w:tr>
      <w:tr w:rsidR="00326E5D" w:rsidRPr="00DC2B87" w14:paraId="1605FFE2"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07D353D0"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Group</w:t>
            </w:r>
          </w:p>
        </w:tc>
        <w:tc>
          <w:tcPr>
            <w:tcW w:w="3750" w:type="dxa"/>
            <w:tcBorders>
              <w:top w:val="nil"/>
              <w:left w:val="nil"/>
              <w:bottom w:val="nil"/>
              <w:right w:val="nil"/>
            </w:tcBorders>
            <w:shd w:val="clear" w:color="auto" w:fill="auto"/>
            <w:noWrap/>
            <w:vAlign w:val="bottom"/>
            <w:hideMark/>
          </w:tcPr>
          <w:p w14:paraId="5143183F" w14:textId="4680632A"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0.417</w:t>
            </w:r>
            <w:r w:rsidR="00326E5D" w:rsidRPr="00DC2B87">
              <w:rPr>
                <w:rFonts w:eastAsia="Times New Roman" w:cs="Times New Roman"/>
                <w:color w:val="000000"/>
                <w:szCs w:val="24"/>
              </w:rPr>
              <w:t>***</w:t>
            </w:r>
          </w:p>
        </w:tc>
      </w:tr>
      <w:tr w:rsidR="00326E5D" w:rsidRPr="00DC2B87" w14:paraId="7066B19A"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7F363027"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5CE24B11"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(0.040)</w:t>
            </w:r>
          </w:p>
        </w:tc>
      </w:tr>
      <w:tr w:rsidR="00326E5D" w:rsidRPr="00DC2B87" w14:paraId="157FF67D"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2EB84666"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Stock</w:t>
            </w:r>
          </w:p>
        </w:tc>
        <w:tc>
          <w:tcPr>
            <w:tcW w:w="3750" w:type="dxa"/>
            <w:tcBorders>
              <w:top w:val="nil"/>
              <w:left w:val="nil"/>
              <w:bottom w:val="nil"/>
              <w:right w:val="nil"/>
            </w:tcBorders>
            <w:shd w:val="clear" w:color="auto" w:fill="auto"/>
            <w:noWrap/>
            <w:vAlign w:val="bottom"/>
            <w:hideMark/>
          </w:tcPr>
          <w:p w14:paraId="6E718ECB" w14:textId="6C63DF17"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-0.072</w:t>
            </w:r>
            <w:r w:rsidR="00326E5D" w:rsidRPr="00DC2B87">
              <w:rPr>
                <w:rFonts w:eastAsia="Times New Roman" w:cs="Times New Roman"/>
                <w:color w:val="000000"/>
                <w:szCs w:val="24"/>
              </w:rPr>
              <w:t>*</w:t>
            </w:r>
          </w:p>
        </w:tc>
      </w:tr>
      <w:tr w:rsidR="00326E5D" w:rsidRPr="00DC2B87" w14:paraId="266D021B"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691FCCE2"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0403F224"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(0.040)</w:t>
            </w:r>
          </w:p>
        </w:tc>
      </w:tr>
      <w:tr w:rsidR="00326E5D" w:rsidRPr="00DC2B87" w14:paraId="6F8D5728"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3EF69409"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IndependentAgency</w:t>
            </w:r>
          </w:p>
        </w:tc>
        <w:tc>
          <w:tcPr>
            <w:tcW w:w="3750" w:type="dxa"/>
            <w:tcBorders>
              <w:top w:val="nil"/>
              <w:left w:val="nil"/>
              <w:bottom w:val="nil"/>
              <w:right w:val="nil"/>
            </w:tcBorders>
            <w:shd w:val="clear" w:color="auto" w:fill="auto"/>
            <w:noWrap/>
            <w:vAlign w:val="bottom"/>
            <w:hideMark/>
          </w:tcPr>
          <w:p w14:paraId="1499E906" w14:textId="7D7A7252"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0.827</w:t>
            </w:r>
            <w:r w:rsidR="00326E5D" w:rsidRPr="00DC2B87">
              <w:rPr>
                <w:rFonts w:eastAsia="Times New Roman" w:cs="Times New Roman"/>
                <w:color w:val="000000"/>
                <w:szCs w:val="24"/>
              </w:rPr>
              <w:t>***</w:t>
            </w:r>
          </w:p>
        </w:tc>
      </w:tr>
      <w:tr w:rsidR="00326E5D" w:rsidRPr="00DC2B87" w14:paraId="17D8070F"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1C557A6B"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1646091B"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(0.033)</w:t>
            </w:r>
          </w:p>
        </w:tc>
      </w:tr>
      <w:tr w:rsidR="00326E5D" w:rsidRPr="00DC2B87" w14:paraId="7EF0F086"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55939168"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PubliclyTraded</w:t>
            </w:r>
          </w:p>
        </w:tc>
        <w:tc>
          <w:tcPr>
            <w:tcW w:w="3750" w:type="dxa"/>
            <w:tcBorders>
              <w:top w:val="nil"/>
              <w:left w:val="nil"/>
              <w:bottom w:val="nil"/>
              <w:right w:val="nil"/>
            </w:tcBorders>
            <w:shd w:val="clear" w:color="auto" w:fill="auto"/>
            <w:noWrap/>
            <w:vAlign w:val="bottom"/>
            <w:hideMark/>
          </w:tcPr>
          <w:p w14:paraId="193E1D26" w14:textId="77777777" w:rsidR="00326E5D" w:rsidRPr="00DC2B87" w:rsidRDefault="00326E5D" w:rsidP="004773D8">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-0.010</w:t>
            </w:r>
          </w:p>
        </w:tc>
      </w:tr>
      <w:tr w:rsidR="00326E5D" w:rsidRPr="00DC2B87" w14:paraId="3353892A"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7C484DF2"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7CE3341F" w14:textId="7D6F7AB4"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(0.302</w:t>
            </w:r>
            <w:r w:rsidR="00326E5D" w:rsidRPr="00DC2B87">
              <w:rPr>
                <w:rFonts w:eastAsia="Times New Roman" w:cs="Times New Roman"/>
                <w:color w:val="000000"/>
                <w:szCs w:val="24"/>
              </w:rPr>
              <w:t>)</w:t>
            </w:r>
          </w:p>
        </w:tc>
      </w:tr>
      <w:tr w:rsidR="00326E5D" w:rsidRPr="00DC2B87" w14:paraId="5C5E0C01"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26C1EC7F"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_cons</w:t>
            </w:r>
          </w:p>
        </w:tc>
        <w:tc>
          <w:tcPr>
            <w:tcW w:w="3750" w:type="dxa"/>
            <w:tcBorders>
              <w:top w:val="nil"/>
              <w:left w:val="nil"/>
              <w:bottom w:val="nil"/>
              <w:right w:val="nil"/>
            </w:tcBorders>
            <w:shd w:val="clear" w:color="auto" w:fill="auto"/>
            <w:noWrap/>
            <w:vAlign w:val="bottom"/>
            <w:hideMark/>
          </w:tcPr>
          <w:p w14:paraId="789A8E9D" w14:textId="462326AF" w:rsidR="00326E5D" w:rsidRPr="00DC2B87" w:rsidRDefault="00326E5D" w:rsidP="00EF0377">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-1.</w:t>
            </w:r>
            <w:r w:rsidR="00EF0377">
              <w:rPr>
                <w:rFonts w:eastAsia="Times New Roman" w:cs="Times New Roman"/>
                <w:color w:val="000000"/>
                <w:szCs w:val="24"/>
              </w:rPr>
              <w:t>041</w:t>
            </w:r>
            <w:r w:rsidRPr="00DC2B87">
              <w:rPr>
                <w:rFonts w:eastAsia="Times New Roman" w:cs="Times New Roman"/>
                <w:color w:val="000000"/>
                <w:szCs w:val="24"/>
              </w:rPr>
              <w:t>***</w:t>
            </w:r>
          </w:p>
        </w:tc>
      </w:tr>
      <w:tr w:rsidR="00326E5D" w:rsidRPr="00DC2B87" w14:paraId="17D8D10C" w14:textId="77777777" w:rsidTr="001203E8">
        <w:trPr>
          <w:trHeight w:val="310"/>
          <w:jc w:val="center"/>
        </w:trPr>
        <w:tc>
          <w:tcPr>
            <w:tcW w:w="2700" w:type="dxa"/>
            <w:tcBorders>
              <w:top w:val="nil"/>
              <w:left w:val="nil"/>
              <w:bottom w:val="nil"/>
              <w:right w:val="nil"/>
            </w:tcBorders>
            <w:shd w:val="clear" w:color="auto" w:fill="auto"/>
            <w:noWrap/>
            <w:vAlign w:val="bottom"/>
            <w:hideMark/>
          </w:tcPr>
          <w:p w14:paraId="1EFF5CA7" w14:textId="77777777" w:rsidR="00326E5D" w:rsidRPr="00940704" w:rsidRDefault="00326E5D" w:rsidP="004773D8">
            <w:pPr>
              <w:spacing w:line="240" w:lineRule="auto"/>
              <w:ind w:firstLine="0"/>
              <w:jc w:val="left"/>
              <w:rPr>
                <w:rFonts w:eastAsia="Times New Roman" w:cs="Times New Roman"/>
                <w:color w:val="000000"/>
                <w:szCs w:val="24"/>
              </w:rPr>
            </w:pPr>
          </w:p>
        </w:tc>
        <w:tc>
          <w:tcPr>
            <w:tcW w:w="3750" w:type="dxa"/>
            <w:tcBorders>
              <w:top w:val="nil"/>
              <w:left w:val="nil"/>
              <w:bottom w:val="nil"/>
              <w:right w:val="nil"/>
            </w:tcBorders>
            <w:shd w:val="clear" w:color="auto" w:fill="auto"/>
            <w:noWrap/>
            <w:vAlign w:val="bottom"/>
            <w:hideMark/>
          </w:tcPr>
          <w:p w14:paraId="459247C9" w14:textId="03DC9E74" w:rsidR="00326E5D" w:rsidRPr="00DC2B87" w:rsidRDefault="00EF0377" w:rsidP="004773D8">
            <w:pPr>
              <w:spacing w:line="240" w:lineRule="auto"/>
              <w:ind w:firstLine="0"/>
              <w:jc w:val="left"/>
              <w:rPr>
                <w:rFonts w:eastAsia="Times New Roman" w:cs="Times New Roman"/>
                <w:color w:val="000000"/>
                <w:szCs w:val="24"/>
              </w:rPr>
            </w:pPr>
            <w:r>
              <w:rPr>
                <w:rFonts w:eastAsia="Times New Roman" w:cs="Times New Roman"/>
                <w:color w:val="000000"/>
                <w:szCs w:val="24"/>
              </w:rPr>
              <w:t>(0.211</w:t>
            </w:r>
            <w:r w:rsidR="00326E5D" w:rsidRPr="00DC2B87">
              <w:rPr>
                <w:rFonts w:eastAsia="Times New Roman" w:cs="Times New Roman"/>
                <w:color w:val="000000"/>
                <w:szCs w:val="24"/>
              </w:rPr>
              <w:t>)</w:t>
            </w:r>
          </w:p>
        </w:tc>
      </w:tr>
      <w:tr w:rsidR="00326E5D" w:rsidRPr="00DC2B87" w14:paraId="293812A9" w14:textId="77777777" w:rsidTr="001203E8">
        <w:trPr>
          <w:trHeight w:val="310"/>
          <w:jc w:val="center"/>
        </w:trPr>
        <w:tc>
          <w:tcPr>
            <w:tcW w:w="2700" w:type="dxa"/>
            <w:tcBorders>
              <w:top w:val="nil"/>
              <w:left w:val="nil"/>
              <w:bottom w:val="single" w:sz="4" w:space="0" w:color="auto"/>
              <w:right w:val="nil"/>
            </w:tcBorders>
            <w:shd w:val="clear" w:color="auto" w:fill="auto"/>
            <w:noWrap/>
            <w:vAlign w:val="bottom"/>
            <w:hideMark/>
          </w:tcPr>
          <w:p w14:paraId="73D889D4" w14:textId="77777777" w:rsidR="00326E5D" w:rsidRPr="00940704" w:rsidRDefault="00326E5D" w:rsidP="004773D8">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N</w:t>
            </w:r>
          </w:p>
        </w:tc>
        <w:tc>
          <w:tcPr>
            <w:tcW w:w="3750" w:type="dxa"/>
            <w:tcBorders>
              <w:top w:val="nil"/>
              <w:left w:val="nil"/>
              <w:bottom w:val="single" w:sz="4" w:space="0" w:color="auto"/>
              <w:right w:val="nil"/>
            </w:tcBorders>
            <w:shd w:val="clear" w:color="auto" w:fill="auto"/>
            <w:noWrap/>
            <w:vAlign w:val="bottom"/>
            <w:hideMark/>
          </w:tcPr>
          <w:p w14:paraId="552C8D5D" w14:textId="67A2F87C" w:rsidR="00326E5D" w:rsidRPr="00DC2B87" w:rsidRDefault="00326E5D" w:rsidP="00EF0377">
            <w:pPr>
              <w:spacing w:line="240" w:lineRule="auto"/>
              <w:ind w:firstLine="0"/>
              <w:jc w:val="left"/>
              <w:rPr>
                <w:rFonts w:eastAsia="Times New Roman" w:cs="Times New Roman"/>
                <w:color w:val="000000"/>
                <w:szCs w:val="24"/>
              </w:rPr>
            </w:pPr>
            <w:r w:rsidRPr="00DC2B87">
              <w:rPr>
                <w:rFonts w:eastAsia="Times New Roman" w:cs="Times New Roman"/>
                <w:color w:val="000000"/>
                <w:szCs w:val="24"/>
              </w:rPr>
              <w:t>7</w:t>
            </w:r>
            <w:r w:rsidR="00EF0377">
              <w:rPr>
                <w:rFonts w:eastAsia="Times New Roman" w:cs="Times New Roman"/>
                <w:color w:val="000000"/>
                <w:szCs w:val="24"/>
              </w:rPr>
              <w:t>493</w:t>
            </w:r>
          </w:p>
        </w:tc>
      </w:tr>
    </w:tbl>
    <w:p w14:paraId="6730AA1E" w14:textId="77777777" w:rsidR="00326E5D" w:rsidRPr="00940704" w:rsidRDefault="00326E5D" w:rsidP="00234709">
      <w:pPr>
        <w:spacing w:line="240" w:lineRule="auto"/>
        <w:ind w:firstLine="0"/>
        <w:rPr>
          <w:rFonts w:cs="Times New Roman"/>
          <w:sz w:val="20"/>
          <w:szCs w:val="24"/>
        </w:rPr>
      </w:pPr>
      <w:r w:rsidRPr="00940704">
        <w:rPr>
          <w:rFonts w:cs="Times New Roman"/>
          <w:sz w:val="20"/>
          <w:szCs w:val="24"/>
        </w:rPr>
        <w:t>*Note: Statistical significance at the 1, 5, and 10 percent levels are denoted by ***, **, and * respectively.</w:t>
      </w:r>
    </w:p>
    <w:p w14:paraId="518F07A0" w14:textId="728998BD" w:rsidR="00940704" w:rsidRPr="00940704" w:rsidRDefault="00326E5D" w:rsidP="00234709">
      <w:pPr>
        <w:spacing w:line="240" w:lineRule="auto"/>
        <w:ind w:firstLine="0"/>
        <w:rPr>
          <w:rFonts w:cs="Times New Roman"/>
          <w:sz w:val="20"/>
        </w:rPr>
        <w:sectPr w:rsidR="00940704" w:rsidRPr="00940704" w:rsidSect="00477C34">
          <w:footerReference w:type="default" r:id="rId11"/>
          <w:pgSz w:w="12240" w:h="15840" w:code="1"/>
          <w:pgMar w:top="1440" w:right="1440" w:bottom="1080" w:left="1440" w:header="720" w:footer="432" w:gutter="0"/>
          <w:cols w:space="720"/>
          <w:docGrid w:linePitch="360"/>
        </w:sectPr>
      </w:pPr>
      <w:r w:rsidRPr="00940704">
        <w:rPr>
          <w:rFonts w:cs="Times New Roman"/>
          <w:sz w:val="20"/>
          <w:szCs w:val="24"/>
        </w:rPr>
        <w:t xml:space="preserve">* UseCont equals 1 if an insurer pays any contingent commissions, and 0 otherwise; </w:t>
      </w:r>
      <w:r w:rsidRPr="00940704">
        <w:rPr>
          <w:rFonts w:cs="Times New Roman"/>
          <w:sz w:val="20"/>
        </w:rPr>
        <w:t xml:space="preserve">Firm size is measured as natural logarithm of total admitted assets; Commercial lines of business is measured by proportion of net premiums written in commercial lines of business; </w:t>
      </w:r>
      <w:r w:rsidRPr="00940704">
        <w:rPr>
          <w:sz w:val="20"/>
        </w:rPr>
        <w:t xml:space="preserve">Leverage is measured as ratio of liabilities to surplus; </w:t>
      </w:r>
      <w:r w:rsidRPr="00940704">
        <w:rPr>
          <w:rFonts w:cs="Times New Roman"/>
          <w:sz w:val="20"/>
        </w:rPr>
        <w:t xml:space="preserve">HHI_lines is Herfindahl index of premiums written by business lines; HHI_states is Herfindahl index of premiums written by states; Group member indicator is equal to one if the insurer is identified as a group by AM Best; Stock insurer dummy equals to one if the insurer is a stock company and zero otherwise; Independent agency indicator is equal to one if the insurer is identified as independent agency or broker by AM Best; Publicly traded indicator is  equal to one if the insurer is identified as being publicly traded by AM Best; Advertising   is measured as the ratio of advertising expenditures to net premiums written; Surveys &amp; Audits  is measured as the ratio of  expenditure on surveys and audits to net premiums written; </w:t>
      </w:r>
      <w:r w:rsidR="00940704" w:rsidRPr="00940704">
        <w:rPr>
          <w:rFonts w:cs="Times New Roman"/>
          <w:sz w:val="20"/>
        </w:rPr>
        <w:t xml:space="preserve">Reinsurance is measured  as </w:t>
      </w:r>
      <w:r w:rsidR="00940704" w:rsidRPr="00940704">
        <w:rPr>
          <w:sz w:val="20"/>
        </w:rPr>
        <w:t>premiums ceded divided by direct premiums written plus reinsurance assumed.</w:t>
      </w:r>
    </w:p>
    <w:tbl>
      <w:tblPr>
        <w:tblW w:w="7020" w:type="dxa"/>
        <w:jc w:val="center"/>
        <w:tblLook w:val="04A0" w:firstRow="1" w:lastRow="0" w:firstColumn="1" w:lastColumn="0" w:noHBand="0" w:noVBand="1"/>
      </w:tblPr>
      <w:tblGrid>
        <w:gridCol w:w="2700"/>
        <w:gridCol w:w="1710"/>
        <w:gridCol w:w="2610"/>
      </w:tblGrid>
      <w:tr w:rsidR="00326E5D" w:rsidRPr="00BA4E61" w14:paraId="7F93798E" w14:textId="77777777" w:rsidTr="0094421C">
        <w:trPr>
          <w:trHeight w:val="310"/>
          <w:jc w:val="center"/>
        </w:trPr>
        <w:tc>
          <w:tcPr>
            <w:tcW w:w="7020" w:type="dxa"/>
            <w:gridSpan w:val="3"/>
            <w:tcBorders>
              <w:top w:val="nil"/>
              <w:left w:val="nil"/>
              <w:bottom w:val="nil"/>
              <w:right w:val="nil"/>
            </w:tcBorders>
            <w:shd w:val="clear" w:color="auto" w:fill="auto"/>
            <w:noWrap/>
            <w:vAlign w:val="bottom"/>
            <w:hideMark/>
          </w:tcPr>
          <w:p w14:paraId="3EA94A48" w14:textId="77777777" w:rsidR="00326E5D" w:rsidRPr="00BA4E61" w:rsidRDefault="00326E5D" w:rsidP="004773D8">
            <w:pPr>
              <w:spacing w:line="240" w:lineRule="auto"/>
              <w:ind w:firstLine="0"/>
              <w:jc w:val="center"/>
              <w:rPr>
                <w:rFonts w:eastAsia="Times New Roman" w:cs="Times New Roman"/>
                <w:b/>
                <w:bCs/>
                <w:color w:val="000000"/>
                <w:szCs w:val="24"/>
              </w:rPr>
            </w:pPr>
            <w:r w:rsidRPr="00BA4E61">
              <w:rPr>
                <w:rFonts w:eastAsia="Times New Roman" w:cs="Times New Roman"/>
                <w:b/>
                <w:bCs/>
                <w:color w:val="000000"/>
                <w:szCs w:val="24"/>
              </w:rPr>
              <w:lastRenderedPageBreak/>
              <w:t>Table 4</w:t>
            </w:r>
          </w:p>
        </w:tc>
      </w:tr>
      <w:tr w:rsidR="00326E5D" w:rsidRPr="00BA4E61" w14:paraId="5D2E5B3D" w14:textId="77777777" w:rsidTr="0094421C">
        <w:trPr>
          <w:trHeight w:val="310"/>
          <w:jc w:val="center"/>
        </w:trPr>
        <w:tc>
          <w:tcPr>
            <w:tcW w:w="7020" w:type="dxa"/>
            <w:gridSpan w:val="3"/>
            <w:tcBorders>
              <w:top w:val="nil"/>
              <w:left w:val="nil"/>
              <w:bottom w:val="single" w:sz="4" w:space="0" w:color="auto"/>
              <w:right w:val="nil"/>
            </w:tcBorders>
            <w:shd w:val="clear" w:color="auto" w:fill="auto"/>
            <w:noWrap/>
            <w:vAlign w:val="bottom"/>
            <w:hideMark/>
          </w:tcPr>
          <w:p w14:paraId="57AB2EC7" w14:textId="616026AD" w:rsidR="00326E5D" w:rsidRPr="00BA4E61" w:rsidRDefault="0094421C" w:rsidP="0094421C">
            <w:pPr>
              <w:spacing w:line="240" w:lineRule="auto"/>
              <w:ind w:firstLine="0"/>
              <w:jc w:val="center"/>
              <w:rPr>
                <w:rFonts w:eastAsia="Times New Roman" w:cs="Times New Roman"/>
                <w:b/>
                <w:bCs/>
                <w:color w:val="000000"/>
                <w:szCs w:val="24"/>
              </w:rPr>
            </w:pPr>
            <w:r>
              <w:rPr>
                <w:rFonts w:eastAsia="Times New Roman" w:cs="Times New Roman"/>
                <w:b/>
                <w:bCs/>
                <w:color w:val="000000"/>
                <w:szCs w:val="24"/>
              </w:rPr>
              <w:t>Regression Results with</w:t>
            </w:r>
            <w:r w:rsidR="00326E5D" w:rsidRPr="00BA4E61">
              <w:rPr>
                <w:rFonts w:eastAsia="Times New Roman" w:cs="Times New Roman"/>
                <w:b/>
                <w:bCs/>
                <w:color w:val="000000"/>
                <w:szCs w:val="24"/>
              </w:rPr>
              <w:t xml:space="preserve"> </w:t>
            </w:r>
            <w:r>
              <w:rPr>
                <w:rFonts w:eastAsia="Times New Roman" w:cs="Times New Roman"/>
                <w:b/>
                <w:bCs/>
                <w:color w:val="000000"/>
                <w:szCs w:val="24"/>
              </w:rPr>
              <w:t xml:space="preserve"> Contingent Commission Usage Indicator</w:t>
            </w:r>
          </w:p>
        </w:tc>
      </w:tr>
      <w:tr w:rsidR="00326E5D" w:rsidRPr="00BA4E61" w14:paraId="0020B483" w14:textId="77777777" w:rsidTr="0094421C">
        <w:trPr>
          <w:trHeight w:val="610"/>
          <w:jc w:val="center"/>
        </w:trPr>
        <w:tc>
          <w:tcPr>
            <w:tcW w:w="2700" w:type="dxa"/>
            <w:tcBorders>
              <w:top w:val="nil"/>
              <w:left w:val="nil"/>
              <w:bottom w:val="single" w:sz="4" w:space="0" w:color="auto"/>
              <w:right w:val="nil"/>
            </w:tcBorders>
            <w:shd w:val="clear" w:color="auto" w:fill="auto"/>
            <w:vAlign w:val="bottom"/>
            <w:hideMark/>
          </w:tcPr>
          <w:p w14:paraId="566F0FEC" w14:textId="77777777" w:rsidR="00326E5D" w:rsidRPr="00BA4E61" w:rsidRDefault="00326E5D" w:rsidP="004773D8">
            <w:pPr>
              <w:spacing w:line="240" w:lineRule="auto"/>
              <w:ind w:firstLine="0"/>
              <w:jc w:val="left"/>
              <w:rPr>
                <w:rFonts w:eastAsia="Times New Roman" w:cs="Times New Roman"/>
                <w:b/>
                <w:bCs/>
                <w:color w:val="000000"/>
                <w:szCs w:val="24"/>
              </w:rPr>
            </w:pPr>
            <w:r w:rsidRPr="00BA4E61">
              <w:rPr>
                <w:rFonts w:eastAsia="Times New Roman" w:cs="Times New Roman"/>
                <w:b/>
                <w:bCs/>
                <w:color w:val="000000"/>
                <w:szCs w:val="24"/>
              </w:rPr>
              <w:t>Independent Variables</w:t>
            </w:r>
          </w:p>
        </w:tc>
        <w:tc>
          <w:tcPr>
            <w:tcW w:w="1710" w:type="dxa"/>
            <w:tcBorders>
              <w:top w:val="nil"/>
              <w:left w:val="nil"/>
              <w:bottom w:val="single" w:sz="4" w:space="0" w:color="auto"/>
              <w:right w:val="nil"/>
            </w:tcBorders>
            <w:shd w:val="clear" w:color="auto" w:fill="auto"/>
            <w:noWrap/>
            <w:vAlign w:val="bottom"/>
            <w:hideMark/>
          </w:tcPr>
          <w:p w14:paraId="7DC2A5A0" w14:textId="78BAB648" w:rsidR="00326E5D" w:rsidRPr="00BA4E61" w:rsidRDefault="0094421C" w:rsidP="004773D8">
            <w:pPr>
              <w:spacing w:line="240" w:lineRule="auto"/>
              <w:ind w:firstLine="0"/>
              <w:jc w:val="center"/>
              <w:rPr>
                <w:rFonts w:eastAsia="Times New Roman" w:cs="Times New Roman"/>
                <w:b/>
                <w:bCs/>
                <w:color w:val="000000"/>
                <w:szCs w:val="24"/>
              </w:rPr>
            </w:pPr>
            <w:r>
              <w:rPr>
                <w:rFonts w:eastAsia="Times New Roman" w:cs="Times New Roman"/>
                <w:b/>
                <w:bCs/>
                <w:color w:val="000000"/>
                <w:szCs w:val="24"/>
              </w:rPr>
              <w:t xml:space="preserve">       </w:t>
            </w:r>
            <w:r w:rsidR="00326E5D" w:rsidRPr="00BA4E61">
              <w:rPr>
                <w:rFonts w:eastAsia="Times New Roman" w:cs="Times New Roman"/>
                <w:b/>
                <w:bCs/>
                <w:color w:val="000000"/>
                <w:szCs w:val="24"/>
              </w:rPr>
              <w:t>LossRatio</w:t>
            </w:r>
          </w:p>
        </w:tc>
        <w:tc>
          <w:tcPr>
            <w:tcW w:w="2610" w:type="dxa"/>
            <w:tcBorders>
              <w:top w:val="nil"/>
              <w:left w:val="nil"/>
              <w:bottom w:val="single" w:sz="4" w:space="0" w:color="auto"/>
              <w:right w:val="nil"/>
            </w:tcBorders>
            <w:shd w:val="clear" w:color="auto" w:fill="auto"/>
            <w:noWrap/>
            <w:vAlign w:val="bottom"/>
            <w:hideMark/>
          </w:tcPr>
          <w:p w14:paraId="2F58E39C" w14:textId="356EDA55" w:rsidR="00326E5D" w:rsidRPr="00BA4E61" w:rsidRDefault="0094421C" w:rsidP="004773D8">
            <w:pPr>
              <w:spacing w:line="240" w:lineRule="auto"/>
              <w:ind w:firstLine="0"/>
              <w:jc w:val="center"/>
              <w:rPr>
                <w:rFonts w:eastAsia="Times New Roman" w:cs="Times New Roman"/>
                <w:b/>
                <w:bCs/>
                <w:color w:val="000000"/>
                <w:szCs w:val="24"/>
              </w:rPr>
            </w:pPr>
            <w:r>
              <w:rPr>
                <w:rFonts w:eastAsia="Times New Roman" w:cs="Times New Roman"/>
                <w:b/>
                <w:bCs/>
                <w:color w:val="000000"/>
                <w:szCs w:val="24"/>
              </w:rPr>
              <w:t xml:space="preserve">           </w:t>
            </w:r>
            <w:r w:rsidR="00326E5D" w:rsidRPr="00BA4E61">
              <w:rPr>
                <w:rFonts w:eastAsia="Times New Roman" w:cs="Times New Roman"/>
                <w:b/>
                <w:bCs/>
                <w:color w:val="000000"/>
                <w:szCs w:val="24"/>
              </w:rPr>
              <w:t>CombinedRatio</w:t>
            </w:r>
          </w:p>
        </w:tc>
      </w:tr>
      <w:tr w:rsidR="00EF0377" w:rsidRPr="00BA4E61" w14:paraId="279A0A90"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01B9BB18"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UseCont</w:t>
            </w:r>
          </w:p>
        </w:tc>
        <w:tc>
          <w:tcPr>
            <w:tcW w:w="1710" w:type="dxa"/>
            <w:tcBorders>
              <w:top w:val="nil"/>
              <w:left w:val="nil"/>
              <w:bottom w:val="nil"/>
              <w:right w:val="nil"/>
            </w:tcBorders>
            <w:shd w:val="clear" w:color="auto" w:fill="auto"/>
            <w:noWrap/>
            <w:vAlign w:val="bottom"/>
            <w:hideMark/>
          </w:tcPr>
          <w:p w14:paraId="4D4B2F5B" w14:textId="771BF94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-0.034**</w:t>
            </w:r>
          </w:p>
        </w:tc>
        <w:tc>
          <w:tcPr>
            <w:tcW w:w="2610" w:type="dxa"/>
            <w:tcBorders>
              <w:top w:val="nil"/>
              <w:left w:val="nil"/>
              <w:bottom w:val="nil"/>
              <w:right w:val="nil"/>
            </w:tcBorders>
            <w:shd w:val="clear" w:color="auto" w:fill="auto"/>
            <w:noWrap/>
            <w:vAlign w:val="bottom"/>
            <w:hideMark/>
          </w:tcPr>
          <w:p w14:paraId="5864A1A5" w14:textId="76067C31"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-0.023**</w:t>
            </w:r>
          </w:p>
        </w:tc>
      </w:tr>
      <w:tr w:rsidR="00EF0377" w:rsidRPr="00BA4E61" w14:paraId="08B6A65B"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B940510"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58930CFB" w14:textId="6D3E820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(0.015)</w:t>
            </w:r>
          </w:p>
        </w:tc>
        <w:tc>
          <w:tcPr>
            <w:tcW w:w="2610" w:type="dxa"/>
            <w:tcBorders>
              <w:top w:val="nil"/>
              <w:left w:val="nil"/>
              <w:bottom w:val="nil"/>
              <w:right w:val="nil"/>
            </w:tcBorders>
            <w:shd w:val="clear" w:color="auto" w:fill="auto"/>
            <w:noWrap/>
            <w:vAlign w:val="bottom"/>
            <w:hideMark/>
          </w:tcPr>
          <w:p w14:paraId="1C65CEAE" w14:textId="7D84B91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(0.010)</w:t>
            </w:r>
          </w:p>
        </w:tc>
      </w:tr>
      <w:tr w:rsidR="00EF0377" w:rsidRPr="00BA4E61" w14:paraId="7B8190FC"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6218ACE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Size</w:t>
            </w:r>
          </w:p>
        </w:tc>
        <w:tc>
          <w:tcPr>
            <w:tcW w:w="1710" w:type="dxa"/>
            <w:tcBorders>
              <w:top w:val="nil"/>
              <w:left w:val="nil"/>
              <w:bottom w:val="nil"/>
              <w:right w:val="nil"/>
            </w:tcBorders>
            <w:shd w:val="clear" w:color="auto" w:fill="auto"/>
            <w:noWrap/>
            <w:vAlign w:val="bottom"/>
            <w:hideMark/>
          </w:tcPr>
          <w:p w14:paraId="67AEDEF4" w14:textId="5C3483B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0.035***</w:t>
            </w:r>
          </w:p>
        </w:tc>
        <w:tc>
          <w:tcPr>
            <w:tcW w:w="2610" w:type="dxa"/>
            <w:tcBorders>
              <w:top w:val="nil"/>
              <w:left w:val="nil"/>
              <w:bottom w:val="nil"/>
              <w:right w:val="nil"/>
            </w:tcBorders>
            <w:shd w:val="clear" w:color="auto" w:fill="auto"/>
            <w:noWrap/>
            <w:vAlign w:val="bottom"/>
            <w:hideMark/>
          </w:tcPr>
          <w:p w14:paraId="3AAC3532" w14:textId="665BF6D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-0.010***</w:t>
            </w:r>
          </w:p>
        </w:tc>
      </w:tr>
      <w:tr w:rsidR="00EF0377" w:rsidRPr="00BA4E61" w14:paraId="7B5E04EB"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34A3FAE0"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11DC2970" w14:textId="057BAC3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(0.005)</w:t>
            </w:r>
          </w:p>
        </w:tc>
        <w:tc>
          <w:tcPr>
            <w:tcW w:w="2610" w:type="dxa"/>
            <w:tcBorders>
              <w:top w:val="nil"/>
              <w:left w:val="nil"/>
              <w:bottom w:val="nil"/>
              <w:right w:val="nil"/>
            </w:tcBorders>
            <w:shd w:val="clear" w:color="auto" w:fill="auto"/>
            <w:noWrap/>
            <w:vAlign w:val="bottom"/>
            <w:hideMark/>
          </w:tcPr>
          <w:p w14:paraId="462E5ACB" w14:textId="1B01205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(0.004)</w:t>
            </w:r>
          </w:p>
        </w:tc>
      </w:tr>
      <w:tr w:rsidR="00EF0377" w:rsidRPr="00BA4E61" w14:paraId="103E89D8"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60EFB024"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Commercial</w:t>
            </w:r>
          </w:p>
        </w:tc>
        <w:tc>
          <w:tcPr>
            <w:tcW w:w="1710" w:type="dxa"/>
            <w:tcBorders>
              <w:top w:val="nil"/>
              <w:left w:val="nil"/>
              <w:bottom w:val="nil"/>
              <w:right w:val="nil"/>
            </w:tcBorders>
            <w:shd w:val="clear" w:color="auto" w:fill="auto"/>
            <w:noWrap/>
            <w:vAlign w:val="bottom"/>
            <w:hideMark/>
          </w:tcPr>
          <w:p w14:paraId="6645502F" w14:textId="36DE59E0"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-0.219***</w:t>
            </w:r>
          </w:p>
        </w:tc>
        <w:tc>
          <w:tcPr>
            <w:tcW w:w="2610" w:type="dxa"/>
            <w:tcBorders>
              <w:top w:val="nil"/>
              <w:left w:val="nil"/>
              <w:bottom w:val="nil"/>
              <w:right w:val="nil"/>
            </w:tcBorders>
            <w:shd w:val="clear" w:color="auto" w:fill="auto"/>
            <w:noWrap/>
            <w:vAlign w:val="bottom"/>
            <w:hideMark/>
          </w:tcPr>
          <w:p w14:paraId="0C2205A0" w14:textId="0198959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-0.052***</w:t>
            </w:r>
          </w:p>
        </w:tc>
      </w:tr>
      <w:tr w:rsidR="00EF0377" w:rsidRPr="00BA4E61" w14:paraId="7AC7D1C5"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4A3AD838"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4E85B163" w14:textId="5DCC8B5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(0.016)</w:t>
            </w:r>
          </w:p>
        </w:tc>
        <w:tc>
          <w:tcPr>
            <w:tcW w:w="2610" w:type="dxa"/>
            <w:tcBorders>
              <w:top w:val="nil"/>
              <w:left w:val="nil"/>
              <w:bottom w:val="nil"/>
              <w:right w:val="nil"/>
            </w:tcBorders>
            <w:shd w:val="clear" w:color="auto" w:fill="auto"/>
            <w:noWrap/>
            <w:vAlign w:val="bottom"/>
            <w:hideMark/>
          </w:tcPr>
          <w:p w14:paraId="79F30305" w14:textId="34D21271"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(0.012)</w:t>
            </w:r>
          </w:p>
        </w:tc>
      </w:tr>
      <w:tr w:rsidR="00EF0377" w:rsidRPr="00BA4E61" w14:paraId="41B5B30B"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EC7759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Leverage</w:t>
            </w:r>
          </w:p>
        </w:tc>
        <w:tc>
          <w:tcPr>
            <w:tcW w:w="1710" w:type="dxa"/>
            <w:tcBorders>
              <w:top w:val="nil"/>
              <w:left w:val="nil"/>
              <w:bottom w:val="nil"/>
              <w:right w:val="nil"/>
            </w:tcBorders>
            <w:shd w:val="clear" w:color="auto" w:fill="auto"/>
            <w:noWrap/>
            <w:vAlign w:val="bottom"/>
            <w:hideMark/>
          </w:tcPr>
          <w:p w14:paraId="24F7FC67" w14:textId="5C0DC77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0.006***</w:t>
            </w:r>
          </w:p>
        </w:tc>
        <w:tc>
          <w:tcPr>
            <w:tcW w:w="2610" w:type="dxa"/>
            <w:tcBorders>
              <w:top w:val="nil"/>
              <w:left w:val="nil"/>
              <w:bottom w:val="nil"/>
              <w:right w:val="nil"/>
            </w:tcBorders>
            <w:shd w:val="clear" w:color="auto" w:fill="auto"/>
            <w:noWrap/>
            <w:vAlign w:val="bottom"/>
            <w:hideMark/>
          </w:tcPr>
          <w:p w14:paraId="589AB244" w14:textId="025DF63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0.002</w:t>
            </w:r>
          </w:p>
        </w:tc>
      </w:tr>
      <w:tr w:rsidR="00EF0377" w:rsidRPr="00BA4E61" w14:paraId="3BA2ADAB"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72A28CC0"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60FEA732" w14:textId="5D01CD2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(0.002)</w:t>
            </w:r>
          </w:p>
        </w:tc>
        <w:tc>
          <w:tcPr>
            <w:tcW w:w="2610" w:type="dxa"/>
            <w:tcBorders>
              <w:top w:val="nil"/>
              <w:left w:val="nil"/>
              <w:bottom w:val="nil"/>
              <w:right w:val="nil"/>
            </w:tcBorders>
            <w:shd w:val="clear" w:color="auto" w:fill="auto"/>
            <w:noWrap/>
            <w:vAlign w:val="bottom"/>
            <w:hideMark/>
          </w:tcPr>
          <w:p w14:paraId="24611656" w14:textId="7AE8D1E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(0.002)</w:t>
            </w:r>
          </w:p>
        </w:tc>
      </w:tr>
      <w:tr w:rsidR="00EF0377" w:rsidRPr="00BA4E61" w14:paraId="0C23A689"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6AED5D73"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HHI_lines</w:t>
            </w:r>
          </w:p>
        </w:tc>
        <w:tc>
          <w:tcPr>
            <w:tcW w:w="1710" w:type="dxa"/>
            <w:tcBorders>
              <w:top w:val="nil"/>
              <w:left w:val="nil"/>
              <w:bottom w:val="nil"/>
              <w:right w:val="nil"/>
            </w:tcBorders>
            <w:shd w:val="clear" w:color="auto" w:fill="auto"/>
            <w:noWrap/>
            <w:vAlign w:val="bottom"/>
            <w:hideMark/>
          </w:tcPr>
          <w:p w14:paraId="2F26E6EF" w14:textId="749F5BF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-0.046</w:t>
            </w:r>
          </w:p>
        </w:tc>
        <w:tc>
          <w:tcPr>
            <w:tcW w:w="2610" w:type="dxa"/>
            <w:tcBorders>
              <w:top w:val="nil"/>
              <w:left w:val="nil"/>
              <w:bottom w:val="nil"/>
              <w:right w:val="nil"/>
            </w:tcBorders>
            <w:shd w:val="clear" w:color="auto" w:fill="auto"/>
            <w:noWrap/>
            <w:vAlign w:val="bottom"/>
            <w:hideMark/>
          </w:tcPr>
          <w:p w14:paraId="027636DE" w14:textId="6493C34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0.095***</w:t>
            </w:r>
          </w:p>
        </w:tc>
      </w:tr>
      <w:tr w:rsidR="00EF0377" w:rsidRPr="00BA4E61" w14:paraId="0B0817E2"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4EB89EFA"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1BB7B90D" w14:textId="20E28AA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(0.036)</w:t>
            </w:r>
          </w:p>
        </w:tc>
        <w:tc>
          <w:tcPr>
            <w:tcW w:w="2610" w:type="dxa"/>
            <w:tcBorders>
              <w:top w:val="nil"/>
              <w:left w:val="nil"/>
              <w:bottom w:val="nil"/>
              <w:right w:val="nil"/>
            </w:tcBorders>
            <w:shd w:val="clear" w:color="auto" w:fill="auto"/>
            <w:noWrap/>
            <w:vAlign w:val="bottom"/>
            <w:hideMark/>
          </w:tcPr>
          <w:p w14:paraId="7242E2EA" w14:textId="05858B0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(0.026)</w:t>
            </w:r>
          </w:p>
        </w:tc>
      </w:tr>
      <w:tr w:rsidR="00EF0377" w:rsidRPr="00BA4E61" w14:paraId="525592C9"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088E9BB"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HHI_states</w:t>
            </w:r>
          </w:p>
        </w:tc>
        <w:tc>
          <w:tcPr>
            <w:tcW w:w="1710" w:type="dxa"/>
            <w:tcBorders>
              <w:top w:val="nil"/>
              <w:left w:val="nil"/>
              <w:bottom w:val="nil"/>
              <w:right w:val="nil"/>
            </w:tcBorders>
            <w:shd w:val="clear" w:color="auto" w:fill="auto"/>
            <w:noWrap/>
            <w:vAlign w:val="bottom"/>
            <w:hideMark/>
          </w:tcPr>
          <w:p w14:paraId="2F7B805A" w14:textId="3C871E17"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0.050**</w:t>
            </w:r>
          </w:p>
        </w:tc>
        <w:tc>
          <w:tcPr>
            <w:tcW w:w="2610" w:type="dxa"/>
            <w:tcBorders>
              <w:top w:val="nil"/>
              <w:left w:val="nil"/>
              <w:bottom w:val="nil"/>
              <w:right w:val="nil"/>
            </w:tcBorders>
            <w:shd w:val="clear" w:color="auto" w:fill="auto"/>
            <w:noWrap/>
            <w:vAlign w:val="bottom"/>
            <w:hideMark/>
          </w:tcPr>
          <w:p w14:paraId="2FF7D93C" w14:textId="048A399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0.010</w:t>
            </w:r>
          </w:p>
        </w:tc>
      </w:tr>
      <w:tr w:rsidR="00EF0377" w:rsidRPr="00BA4E61" w14:paraId="0FD99679"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37ED0781"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1B45BB94" w14:textId="4C35E6F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(0.022)</w:t>
            </w:r>
          </w:p>
        </w:tc>
        <w:tc>
          <w:tcPr>
            <w:tcW w:w="2610" w:type="dxa"/>
            <w:tcBorders>
              <w:top w:val="nil"/>
              <w:left w:val="nil"/>
              <w:bottom w:val="nil"/>
              <w:right w:val="nil"/>
            </w:tcBorders>
            <w:shd w:val="clear" w:color="auto" w:fill="auto"/>
            <w:noWrap/>
            <w:vAlign w:val="bottom"/>
            <w:hideMark/>
          </w:tcPr>
          <w:p w14:paraId="5D39DCD4" w14:textId="37C1AB1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(0.016)</w:t>
            </w:r>
          </w:p>
        </w:tc>
      </w:tr>
      <w:tr w:rsidR="00EF0377" w:rsidRPr="00BA4E61" w14:paraId="6C0F2EAF"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296E5130"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Group</w:t>
            </w:r>
          </w:p>
        </w:tc>
        <w:tc>
          <w:tcPr>
            <w:tcW w:w="1710" w:type="dxa"/>
            <w:tcBorders>
              <w:top w:val="nil"/>
              <w:left w:val="nil"/>
              <w:bottom w:val="nil"/>
              <w:right w:val="nil"/>
            </w:tcBorders>
            <w:shd w:val="clear" w:color="auto" w:fill="auto"/>
            <w:noWrap/>
            <w:vAlign w:val="bottom"/>
            <w:hideMark/>
          </w:tcPr>
          <w:p w14:paraId="082D5EE1" w14:textId="4B33135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0.035*</w:t>
            </w:r>
          </w:p>
        </w:tc>
        <w:tc>
          <w:tcPr>
            <w:tcW w:w="2610" w:type="dxa"/>
            <w:tcBorders>
              <w:top w:val="nil"/>
              <w:left w:val="nil"/>
              <w:bottom w:val="nil"/>
              <w:right w:val="nil"/>
            </w:tcBorders>
            <w:shd w:val="clear" w:color="auto" w:fill="auto"/>
            <w:noWrap/>
            <w:vAlign w:val="bottom"/>
            <w:hideMark/>
          </w:tcPr>
          <w:p w14:paraId="4F9D994E" w14:textId="4C94200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0.037***</w:t>
            </w:r>
          </w:p>
        </w:tc>
      </w:tr>
      <w:tr w:rsidR="00EF0377" w:rsidRPr="00BA4E61" w14:paraId="6CAC6CB5"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1D7ED840"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263ADFA6" w14:textId="6ED9D8A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(0.018)</w:t>
            </w:r>
          </w:p>
        </w:tc>
        <w:tc>
          <w:tcPr>
            <w:tcW w:w="2610" w:type="dxa"/>
            <w:tcBorders>
              <w:top w:val="nil"/>
              <w:left w:val="nil"/>
              <w:bottom w:val="nil"/>
              <w:right w:val="nil"/>
            </w:tcBorders>
            <w:shd w:val="clear" w:color="auto" w:fill="auto"/>
            <w:noWrap/>
            <w:vAlign w:val="bottom"/>
            <w:hideMark/>
          </w:tcPr>
          <w:p w14:paraId="3BA2B953" w14:textId="3F2C575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(0.013)</w:t>
            </w:r>
          </w:p>
        </w:tc>
      </w:tr>
      <w:tr w:rsidR="00EF0377" w:rsidRPr="00BA4E61" w14:paraId="7A3FBBCF"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2DD34781"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Stock</w:t>
            </w:r>
          </w:p>
        </w:tc>
        <w:tc>
          <w:tcPr>
            <w:tcW w:w="1710" w:type="dxa"/>
            <w:tcBorders>
              <w:top w:val="nil"/>
              <w:left w:val="nil"/>
              <w:bottom w:val="nil"/>
              <w:right w:val="nil"/>
            </w:tcBorders>
            <w:shd w:val="clear" w:color="auto" w:fill="auto"/>
            <w:noWrap/>
            <w:vAlign w:val="bottom"/>
            <w:hideMark/>
          </w:tcPr>
          <w:p w14:paraId="1D6ADB22" w14:textId="386BB96E"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-0.029**</w:t>
            </w:r>
          </w:p>
        </w:tc>
        <w:tc>
          <w:tcPr>
            <w:tcW w:w="2610" w:type="dxa"/>
            <w:tcBorders>
              <w:top w:val="nil"/>
              <w:left w:val="nil"/>
              <w:bottom w:val="nil"/>
              <w:right w:val="nil"/>
            </w:tcBorders>
            <w:shd w:val="clear" w:color="auto" w:fill="auto"/>
            <w:noWrap/>
            <w:vAlign w:val="bottom"/>
            <w:hideMark/>
          </w:tcPr>
          <w:p w14:paraId="276574D4" w14:textId="2705B567"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-0.034***</w:t>
            </w:r>
          </w:p>
        </w:tc>
      </w:tr>
      <w:tr w:rsidR="00EF0377" w:rsidRPr="00BA4E61" w14:paraId="779C4BAC"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7A14E962"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0F4A581B" w14:textId="080828ED"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(0.013)</w:t>
            </w:r>
          </w:p>
        </w:tc>
        <w:tc>
          <w:tcPr>
            <w:tcW w:w="2610" w:type="dxa"/>
            <w:tcBorders>
              <w:top w:val="nil"/>
              <w:left w:val="nil"/>
              <w:bottom w:val="nil"/>
              <w:right w:val="nil"/>
            </w:tcBorders>
            <w:shd w:val="clear" w:color="auto" w:fill="auto"/>
            <w:noWrap/>
            <w:vAlign w:val="bottom"/>
            <w:hideMark/>
          </w:tcPr>
          <w:p w14:paraId="3222AEE5" w14:textId="4F44A1A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(0.010)</w:t>
            </w:r>
          </w:p>
        </w:tc>
      </w:tr>
      <w:tr w:rsidR="00EF0377" w:rsidRPr="00BA4E61" w14:paraId="244063F5"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42100670"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IndependentAgency</w:t>
            </w:r>
          </w:p>
        </w:tc>
        <w:tc>
          <w:tcPr>
            <w:tcW w:w="1710" w:type="dxa"/>
            <w:tcBorders>
              <w:top w:val="nil"/>
              <w:left w:val="nil"/>
              <w:bottom w:val="nil"/>
              <w:right w:val="nil"/>
            </w:tcBorders>
            <w:shd w:val="clear" w:color="auto" w:fill="auto"/>
            <w:noWrap/>
            <w:vAlign w:val="bottom"/>
            <w:hideMark/>
          </w:tcPr>
          <w:p w14:paraId="7BD3C163" w14:textId="04A158C2"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0.008</w:t>
            </w:r>
          </w:p>
        </w:tc>
        <w:tc>
          <w:tcPr>
            <w:tcW w:w="2610" w:type="dxa"/>
            <w:tcBorders>
              <w:top w:val="nil"/>
              <w:left w:val="nil"/>
              <w:bottom w:val="nil"/>
              <w:right w:val="nil"/>
            </w:tcBorders>
            <w:shd w:val="clear" w:color="auto" w:fill="auto"/>
            <w:noWrap/>
            <w:vAlign w:val="bottom"/>
            <w:hideMark/>
          </w:tcPr>
          <w:p w14:paraId="05AEF6D8" w14:textId="12D8071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-0.006</w:t>
            </w:r>
          </w:p>
        </w:tc>
      </w:tr>
      <w:tr w:rsidR="00EF0377" w:rsidRPr="00BA4E61" w14:paraId="28B3763B"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5477D47"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329DED60" w14:textId="05CA35C6"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(0.013)</w:t>
            </w:r>
          </w:p>
        </w:tc>
        <w:tc>
          <w:tcPr>
            <w:tcW w:w="2610" w:type="dxa"/>
            <w:tcBorders>
              <w:top w:val="nil"/>
              <w:left w:val="nil"/>
              <w:bottom w:val="nil"/>
              <w:right w:val="nil"/>
            </w:tcBorders>
            <w:shd w:val="clear" w:color="auto" w:fill="auto"/>
            <w:noWrap/>
            <w:vAlign w:val="bottom"/>
            <w:hideMark/>
          </w:tcPr>
          <w:p w14:paraId="6FA85AE2" w14:textId="259ECF0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(0.010)</w:t>
            </w:r>
          </w:p>
        </w:tc>
      </w:tr>
      <w:tr w:rsidR="00EF0377" w:rsidRPr="00BA4E61" w14:paraId="1B640C2C"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07CB7F18"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PubliclyTraded</w:t>
            </w:r>
          </w:p>
        </w:tc>
        <w:tc>
          <w:tcPr>
            <w:tcW w:w="1710" w:type="dxa"/>
            <w:tcBorders>
              <w:top w:val="nil"/>
              <w:left w:val="nil"/>
              <w:bottom w:val="nil"/>
              <w:right w:val="nil"/>
            </w:tcBorders>
            <w:shd w:val="clear" w:color="auto" w:fill="auto"/>
            <w:noWrap/>
            <w:vAlign w:val="bottom"/>
            <w:hideMark/>
          </w:tcPr>
          <w:p w14:paraId="24D75E0A" w14:textId="2001D3F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0.098***</w:t>
            </w:r>
          </w:p>
        </w:tc>
        <w:tc>
          <w:tcPr>
            <w:tcW w:w="2610" w:type="dxa"/>
            <w:tcBorders>
              <w:top w:val="nil"/>
              <w:left w:val="nil"/>
              <w:bottom w:val="nil"/>
              <w:right w:val="nil"/>
            </w:tcBorders>
            <w:shd w:val="clear" w:color="auto" w:fill="auto"/>
            <w:noWrap/>
            <w:vAlign w:val="bottom"/>
            <w:hideMark/>
          </w:tcPr>
          <w:p w14:paraId="753F6073" w14:textId="3AA53A9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0.020</w:t>
            </w:r>
          </w:p>
        </w:tc>
      </w:tr>
      <w:tr w:rsidR="00EF0377" w:rsidRPr="00BA4E61" w14:paraId="529FA0C2"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6833B924"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23528D05" w14:textId="1C5123DF"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(0.034)</w:t>
            </w:r>
          </w:p>
        </w:tc>
        <w:tc>
          <w:tcPr>
            <w:tcW w:w="2610" w:type="dxa"/>
            <w:tcBorders>
              <w:top w:val="nil"/>
              <w:left w:val="nil"/>
              <w:bottom w:val="nil"/>
              <w:right w:val="nil"/>
            </w:tcBorders>
            <w:shd w:val="clear" w:color="auto" w:fill="auto"/>
            <w:noWrap/>
            <w:vAlign w:val="bottom"/>
            <w:hideMark/>
          </w:tcPr>
          <w:p w14:paraId="30F8C4B8" w14:textId="138C665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(0.016)</w:t>
            </w:r>
          </w:p>
        </w:tc>
      </w:tr>
      <w:tr w:rsidR="00EF0377" w:rsidRPr="00BA4E61" w14:paraId="2A4DBDF1"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0E70B1E"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Reinsurance</w:t>
            </w:r>
          </w:p>
        </w:tc>
        <w:tc>
          <w:tcPr>
            <w:tcW w:w="1710" w:type="dxa"/>
            <w:tcBorders>
              <w:top w:val="nil"/>
              <w:left w:val="nil"/>
              <w:bottom w:val="nil"/>
              <w:right w:val="nil"/>
            </w:tcBorders>
            <w:shd w:val="clear" w:color="auto" w:fill="auto"/>
            <w:noWrap/>
            <w:vAlign w:val="bottom"/>
            <w:hideMark/>
          </w:tcPr>
          <w:p w14:paraId="4AA2532B" w14:textId="4C279AF3"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0.012***</w:t>
            </w:r>
          </w:p>
        </w:tc>
        <w:tc>
          <w:tcPr>
            <w:tcW w:w="2610" w:type="dxa"/>
            <w:tcBorders>
              <w:top w:val="nil"/>
              <w:left w:val="nil"/>
              <w:bottom w:val="nil"/>
              <w:right w:val="nil"/>
            </w:tcBorders>
            <w:shd w:val="clear" w:color="auto" w:fill="auto"/>
            <w:noWrap/>
            <w:vAlign w:val="bottom"/>
            <w:hideMark/>
          </w:tcPr>
          <w:p w14:paraId="505D6738" w14:textId="3954B48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bCs/>
                <w:color w:val="000000"/>
                <w:szCs w:val="24"/>
              </w:rPr>
              <w:t>0.010***</w:t>
            </w:r>
          </w:p>
        </w:tc>
      </w:tr>
      <w:tr w:rsidR="00EF0377" w:rsidRPr="00BA4E61" w14:paraId="3A366048"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037C7DED"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59F7A97D" w14:textId="2BA950D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(0.004)</w:t>
            </w:r>
          </w:p>
        </w:tc>
        <w:tc>
          <w:tcPr>
            <w:tcW w:w="2610" w:type="dxa"/>
            <w:tcBorders>
              <w:top w:val="nil"/>
              <w:left w:val="nil"/>
              <w:bottom w:val="nil"/>
              <w:right w:val="nil"/>
            </w:tcBorders>
            <w:shd w:val="clear" w:color="auto" w:fill="auto"/>
            <w:noWrap/>
            <w:vAlign w:val="bottom"/>
            <w:hideMark/>
          </w:tcPr>
          <w:p w14:paraId="0D2E09B0" w14:textId="3F001C9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(0.003)</w:t>
            </w:r>
          </w:p>
        </w:tc>
      </w:tr>
      <w:tr w:rsidR="00EF0377" w:rsidRPr="00BA4E61" w14:paraId="6E7D790E"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3187E99"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Advertising</w:t>
            </w:r>
          </w:p>
        </w:tc>
        <w:tc>
          <w:tcPr>
            <w:tcW w:w="1710" w:type="dxa"/>
            <w:tcBorders>
              <w:top w:val="nil"/>
              <w:left w:val="nil"/>
              <w:bottom w:val="nil"/>
              <w:right w:val="nil"/>
            </w:tcBorders>
            <w:shd w:val="clear" w:color="auto" w:fill="auto"/>
            <w:noWrap/>
            <w:vAlign w:val="bottom"/>
            <w:hideMark/>
          </w:tcPr>
          <w:p w14:paraId="6DBDA89E" w14:textId="213F4BA9"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0.281</w:t>
            </w:r>
          </w:p>
        </w:tc>
        <w:tc>
          <w:tcPr>
            <w:tcW w:w="2610" w:type="dxa"/>
            <w:tcBorders>
              <w:top w:val="nil"/>
              <w:left w:val="nil"/>
              <w:bottom w:val="nil"/>
              <w:right w:val="nil"/>
            </w:tcBorders>
            <w:shd w:val="clear" w:color="auto" w:fill="auto"/>
            <w:noWrap/>
            <w:vAlign w:val="bottom"/>
            <w:hideMark/>
          </w:tcPr>
          <w:p w14:paraId="1FFAAAF7" w14:textId="69EA428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0.192</w:t>
            </w:r>
          </w:p>
        </w:tc>
      </w:tr>
      <w:tr w:rsidR="00EF0377" w:rsidRPr="00BA4E61" w14:paraId="7C66E73A"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5E99F82F"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53D304B4" w14:textId="521382EB"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(0.355)</w:t>
            </w:r>
          </w:p>
        </w:tc>
        <w:tc>
          <w:tcPr>
            <w:tcW w:w="2610" w:type="dxa"/>
            <w:tcBorders>
              <w:top w:val="nil"/>
              <w:left w:val="nil"/>
              <w:bottom w:val="nil"/>
              <w:right w:val="nil"/>
            </w:tcBorders>
            <w:shd w:val="clear" w:color="auto" w:fill="auto"/>
            <w:noWrap/>
            <w:vAlign w:val="bottom"/>
            <w:hideMark/>
          </w:tcPr>
          <w:p w14:paraId="6168613A" w14:textId="76A3AE08"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(0.258)</w:t>
            </w:r>
          </w:p>
        </w:tc>
      </w:tr>
      <w:tr w:rsidR="00EF0377" w:rsidRPr="00BA4E61" w14:paraId="26EBEB2A"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12C19143"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Surveys &amp; Audits</w:t>
            </w:r>
          </w:p>
        </w:tc>
        <w:tc>
          <w:tcPr>
            <w:tcW w:w="1710" w:type="dxa"/>
            <w:tcBorders>
              <w:top w:val="nil"/>
              <w:left w:val="nil"/>
              <w:bottom w:val="nil"/>
              <w:right w:val="nil"/>
            </w:tcBorders>
            <w:shd w:val="clear" w:color="auto" w:fill="auto"/>
            <w:noWrap/>
            <w:vAlign w:val="bottom"/>
            <w:hideMark/>
          </w:tcPr>
          <w:p w14:paraId="26EE6E1D" w14:textId="5BD07CD1"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0.152</w:t>
            </w:r>
          </w:p>
        </w:tc>
        <w:tc>
          <w:tcPr>
            <w:tcW w:w="2610" w:type="dxa"/>
            <w:tcBorders>
              <w:top w:val="nil"/>
              <w:left w:val="nil"/>
              <w:bottom w:val="nil"/>
              <w:right w:val="nil"/>
            </w:tcBorders>
            <w:shd w:val="clear" w:color="auto" w:fill="auto"/>
            <w:noWrap/>
            <w:vAlign w:val="bottom"/>
            <w:hideMark/>
          </w:tcPr>
          <w:p w14:paraId="24031FE9" w14:textId="0ED25A6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0.227</w:t>
            </w:r>
          </w:p>
        </w:tc>
      </w:tr>
      <w:tr w:rsidR="00EF0377" w:rsidRPr="00BA4E61" w14:paraId="620B4D73"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43A9629B"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54389E90" w14:textId="2B638D3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(0.261)</w:t>
            </w:r>
          </w:p>
        </w:tc>
        <w:tc>
          <w:tcPr>
            <w:tcW w:w="2610" w:type="dxa"/>
            <w:tcBorders>
              <w:top w:val="nil"/>
              <w:left w:val="nil"/>
              <w:bottom w:val="nil"/>
              <w:right w:val="nil"/>
            </w:tcBorders>
            <w:shd w:val="clear" w:color="auto" w:fill="auto"/>
            <w:noWrap/>
            <w:vAlign w:val="bottom"/>
            <w:hideMark/>
          </w:tcPr>
          <w:p w14:paraId="1B27D461" w14:textId="70F3C965"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(0.208)</w:t>
            </w:r>
          </w:p>
        </w:tc>
      </w:tr>
      <w:tr w:rsidR="00EF0377" w:rsidRPr="00BA4E61" w14:paraId="33BCC9D5"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66A7282A"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_cons</w:t>
            </w:r>
          </w:p>
        </w:tc>
        <w:tc>
          <w:tcPr>
            <w:tcW w:w="1710" w:type="dxa"/>
            <w:tcBorders>
              <w:top w:val="nil"/>
              <w:left w:val="nil"/>
              <w:bottom w:val="nil"/>
              <w:right w:val="nil"/>
            </w:tcBorders>
            <w:shd w:val="clear" w:color="auto" w:fill="auto"/>
            <w:noWrap/>
            <w:vAlign w:val="bottom"/>
            <w:hideMark/>
          </w:tcPr>
          <w:p w14:paraId="35BCC8F9" w14:textId="434FAD37"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3.543***</w:t>
            </w:r>
          </w:p>
        </w:tc>
        <w:tc>
          <w:tcPr>
            <w:tcW w:w="2610" w:type="dxa"/>
            <w:tcBorders>
              <w:top w:val="nil"/>
              <w:left w:val="nil"/>
              <w:bottom w:val="nil"/>
              <w:right w:val="nil"/>
            </w:tcBorders>
            <w:shd w:val="clear" w:color="auto" w:fill="auto"/>
            <w:noWrap/>
            <w:vAlign w:val="bottom"/>
            <w:hideMark/>
          </w:tcPr>
          <w:p w14:paraId="2676B9A6" w14:textId="551F7C16"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4.749***</w:t>
            </w:r>
          </w:p>
        </w:tc>
      </w:tr>
      <w:tr w:rsidR="00EF0377" w:rsidRPr="00BA4E61" w14:paraId="6C0B5903" w14:textId="77777777" w:rsidTr="0094421C">
        <w:trPr>
          <w:trHeight w:val="310"/>
          <w:jc w:val="center"/>
        </w:trPr>
        <w:tc>
          <w:tcPr>
            <w:tcW w:w="2700" w:type="dxa"/>
            <w:tcBorders>
              <w:top w:val="nil"/>
              <w:left w:val="nil"/>
              <w:bottom w:val="nil"/>
              <w:right w:val="nil"/>
            </w:tcBorders>
            <w:shd w:val="clear" w:color="auto" w:fill="auto"/>
            <w:noWrap/>
            <w:vAlign w:val="bottom"/>
            <w:hideMark/>
          </w:tcPr>
          <w:p w14:paraId="6C97B084" w14:textId="77777777" w:rsidR="00EF0377" w:rsidRPr="00940704" w:rsidRDefault="00EF0377" w:rsidP="00EF0377">
            <w:pPr>
              <w:spacing w:line="240" w:lineRule="auto"/>
              <w:ind w:firstLine="0"/>
              <w:jc w:val="right"/>
              <w:rPr>
                <w:rFonts w:eastAsia="Times New Roman" w:cs="Times New Roman"/>
                <w:color w:val="000000"/>
                <w:szCs w:val="24"/>
              </w:rPr>
            </w:pPr>
          </w:p>
        </w:tc>
        <w:tc>
          <w:tcPr>
            <w:tcW w:w="1710" w:type="dxa"/>
            <w:tcBorders>
              <w:top w:val="nil"/>
              <w:left w:val="nil"/>
              <w:bottom w:val="nil"/>
              <w:right w:val="nil"/>
            </w:tcBorders>
            <w:shd w:val="clear" w:color="auto" w:fill="auto"/>
            <w:noWrap/>
            <w:vAlign w:val="bottom"/>
            <w:hideMark/>
          </w:tcPr>
          <w:p w14:paraId="125BA461" w14:textId="6ECC5E8A"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(0.096)</w:t>
            </w:r>
          </w:p>
        </w:tc>
        <w:tc>
          <w:tcPr>
            <w:tcW w:w="2610" w:type="dxa"/>
            <w:tcBorders>
              <w:top w:val="nil"/>
              <w:left w:val="nil"/>
              <w:bottom w:val="nil"/>
              <w:right w:val="nil"/>
            </w:tcBorders>
            <w:shd w:val="clear" w:color="auto" w:fill="auto"/>
            <w:noWrap/>
            <w:vAlign w:val="bottom"/>
            <w:hideMark/>
          </w:tcPr>
          <w:p w14:paraId="60BDCA6B" w14:textId="74BB7EF4"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(0.078)</w:t>
            </w:r>
          </w:p>
        </w:tc>
      </w:tr>
      <w:tr w:rsidR="00EF0377" w:rsidRPr="00BA4E61" w14:paraId="5277082C" w14:textId="77777777" w:rsidTr="0094421C">
        <w:trPr>
          <w:trHeight w:val="310"/>
          <w:jc w:val="center"/>
        </w:trPr>
        <w:tc>
          <w:tcPr>
            <w:tcW w:w="2700" w:type="dxa"/>
            <w:tcBorders>
              <w:top w:val="nil"/>
              <w:left w:val="nil"/>
              <w:bottom w:val="single" w:sz="4" w:space="0" w:color="auto"/>
              <w:right w:val="nil"/>
            </w:tcBorders>
            <w:shd w:val="clear" w:color="auto" w:fill="auto"/>
            <w:noWrap/>
            <w:vAlign w:val="bottom"/>
            <w:hideMark/>
          </w:tcPr>
          <w:p w14:paraId="0A62C8BF"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N</w:t>
            </w:r>
          </w:p>
        </w:tc>
        <w:tc>
          <w:tcPr>
            <w:tcW w:w="1710" w:type="dxa"/>
            <w:tcBorders>
              <w:top w:val="nil"/>
              <w:left w:val="nil"/>
              <w:bottom w:val="single" w:sz="4" w:space="0" w:color="auto"/>
              <w:right w:val="nil"/>
            </w:tcBorders>
            <w:shd w:val="clear" w:color="auto" w:fill="auto"/>
            <w:noWrap/>
            <w:vAlign w:val="bottom"/>
            <w:hideMark/>
          </w:tcPr>
          <w:p w14:paraId="0ABBF638" w14:textId="6BCA99CC"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6715</w:t>
            </w:r>
          </w:p>
        </w:tc>
        <w:tc>
          <w:tcPr>
            <w:tcW w:w="2610" w:type="dxa"/>
            <w:tcBorders>
              <w:top w:val="nil"/>
              <w:left w:val="nil"/>
              <w:bottom w:val="single" w:sz="4" w:space="0" w:color="auto"/>
              <w:right w:val="nil"/>
            </w:tcBorders>
            <w:shd w:val="clear" w:color="auto" w:fill="auto"/>
            <w:noWrap/>
            <w:vAlign w:val="bottom"/>
            <w:hideMark/>
          </w:tcPr>
          <w:p w14:paraId="67E189F9" w14:textId="4D1E9FB4" w:rsidR="00EF0377" w:rsidRPr="00EF0377" w:rsidRDefault="00EF0377" w:rsidP="00EF0377">
            <w:pPr>
              <w:spacing w:line="240" w:lineRule="auto"/>
              <w:ind w:firstLine="0"/>
              <w:jc w:val="right"/>
              <w:rPr>
                <w:rFonts w:eastAsia="Times New Roman" w:cs="Times New Roman"/>
                <w:color w:val="000000"/>
                <w:szCs w:val="24"/>
              </w:rPr>
            </w:pPr>
            <w:r w:rsidRPr="00EF0377">
              <w:rPr>
                <w:rFonts w:cs="Times New Roman"/>
                <w:color w:val="000000"/>
                <w:szCs w:val="24"/>
              </w:rPr>
              <w:t>6759</w:t>
            </w:r>
          </w:p>
        </w:tc>
      </w:tr>
    </w:tbl>
    <w:p w14:paraId="3B815D58" w14:textId="77777777" w:rsidR="00326E5D" w:rsidRPr="00940704" w:rsidRDefault="00326E5D" w:rsidP="004773D8">
      <w:pPr>
        <w:spacing w:line="240" w:lineRule="auto"/>
        <w:ind w:firstLine="0"/>
        <w:rPr>
          <w:rFonts w:cs="Times New Roman"/>
          <w:sz w:val="20"/>
          <w:szCs w:val="24"/>
        </w:rPr>
      </w:pPr>
      <w:r w:rsidRPr="00940704">
        <w:rPr>
          <w:rFonts w:cs="Times New Roman"/>
          <w:sz w:val="20"/>
          <w:szCs w:val="24"/>
        </w:rPr>
        <w:t>*Note: Statistical significance at the 1, 5, and 10 percent levels are denoted by ***, **, and * respectively.</w:t>
      </w:r>
    </w:p>
    <w:p w14:paraId="1547EFF1" w14:textId="77777777" w:rsidR="00940704" w:rsidRPr="00940704" w:rsidRDefault="00326E5D" w:rsidP="00940704">
      <w:pPr>
        <w:spacing w:line="240" w:lineRule="auto"/>
        <w:ind w:firstLine="0"/>
        <w:rPr>
          <w:rFonts w:cs="Times New Roman"/>
          <w:sz w:val="20"/>
        </w:rPr>
        <w:sectPr w:rsidR="00940704" w:rsidRPr="00940704" w:rsidSect="00477C34">
          <w:footerReference w:type="default" r:id="rId12"/>
          <w:pgSz w:w="12240" w:h="15840" w:code="1"/>
          <w:pgMar w:top="1440" w:right="1440" w:bottom="1080" w:left="1440" w:header="720" w:footer="432" w:gutter="0"/>
          <w:cols w:space="720"/>
          <w:docGrid w:linePitch="360"/>
        </w:sectPr>
      </w:pPr>
      <w:r w:rsidRPr="00940704">
        <w:rPr>
          <w:rFonts w:cs="Times New Roman"/>
          <w:sz w:val="20"/>
          <w:szCs w:val="24"/>
        </w:rPr>
        <w:t xml:space="preserve">* UseCont equals 1 if an insurer pays any contingent commissions, and 0 otherwise; </w:t>
      </w:r>
      <w:r w:rsidRPr="00940704">
        <w:rPr>
          <w:rFonts w:cs="Times New Roman"/>
          <w:sz w:val="20"/>
        </w:rPr>
        <w:t xml:space="preserve">Firm size is measured as natural logarithm of total admitted assets; Commercial lines of business is measured by proportion of net premiums written in commercial lines of business; </w:t>
      </w:r>
      <w:r w:rsidRPr="00940704">
        <w:rPr>
          <w:sz w:val="20"/>
        </w:rPr>
        <w:t xml:space="preserve">Leverage is measured as ratio of liabilities to surplus; </w:t>
      </w:r>
      <w:r w:rsidRPr="00940704">
        <w:rPr>
          <w:rFonts w:cs="Times New Roman"/>
          <w:sz w:val="20"/>
        </w:rPr>
        <w:t xml:space="preserve">HHI_lines is Herfindahl index of premiums written by business lines; HHI_states is Herfindahl index of premiums written by states; Group member indicator is equal to one if the insurer is identified as a group by AM Best; Stock insurer dummy equals to one if the insurer is a stock company and zero otherwise; Independent agency indicator is equal to one if the insurer is identified as independent agency or broker by AM Best; Publicly traded indicator is  equal to one if the insurer is identified as being publicly traded by AM Best; Advertising   is measured as the ratio of advertising expenditures to net premiums written; Surveys &amp; Audits  is measured as the ratio of  expenditure on surveys and audits to net premiums written; </w:t>
      </w:r>
      <w:r w:rsidR="00940704" w:rsidRPr="00940704">
        <w:rPr>
          <w:rFonts w:cs="Times New Roman"/>
          <w:sz w:val="20"/>
        </w:rPr>
        <w:t xml:space="preserve">Reinsurance is measured  as </w:t>
      </w:r>
      <w:r w:rsidR="00940704" w:rsidRPr="00940704">
        <w:rPr>
          <w:sz w:val="20"/>
        </w:rPr>
        <w:t>premiums ceded divided by direct premiums written plus reinsurance assumed</w:t>
      </w:r>
      <w:r w:rsidR="00940704" w:rsidRPr="00940704">
        <w:rPr>
          <w:rFonts w:cs="Times New Roman"/>
          <w:sz w:val="20"/>
        </w:rPr>
        <w:t>.</w:t>
      </w:r>
    </w:p>
    <w:tbl>
      <w:tblPr>
        <w:tblW w:w="8820" w:type="dxa"/>
        <w:jc w:val="center"/>
        <w:tblLook w:val="04A0" w:firstRow="1" w:lastRow="0" w:firstColumn="1" w:lastColumn="0" w:noHBand="0" w:noVBand="1"/>
      </w:tblPr>
      <w:tblGrid>
        <w:gridCol w:w="2357"/>
        <w:gridCol w:w="1243"/>
        <w:gridCol w:w="2790"/>
        <w:gridCol w:w="2430"/>
      </w:tblGrid>
      <w:tr w:rsidR="00EF0377" w:rsidRPr="00B46AD5" w14:paraId="47296740" w14:textId="3C546ACE" w:rsidTr="009C01FD">
        <w:trPr>
          <w:trHeight w:val="310"/>
          <w:jc w:val="center"/>
        </w:trPr>
        <w:tc>
          <w:tcPr>
            <w:tcW w:w="8820" w:type="dxa"/>
            <w:gridSpan w:val="4"/>
            <w:tcBorders>
              <w:top w:val="nil"/>
              <w:left w:val="nil"/>
              <w:bottom w:val="nil"/>
              <w:right w:val="nil"/>
            </w:tcBorders>
            <w:shd w:val="clear" w:color="auto" w:fill="auto"/>
            <w:noWrap/>
            <w:vAlign w:val="bottom"/>
            <w:hideMark/>
          </w:tcPr>
          <w:p w14:paraId="0D9244DE" w14:textId="29D22ECB" w:rsidR="00EF0377" w:rsidRPr="00B46AD5" w:rsidRDefault="00EF0377" w:rsidP="00F57DCD">
            <w:pPr>
              <w:spacing w:line="240" w:lineRule="auto"/>
              <w:ind w:firstLine="0"/>
              <w:jc w:val="center"/>
              <w:rPr>
                <w:rFonts w:eastAsia="Times New Roman" w:cs="Times New Roman"/>
                <w:b/>
                <w:bCs/>
                <w:color w:val="000000"/>
                <w:szCs w:val="24"/>
              </w:rPr>
            </w:pPr>
            <w:r w:rsidRPr="00B46AD5">
              <w:rPr>
                <w:rFonts w:eastAsia="Times New Roman" w:cs="Times New Roman"/>
                <w:b/>
                <w:bCs/>
                <w:color w:val="000000"/>
                <w:szCs w:val="24"/>
              </w:rPr>
              <w:lastRenderedPageBreak/>
              <w:t>Table 5</w:t>
            </w:r>
          </w:p>
        </w:tc>
      </w:tr>
      <w:tr w:rsidR="00EF0377" w:rsidRPr="00B46AD5" w14:paraId="11D7A107" w14:textId="3F68BEEE" w:rsidTr="009C01FD">
        <w:trPr>
          <w:trHeight w:val="310"/>
          <w:jc w:val="center"/>
        </w:trPr>
        <w:tc>
          <w:tcPr>
            <w:tcW w:w="8820" w:type="dxa"/>
            <w:gridSpan w:val="4"/>
            <w:tcBorders>
              <w:top w:val="nil"/>
              <w:left w:val="nil"/>
              <w:bottom w:val="single" w:sz="4" w:space="0" w:color="auto"/>
              <w:right w:val="nil"/>
            </w:tcBorders>
            <w:shd w:val="clear" w:color="auto" w:fill="auto"/>
            <w:noWrap/>
            <w:vAlign w:val="bottom"/>
            <w:hideMark/>
          </w:tcPr>
          <w:p w14:paraId="307198D6" w14:textId="785B5A1A" w:rsidR="00EF0377" w:rsidRPr="00B46AD5" w:rsidRDefault="00EF0377" w:rsidP="0094421C">
            <w:pPr>
              <w:spacing w:line="240" w:lineRule="auto"/>
              <w:ind w:firstLine="0"/>
              <w:jc w:val="center"/>
              <w:rPr>
                <w:rFonts w:eastAsia="Times New Roman" w:cs="Times New Roman"/>
                <w:b/>
                <w:bCs/>
                <w:color w:val="000000"/>
                <w:szCs w:val="24"/>
              </w:rPr>
            </w:pPr>
            <w:r w:rsidRPr="00B46AD5">
              <w:rPr>
                <w:rFonts w:eastAsia="Times New Roman" w:cs="Times New Roman"/>
                <w:b/>
                <w:bCs/>
                <w:color w:val="000000"/>
                <w:szCs w:val="24"/>
              </w:rPr>
              <w:t xml:space="preserve">Regression Results with </w:t>
            </w:r>
            <w:r>
              <w:rPr>
                <w:rFonts w:eastAsia="Times New Roman" w:cs="Times New Roman"/>
                <w:b/>
                <w:bCs/>
                <w:color w:val="000000"/>
                <w:szCs w:val="24"/>
              </w:rPr>
              <w:t>Contingent Commission Proportion</w:t>
            </w:r>
          </w:p>
        </w:tc>
      </w:tr>
      <w:tr w:rsidR="00EF0377" w:rsidRPr="00B46AD5" w14:paraId="08E2EB73" w14:textId="1101248F" w:rsidTr="009C01FD">
        <w:trPr>
          <w:trHeight w:val="610"/>
          <w:jc w:val="center"/>
        </w:trPr>
        <w:tc>
          <w:tcPr>
            <w:tcW w:w="2357" w:type="dxa"/>
            <w:tcBorders>
              <w:top w:val="nil"/>
              <w:left w:val="nil"/>
              <w:bottom w:val="single" w:sz="4" w:space="0" w:color="auto"/>
              <w:right w:val="nil"/>
            </w:tcBorders>
            <w:shd w:val="clear" w:color="auto" w:fill="auto"/>
            <w:vAlign w:val="bottom"/>
            <w:hideMark/>
          </w:tcPr>
          <w:p w14:paraId="18495141" w14:textId="77777777" w:rsidR="00EF0377" w:rsidRPr="00B46AD5" w:rsidRDefault="00EF0377" w:rsidP="00F57DCD">
            <w:pPr>
              <w:spacing w:line="240" w:lineRule="auto"/>
              <w:ind w:firstLine="0"/>
              <w:jc w:val="left"/>
              <w:rPr>
                <w:rFonts w:eastAsia="Times New Roman" w:cs="Times New Roman"/>
                <w:b/>
                <w:bCs/>
                <w:color w:val="000000"/>
                <w:szCs w:val="24"/>
              </w:rPr>
            </w:pPr>
            <w:r w:rsidRPr="00B46AD5">
              <w:rPr>
                <w:rFonts w:eastAsia="Times New Roman" w:cs="Times New Roman"/>
                <w:b/>
                <w:bCs/>
                <w:color w:val="000000"/>
                <w:szCs w:val="24"/>
              </w:rPr>
              <w:t>Independent Variables</w:t>
            </w:r>
          </w:p>
        </w:tc>
        <w:tc>
          <w:tcPr>
            <w:tcW w:w="1243" w:type="dxa"/>
            <w:tcBorders>
              <w:top w:val="nil"/>
              <w:left w:val="nil"/>
              <w:bottom w:val="single" w:sz="4" w:space="0" w:color="auto"/>
              <w:right w:val="nil"/>
            </w:tcBorders>
            <w:shd w:val="clear" w:color="auto" w:fill="auto"/>
            <w:noWrap/>
            <w:vAlign w:val="bottom"/>
            <w:hideMark/>
          </w:tcPr>
          <w:p w14:paraId="4FBED792" w14:textId="77777777" w:rsidR="00EF0377" w:rsidRPr="00B46AD5" w:rsidRDefault="00EF0377" w:rsidP="00F57DCD">
            <w:pPr>
              <w:spacing w:line="240" w:lineRule="auto"/>
              <w:ind w:firstLine="0"/>
              <w:jc w:val="center"/>
              <w:rPr>
                <w:rFonts w:eastAsia="Times New Roman" w:cs="Times New Roman"/>
                <w:b/>
                <w:bCs/>
                <w:color w:val="000000"/>
                <w:szCs w:val="24"/>
              </w:rPr>
            </w:pPr>
            <w:r w:rsidRPr="00B46AD5">
              <w:rPr>
                <w:rFonts w:eastAsia="Times New Roman" w:cs="Times New Roman"/>
                <w:b/>
                <w:bCs/>
                <w:color w:val="000000"/>
                <w:szCs w:val="24"/>
              </w:rPr>
              <w:t>LossRatio</w:t>
            </w:r>
          </w:p>
        </w:tc>
        <w:tc>
          <w:tcPr>
            <w:tcW w:w="2790" w:type="dxa"/>
            <w:tcBorders>
              <w:top w:val="nil"/>
              <w:left w:val="nil"/>
              <w:bottom w:val="single" w:sz="4" w:space="0" w:color="auto"/>
              <w:right w:val="nil"/>
            </w:tcBorders>
            <w:shd w:val="clear" w:color="auto" w:fill="auto"/>
            <w:noWrap/>
            <w:vAlign w:val="bottom"/>
            <w:hideMark/>
          </w:tcPr>
          <w:p w14:paraId="6760D547" w14:textId="4E899E79" w:rsidR="00EF0377" w:rsidRPr="00B46AD5" w:rsidRDefault="00EF0377" w:rsidP="00F57DCD">
            <w:pPr>
              <w:spacing w:line="240" w:lineRule="auto"/>
              <w:ind w:firstLine="0"/>
              <w:jc w:val="center"/>
              <w:rPr>
                <w:rFonts w:eastAsia="Times New Roman" w:cs="Times New Roman"/>
                <w:b/>
                <w:bCs/>
                <w:color w:val="000000"/>
                <w:szCs w:val="24"/>
              </w:rPr>
            </w:pPr>
            <w:r>
              <w:rPr>
                <w:rFonts w:eastAsia="Times New Roman" w:cs="Times New Roman"/>
                <w:b/>
                <w:bCs/>
                <w:color w:val="000000"/>
                <w:szCs w:val="24"/>
              </w:rPr>
              <w:t xml:space="preserve">               </w:t>
            </w:r>
            <w:r w:rsidRPr="00B46AD5">
              <w:rPr>
                <w:rFonts w:eastAsia="Times New Roman" w:cs="Times New Roman"/>
                <w:b/>
                <w:bCs/>
                <w:color w:val="000000"/>
                <w:szCs w:val="24"/>
              </w:rPr>
              <w:t>CombinedRatio</w:t>
            </w:r>
          </w:p>
        </w:tc>
        <w:tc>
          <w:tcPr>
            <w:tcW w:w="2430" w:type="dxa"/>
            <w:tcBorders>
              <w:top w:val="nil"/>
              <w:left w:val="nil"/>
              <w:bottom w:val="single" w:sz="4" w:space="0" w:color="auto"/>
              <w:right w:val="nil"/>
            </w:tcBorders>
            <w:vAlign w:val="bottom"/>
          </w:tcPr>
          <w:p w14:paraId="73E43B1E" w14:textId="0C8BF82F" w:rsidR="00EF0377" w:rsidRDefault="009C01FD" w:rsidP="00EF0377">
            <w:pPr>
              <w:spacing w:line="240" w:lineRule="auto"/>
              <w:ind w:firstLine="0"/>
              <w:jc w:val="center"/>
              <w:rPr>
                <w:rFonts w:eastAsia="Times New Roman" w:cs="Times New Roman"/>
                <w:b/>
                <w:bCs/>
                <w:color w:val="000000"/>
                <w:szCs w:val="24"/>
              </w:rPr>
            </w:pPr>
            <w:r>
              <w:rPr>
                <w:rFonts w:eastAsia="Times New Roman" w:cs="Times New Roman"/>
                <w:b/>
                <w:bCs/>
                <w:color w:val="000000"/>
                <w:szCs w:val="24"/>
              </w:rPr>
              <w:t xml:space="preserve">           </w:t>
            </w:r>
            <w:r w:rsidR="00EF0377">
              <w:rPr>
                <w:rFonts w:eastAsia="Times New Roman" w:cs="Times New Roman"/>
                <w:b/>
                <w:bCs/>
                <w:color w:val="000000"/>
                <w:szCs w:val="24"/>
              </w:rPr>
              <w:t>ExpenseRatio</w:t>
            </w:r>
          </w:p>
        </w:tc>
      </w:tr>
      <w:tr w:rsidR="00EF0377" w:rsidRPr="00B46AD5" w14:paraId="6BCF1B0D" w14:textId="15BCDE72" w:rsidTr="009C01FD">
        <w:trPr>
          <w:trHeight w:val="310"/>
          <w:jc w:val="center"/>
        </w:trPr>
        <w:tc>
          <w:tcPr>
            <w:tcW w:w="2357" w:type="dxa"/>
            <w:tcBorders>
              <w:top w:val="nil"/>
              <w:left w:val="nil"/>
              <w:bottom w:val="nil"/>
              <w:right w:val="nil"/>
            </w:tcBorders>
            <w:shd w:val="clear" w:color="auto" w:fill="auto"/>
            <w:noWrap/>
            <w:vAlign w:val="bottom"/>
            <w:hideMark/>
          </w:tcPr>
          <w:p w14:paraId="046F486A"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Cont</w:t>
            </w:r>
          </w:p>
        </w:tc>
        <w:tc>
          <w:tcPr>
            <w:tcW w:w="1243" w:type="dxa"/>
            <w:tcBorders>
              <w:top w:val="nil"/>
              <w:left w:val="nil"/>
              <w:bottom w:val="nil"/>
              <w:right w:val="nil"/>
            </w:tcBorders>
            <w:shd w:val="clear" w:color="auto" w:fill="auto"/>
            <w:noWrap/>
            <w:vAlign w:val="bottom"/>
            <w:hideMark/>
          </w:tcPr>
          <w:p w14:paraId="3C39AF60" w14:textId="6BD4E34F" w:rsidR="00EF0377" w:rsidRPr="00B46AD5" w:rsidRDefault="00EF0377" w:rsidP="00EF0377">
            <w:pPr>
              <w:spacing w:line="240" w:lineRule="auto"/>
              <w:ind w:firstLine="0"/>
              <w:jc w:val="right"/>
              <w:rPr>
                <w:rFonts w:eastAsia="Times New Roman" w:cs="Times New Roman"/>
                <w:color w:val="000000"/>
                <w:szCs w:val="24"/>
              </w:rPr>
            </w:pPr>
            <w:r>
              <w:rPr>
                <w:color w:val="000000"/>
              </w:rPr>
              <w:t>-0.088***</w:t>
            </w:r>
          </w:p>
        </w:tc>
        <w:tc>
          <w:tcPr>
            <w:tcW w:w="2790" w:type="dxa"/>
            <w:tcBorders>
              <w:top w:val="nil"/>
              <w:left w:val="nil"/>
              <w:bottom w:val="nil"/>
              <w:right w:val="nil"/>
            </w:tcBorders>
            <w:shd w:val="clear" w:color="auto" w:fill="auto"/>
            <w:noWrap/>
            <w:vAlign w:val="bottom"/>
            <w:hideMark/>
          </w:tcPr>
          <w:p w14:paraId="0C09B771" w14:textId="55A80963" w:rsidR="00EF0377" w:rsidRPr="00B46AD5" w:rsidRDefault="00EF0377" w:rsidP="00EF0377">
            <w:pPr>
              <w:spacing w:line="240" w:lineRule="auto"/>
              <w:ind w:firstLine="0"/>
              <w:jc w:val="right"/>
              <w:rPr>
                <w:rFonts w:eastAsia="Times New Roman" w:cs="Times New Roman"/>
                <w:color w:val="000000"/>
                <w:szCs w:val="24"/>
              </w:rPr>
            </w:pPr>
            <w:r>
              <w:rPr>
                <w:color w:val="000000"/>
              </w:rPr>
              <w:t>0.012</w:t>
            </w:r>
          </w:p>
        </w:tc>
        <w:tc>
          <w:tcPr>
            <w:tcW w:w="2430" w:type="dxa"/>
            <w:tcBorders>
              <w:top w:val="nil"/>
              <w:left w:val="nil"/>
              <w:bottom w:val="nil"/>
              <w:right w:val="nil"/>
            </w:tcBorders>
            <w:vAlign w:val="bottom"/>
          </w:tcPr>
          <w:p w14:paraId="09AE684D" w14:textId="25002057" w:rsidR="00EF0377" w:rsidRDefault="00EF0377" w:rsidP="00EF0377">
            <w:pPr>
              <w:spacing w:line="240" w:lineRule="auto"/>
              <w:ind w:firstLine="0"/>
              <w:jc w:val="right"/>
              <w:rPr>
                <w:color w:val="000000"/>
              </w:rPr>
            </w:pPr>
            <w:r>
              <w:rPr>
                <w:color w:val="000000"/>
              </w:rPr>
              <w:t>0.116***</w:t>
            </w:r>
          </w:p>
        </w:tc>
      </w:tr>
      <w:tr w:rsidR="00EF0377" w:rsidRPr="00B46AD5" w14:paraId="293778A2" w14:textId="02E3FDE2" w:rsidTr="009C01FD">
        <w:trPr>
          <w:trHeight w:val="310"/>
          <w:jc w:val="center"/>
        </w:trPr>
        <w:tc>
          <w:tcPr>
            <w:tcW w:w="2357" w:type="dxa"/>
            <w:tcBorders>
              <w:top w:val="nil"/>
              <w:left w:val="nil"/>
              <w:bottom w:val="nil"/>
              <w:right w:val="nil"/>
            </w:tcBorders>
            <w:shd w:val="clear" w:color="auto" w:fill="auto"/>
            <w:noWrap/>
            <w:vAlign w:val="bottom"/>
            <w:hideMark/>
          </w:tcPr>
          <w:p w14:paraId="034DB9FD"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57E4C08D" w14:textId="16247BE2" w:rsidR="00EF0377" w:rsidRPr="00B46AD5" w:rsidRDefault="00EF0377" w:rsidP="00EF0377">
            <w:pPr>
              <w:spacing w:line="240" w:lineRule="auto"/>
              <w:ind w:firstLine="0"/>
              <w:jc w:val="right"/>
              <w:rPr>
                <w:rFonts w:eastAsia="Times New Roman" w:cs="Times New Roman"/>
                <w:color w:val="000000"/>
                <w:szCs w:val="24"/>
              </w:rPr>
            </w:pPr>
            <w:r>
              <w:rPr>
                <w:color w:val="000000"/>
              </w:rPr>
              <w:t>(0.026)</w:t>
            </w:r>
          </w:p>
        </w:tc>
        <w:tc>
          <w:tcPr>
            <w:tcW w:w="2790" w:type="dxa"/>
            <w:tcBorders>
              <w:top w:val="nil"/>
              <w:left w:val="nil"/>
              <w:bottom w:val="nil"/>
              <w:right w:val="nil"/>
            </w:tcBorders>
            <w:shd w:val="clear" w:color="auto" w:fill="auto"/>
            <w:noWrap/>
            <w:vAlign w:val="bottom"/>
            <w:hideMark/>
          </w:tcPr>
          <w:p w14:paraId="7DBBD06A" w14:textId="7BAB1810" w:rsidR="00EF0377" w:rsidRPr="00B46AD5" w:rsidRDefault="00EF0377" w:rsidP="00EF0377">
            <w:pPr>
              <w:spacing w:line="240" w:lineRule="auto"/>
              <w:ind w:firstLine="0"/>
              <w:jc w:val="right"/>
              <w:rPr>
                <w:rFonts w:eastAsia="Times New Roman" w:cs="Times New Roman"/>
                <w:color w:val="000000"/>
                <w:szCs w:val="24"/>
              </w:rPr>
            </w:pPr>
            <w:r>
              <w:rPr>
                <w:color w:val="000000"/>
              </w:rPr>
              <w:t>(0.024)</w:t>
            </w:r>
          </w:p>
        </w:tc>
        <w:tc>
          <w:tcPr>
            <w:tcW w:w="2430" w:type="dxa"/>
            <w:tcBorders>
              <w:top w:val="nil"/>
              <w:left w:val="nil"/>
              <w:bottom w:val="nil"/>
              <w:right w:val="nil"/>
            </w:tcBorders>
            <w:vAlign w:val="bottom"/>
          </w:tcPr>
          <w:p w14:paraId="7F8F8B82" w14:textId="10E561F4" w:rsidR="00EF0377" w:rsidRDefault="00EF0377" w:rsidP="00EF0377">
            <w:pPr>
              <w:spacing w:line="240" w:lineRule="auto"/>
              <w:ind w:firstLine="0"/>
              <w:jc w:val="right"/>
              <w:rPr>
                <w:color w:val="000000"/>
              </w:rPr>
            </w:pPr>
            <w:r>
              <w:rPr>
                <w:color w:val="000000"/>
              </w:rPr>
              <w:t>(0.037)</w:t>
            </w:r>
          </w:p>
        </w:tc>
      </w:tr>
      <w:tr w:rsidR="00EF0377" w:rsidRPr="00B46AD5" w14:paraId="69BB45D6" w14:textId="40E7F436" w:rsidTr="009C01FD">
        <w:trPr>
          <w:trHeight w:val="310"/>
          <w:jc w:val="center"/>
        </w:trPr>
        <w:tc>
          <w:tcPr>
            <w:tcW w:w="2357" w:type="dxa"/>
            <w:tcBorders>
              <w:top w:val="nil"/>
              <w:left w:val="nil"/>
              <w:bottom w:val="nil"/>
              <w:right w:val="nil"/>
            </w:tcBorders>
            <w:shd w:val="clear" w:color="auto" w:fill="auto"/>
            <w:noWrap/>
            <w:vAlign w:val="bottom"/>
            <w:hideMark/>
          </w:tcPr>
          <w:p w14:paraId="501B97B9"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Size</w:t>
            </w:r>
          </w:p>
        </w:tc>
        <w:tc>
          <w:tcPr>
            <w:tcW w:w="1243" w:type="dxa"/>
            <w:tcBorders>
              <w:top w:val="nil"/>
              <w:left w:val="nil"/>
              <w:bottom w:val="nil"/>
              <w:right w:val="nil"/>
            </w:tcBorders>
            <w:shd w:val="clear" w:color="auto" w:fill="auto"/>
            <w:noWrap/>
            <w:vAlign w:val="bottom"/>
            <w:hideMark/>
          </w:tcPr>
          <w:p w14:paraId="4D9868E0" w14:textId="0A10FA34" w:rsidR="00EF0377" w:rsidRPr="00B46AD5" w:rsidRDefault="00EF0377" w:rsidP="00EF0377">
            <w:pPr>
              <w:spacing w:line="240" w:lineRule="auto"/>
              <w:ind w:firstLine="0"/>
              <w:jc w:val="right"/>
              <w:rPr>
                <w:rFonts w:eastAsia="Times New Roman" w:cs="Times New Roman"/>
                <w:color w:val="000000"/>
                <w:szCs w:val="24"/>
              </w:rPr>
            </w:pPr>
            <w:r>
              <w:rPr>
                <w:color w:val="000000"/>
              </w:rPr>
              <w:t>0.035***</w:t>
            </w:r>
          </w:p>
        </w:tc>
        <w:tc>
          <w:tcPr>
            <w:tcW w:w="2790" w:type="dxa"/>
            <w:tcBorders>
              <w:top w:val="nil"/>
              <w:left w:val="nil"/>
              <w:bottom w:val="nil"/>
              <w:right w:val="nil"/>
            </w:tcBorders>
            <w:shd w:val="clear" w:color="auto" w:fill="auto"/>
            <w:noWrap/>
            <w:vAlign w:val="bottom"/>
            <w:hideMark/>
          </w:tcPr>
          <w:p w14:paraId="6AFC3CF4" w14:textId="70CE0756" w:rsidR="00EF0377" w:rsidRPr="00B46AD5" w:rsidRDefault="00EF0377" w:rsidP="00EF0377">
            <w:pPr>
              <w:spacing w:line="240" w:lineRule="auto"/>
              <w:ind w:firstLine="0"/>
              <w:jc w:val="right"/>
              <w:rPr>
                <w:rFonts w:eastAsia="Times New Roman" w:cs="Times New Roman"/>
                <w:color w:val="000000"/>
                <w:szCs w:val="24"/>
              </w:rPr>
            </w:pPr>
            <w:r>
              <w:rPr>
                <w:color w:val="000000"/>
              </w:rPr>
              <w:t>-0.009***</w:t>
            </w:r>
          </w:p>
        </w:tc>
        <w:tc>
          <w:tcPr>
            <w:tcW w:w="2430" w:type="dxa"/>
            <w:tcBorders>
              <w:top w:val="nil"/>
              <w:left w:val="nil"/>
              <w:bottom w:val="nil"/>
              <w:right w:val="nil"/>
            </w:tcBorders>
            <w:vAlign w:val="bottom"/>
          </w:tcPr>
          <w:p w14:paraId="1D90A172" w14:textId="4AEB97E5" w:rsidR="00EF0377" w:rsidRDefault="00EF0377" w:rsidP="00EF0377">
            <w:pPr>
              <w:spacing w:line="240" w:lineRule="auto"/>
              <w:ind w:firstLine="0"/>
              <w:jc w:val="right"/>
              <w:rPr>
                <w:color w:val="000000"/>
              </w:rPr>
            </w:pPr>
            <w:r>
              <w:rPr>
                <w:color w:val="000000"/>
              </w:rPr>
              <w:t>-0.083***</w:t>
            </w:r>
          </w:p>
        </w:tc>
      </w:tr>
      <w:tr w:rsidR="00EF0377" w:rsidRPr="00B46AD5" w14:paraId="28C3BCD6" w14:textId="508E667C" w:rsidTr="009C01FD">
        <w:trPr>
          <w:trHeight w:val="310"/>
          <w:jc w:val="center"/>
        </w:trPr>
        <w:tc>
          <w:tcPr>
            <w:tcW w:w="2357" w:type="dxa"/>
            <w:tcBorders>
              <w:top w:val="nil"/>
              <w:left w:val="nil"/>
              <w:bottom w:val="nil"/>
              <w:right w:val="nil"/>
            </w:tcBorders>
            <w:shd w:val="clear" w:color="auto" w:fill="auto"/>
            <w:noWrap/>
            <w:vAlign w:val="bottom"/>
            <w:hideMark/>
          </w:tcPr>
          <w:p w14:paraId="507323D8"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6C32EE08" w14:textId="3073A52E" w:rsidR="00EF0377" w:rsidRPr="00B46AD5" w:rsidRDefault="00EF0377" w:rsidP="00EF0377">
            <w:pPr>
              <w:spacing w:line="240" w:lineRule="auto"/>
              <w:ind w:firstLine="0"/>
              <w:jc w:val="right"/>
              <w:rPr>
                <w:rFonts w:eastAsia="Times New Roman" w:cs="Times New Roman"/>
                <w:color w:val="000000"/>
                <w:szCs w:val="24"/>
              </w:rPr>
            </w:pPr>
            <w:r>
              <w:rPr>
                <w:color w:val="000000"/>
              </w:rPr>
              <w:t>(0.005)</w:t>
            </w:r>
          </w:p>
        </w:tc>
        <w:tc>
          <w:tcPr>
            <w:tcW w:w="2790" w:type="dxa"/>
            <w:tcBorders>
              <w:top w:val="nil"/>
              <w:left w:val="nil"/>
              <w:bottom w:val="nil"/>
              <w:right w:val="nil"/>
            </w:tcBorders>
            <w:shd w:val="clear" w:color="auto" w:fill="auto"/>
            <w:noWrap/>
            <w:vAlign w:val="bottom"/>
            <w:hideMark/>
          </w:tcPr>
          <w:p w14:paraId="78E29D91" w14:textId="65257125" w:rsidR="00EF0377" w:rsidRPr="00B46AD5" w:rsidRDefault="00EF0377" w:rsidP="00EF0377">
            <w:pPr>
              <w:spacing w:line="240" w:lineRule="auto"/>
              <w:ind w:firstLine="0"/>
              <w:jc w:val="right"/>
              <w:rPr>
                <w:rFonts w:eastAsia="Times New Roman" w:cs="Times New Roman"/>
                <w:color w:val="000000"/>
                <w:szCs w:val="24"/>
              </w:rPr>
            </w:pPr>
            <w:r>
              <w:rPr>
                <w:color w:val="000000"/>
              </w:rPr>
              <w:t>(0.004)</w:t>
            </w:r>
          </w:p>
        </w:tc>
        <w:tc>
          <w:tcPr>
            <w:tcW w:w="2430" w:type="dxa"/>
            <w:tcBorders>
              <w:top w:val="nil"/>
              <w:left w:val="nil"/>
              <w:bottom w:val="nil"/>
              <w:right w:val="nil"/>
            </w:tcBorders>
            <w:vAlign w:val="bottom"/>
          </w:tcPr>
          <w:p w14:paraId="01FE753F" w14:textId="4B2F0641" w:rsidR="00EF0377" w:rsidRDefault="00EF0377" w:rsidP="00EF0377">
            <w:pPr>
              <w:spacing w:line="240" w:lineRule="auto"/>
              <w:ind w:firstLine="0"/>
              <w:jc w:val="right"/>
              <w:rPr>
                <w:color w:val="000000"/>
              </w:rPr>
            </w:pPr>
            <w:r>
              <w:rPr>
                <w:color w:val="000000"/>
              </w:rPr>
              <w:t>(0.006)</w:t>
            </w:r>
          </w:p>
        </w:tc>
      </w:tr>
      <w:tr w:rsidR="00EF0377" w:rsidRPr="00B46AD5" w14:paraId="44D3FBFB" w14:textId="19E4AF55" w:rsidTr="009C01FD">
        <w:trPr>
          <w:trHeight w:val="310"/>
          <w:jc w:val="center"/>
        </w:trPr>
        <w:tc>
          <w:tcPr>
            <w:tcW w:w="2357" w:type="dxa"/>
            <w:tcBorders>
              <w:top w:val="nil"/>
              <w:left w:val="nil"/>
              <w:bottom w:val="nil"/>
              <w:right w:val="nil"/>
            </w:tcBorders>
            <w:shd w:val="clear" w:color="auto" w:fill="auto"/>
            <w:noWrap/>
            <w:vAlign w:val="bottom"/>
            <w:hideMark/>
          </w:tcPr>
          <w:p w14:paraId="78302CA3"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Commercial</w:t>
            </w:r>
          </w:p>
        </w:tc>
        <w:tc>
          <w:tcPr>
            <w:tcW w:w="1243" w:type="dxa"/>
            <w:tcBorders>
              <w:top w:val="nil"/>
              <w:left w:val="nil"/>
              <w:bottom w:val="nil"/>
              <w:right w:val="nil"/>
            </w:tcBorders>
            <w:shd w:val="clear" w:color="auto" w:fill="auto"/>
            <w:noWrap/>
            <w:vAlign w:val="bottom"/>
            <w:hideMark/>
          </w:tcPr>
          <w:p w14:paraId="6B2D73AE" w14:textId="0B828FB8" w:rsidR="00EF0377" w:rsidRPr="00B46AD5" w:rsidRDefault="00EF0377" w:rsidP="00EF0377">
            <w:pPr>
              <w:spacing w:line="240" w:lineRule="auto"/>
              <w:ind w:firstLine="0"/>
              <w:jc w:val="right"/>
              <w:rPr>
                <w:rFonts w:eastAsia="Times New Roman" w:cs="Times New Roman"/>
                <w:color w:val="000000"/>
                <w:szCs w:val="24"/>
              </w:rPr>
            </w:pPr>
            <w:r>
              <w:rPr>
                <w:color w:val="000000"/>
              </w:rPr>
              <w:t>-0.218***</w:t>
            </w:r>
          </w:p>
        </w:tc>
        <w:tc>
          <w:tcPr>
            <w:tcW w:w="2790" w:type="dxa"/>
            <w:tcBorders>
              <w:top w:val="nil"/>
              <w:left w:val="nil"/>
              <w:bottom w:val="nil"/>
              <w:right w:val="nil"/>
            </w:tcBorders>
            <w:shd w:val="clear" w:color="auto" w:fill="auto"/>
            <w:noWrap/>
            <w:vAlign w:val="bottom"/>
            <w:hideMark/>
          </w:tcPr>
          <w:p w14:paraId="49BBCDD3" w14:textId="0F0349AF" w:rsidR="00EF0377" w:rsidRPr="00B46AD5" w:rsidRDefault="00EF0377" w:rsidP="00EF0377">
            <w:pPr>
              <w:spacing w:line="240" w:lineRule="auto"/>
              <w:ind w:firstLine="0"/>
              <w:jc w:val="right"/>
              <w:rPr>
                <w:rFonts w:eastAsia="Times New Roman" w:cs="Times New Roman"/>
                <w:color w:val="000000"/>
                <w:szCs w:val="24"/>
              </w:rPr>
            </w:pPr>
            <w:r>
              <w:rPr>
                <w:color w:val="000000"/>
              </w:rPr>
              <w:t>-0.052***</w:t>
            </w:r>
          </w:p>
        </w:tc>
        <w:tc>
          <w:tcPr>
            <w:tcW w:w="2430" w:type="dxa"/>
            <w:tcBorders>
              <w:top w:val="nil"/>
              <w:left w:val="nil"/>
              <w:bottom w:val="nil"/>
              <w:right w:val="nil"/>
            </w:tcBorders>
            <w:vAlign w:val="bottom"/>
          </w:tcPr>
          <w:p w14:paraId="75270142" w14:textId="660FD230" w:rsidR="00EF0377" w:rsidRDefault="00EF0377" w:rsidP="00EF0377">
            <w:pPr>
              <w:spacing w:line="240" w:lineRule="auto"/>
              <w:ind w:firstLine="0"/>
              <w:jc w:val="right"/>
              <w:rPr>
                <w:color w:val="000000"/>
              </w:rPr>
            </w:pPr>
            <w:r>
              <w:rPr>
                <w:color w:val="000000"/>
              </w:rPr>
              <w:t>0.148***</w:t>
            </w:r>
          </w:p>
        </w:tc>
      </w:tr>
      <w:tr w:rsidR="00EF0377" w:rsidRPr="00B46AD5" w14:paraId="763BF039" w14:textId="7468265A" w:rsidTr="009C01FD">
        <w:trPr>
          <w:trHeight w:val="310"/>
          <w:jc w:val="center"/>
        </w:trPr>
        <w:tc>
          <w:tcPr>
            <w:tcW w:w="2357" w:type="dxa"/>
            <w:tcBorders>
              <w:top w:val="nil"/>
              <w:left w:val="nil"/>
              <w:bottom w:val="nil"/>
              <w:right w:val="nil"/>
            </w:tcBorders>
            <w:shd w:val="clear" w:color="auto" w:fill="auto"/>
            <w:noWrap/>
            <w:vAlign w:val="bottom"/>
            <w:hideMark/>
          </w:tcPr>
          <w:p w14:paraId="1376AE58"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4B0B177F" w14:textId="6C7B52A9" w:rsidR="00EF0377" w:rsidRPr="00B46AD5" w:rsidRDefault="00EF0377" w:rsidP="00EF0377">
            <w:pPr>
              <w:spacing w:line="240" w:lineRule="auto"/>
              <w:ind w:firstLine="0"/>
              <w:jc w:val="right"/>
              <w:rPr>
                <w:rFonts w:eastAsia="Times New Roman" w:cs="Times New Roman"/>
                <w:color w:val="000000"/>
                <w:szCs w:val="24"/>
              </w:rPr>
            </w:pPr>
            <w:r>
              <w:rPr>
                <w:color w:val="000000"/>
              </w:rPr>
              <w:t>(0.016)</w:t>
            </w:r>
          </w:p>
        </w:tc>
        <w:tc>
          <w:tcPr>
            <w:tcW w:w="2790" w:type="dxa"/>
            <w:tcBorders>
              <w:top w:val="nil"/>
              <w:left w:val="nil"/>
              <w:bottom w:val="nil"/>
              <w:right w:val="nil"/>
            </w:tcBorders>
            <w:shd w:val="clear" w:color="auto" w:fill="auto"/>
            <w:noWrap/>
            <w:vAlign w:val="bottom"/>
            <w:hideMark/>
          </w:tcPr>
          <w:p w14:paraId="03913F74" w14:textId="0C10472B" w:rsidR="00EF0377" w:rsidRPr="00B46AD5" w:rsidRDefault="00EF0377" w:rsidP="00EF0377">
            <w:pPr>
              <w:spacing w:line="240" w:lineRule="auto"/>
              <w:ind w:firstLine="0"/>
              <w:jc w:val="right"/>
              <w:rPr>
                <w:rFonts w:eastAsia="Times New Roman" w:cs="Times New Roman"/>
                <w:color w:val="000000"/>
                <w:szCs w:val="24"/>
              </w:rPr>
            </w:pPr>
            <w:r>
              <w:rPr>
                <w:color w:val="000000"/>
              </w:rPr>
              <w:t>(0.012)</w:t>
            </w:r>
          </w:p>
        </w:tc>
        <w:tc>
          <w:tcPr>
            <w:tcW w:w="2430" w:type="dxa"/>
            <w:tcBorders>
              <w:top w:val="nil"/>
              <w:left w:val="nil"/>
              <w:bottom w:val="nil"/>
              <w:right w:val="nil"/>
            </w:tcBorders>
            <w:vAlign w:val="bottom"/>
          </w:tcPr>
          <w:p w14:paraId="5A9441C1" w14:textId="07FF6ED5" w:rsidR="00EF0377" w:rsidRDefault="00EF0377" w:rsidP="00EF0377">
            <w:pPr>
              <w:spacing w:line="240" w:lineRule="auto"/>
              <w:ind w:firstLine="0"/>
              <w:jc w:val="right"/>
              <w:rPr>
                <w:color w:val="000000"/>
              </w:rPr>
            </w:pPr>
            <w:r>
              <w:rPr>
                <w:color w:val="000000"/>
              </w:rPr>
              <w:t>(0.020)</w:t>
            </w:r>
          </w:p>
        </w:tc>
      </w:tr>
      <w:tr w:rsidR="00EF0377" w:rsidRPr="00B46AD5" w14:paraId="71435403" w14:textId="04AB7B15" w:rsidTr="009C01FD">
        <w:trPr>
          <w:trHeight w:val="310"/>
          <w:jc w:val="center"/>
        </w:trPr>
        <w:tc>
          <w:tcPr>
            <w:tcW w:w="2357" w:type="dxa"/>
            <w:tcBorders>
              <w:top w:val="nil"/>
              <w:left w:val="nil"/>
              <w:bottom w:val="nil"/>
              <w:right w:val="nil"/>
            </w:tcBorders>
            <w:shd w:val="clear" w:color="auto" w:fill="auto"/>
            <w:noWrap/>
            <w:vAlign w:val="bottom"/>
            <w:hideMark/>
          </w:tcPr>
          <w:p w14:paraId="747BA58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Leverage</w:t>
            </w:r>
          </w:p>
        </w:tc>
        <w:tc>
          <w:tcPr>
            <w:tcW w:w="1243" w:type="dxa"/>
            <w:tcBorders>
              <w:top w:val="nil"/>
              <w:left w:val="nil"/>
              <w:bottom w:val="nil"/>
              <w:right w:val="nil"/>
            </w:tcBorders>
            <w:shd w:val="clear" w:color="auto" w:fill="auto"/>
            <w:noWrap/>
            <w:vAlign w:val="bottom"/>
            <w:hideMark/>
          </w:tcPr>
          <w:p w14:paraId="468B1353" w14:textId="3CC47721" w:rsidR="00EF0377" w:rsidRPr="00B46AD5" w:rsidRDefault="00EF0377" w:rsidP="00EF0377">
            <w:pPr>
              <w:spacing w:line="240" w:lineRule="auto"/>
              <w:ind w:firstLine="0"/>
              <w:jc w:val="right"/>
              <w:rPr>
                <w:rFonts w:eastAsia="Times New Roman" w:cs="Times New Roman"/>
                <w:color w:val="000000"/>
                <w:szCs w:val="24"/>
              </w:rPr>
            </w:pPr>
            <w:r>
              <w:rPr>
                <w:color w:val="000000"/>
              </w:rPr>
              <w:t>0.006**</w:t>
            </w:r>
          </w:p>
        </w:tc>
        <w:tc>
          <w:tcPr>
            <w:tcW w:w="2790" w:type="dxa"/>
            <w:tcBorders>
              <w:top w:val="nil"/>
              <w:left w:val="nil"/>
              <w:bottom w:val="nil"/>
              <w:right w:val="nil"/>
            </w:tcBorders>
            <w:shd w:val="clear" w:color="auto" w:fill="auto"/>
            <w:noWrap/>
            <w:vAlign w:val="bottom"/>
            <w:hideMark/>
          </w:tcPr>
          <w:p w14:paraId="60712FCA" w14:textId="1D6C4103" w:rsidR="00EF0377" w:rsidRPr="00B46AD5" w:rsidRDefault="00EF0377" w:rsidP="00EF0377">
            <w:pPr>
              <w:spacing w:line="240" w:lineRule="auto"/>
              <w:ind w:firstLine="0"/>
              <w:jc w:val="right"/>
              <w:rPr>
                <w:rFonts w:eastAsia="Times New Roman" w:cs="Times New Roman"/>
                <w:color w:val="000000"/>
                <w:szCs w:val="24"/>
              </w:rPr>
            </w:pPr>
            <w:r>
              <w:rPr>
                <w:color w:val="000000"/>
              </w:rPr>
              <w:t>0.002</w:t>
            </w:r>
          </w:p>
        </w:tc>
        <w:tc>
          <w:tcPr>
            <w:tcW w:w="2430" w:type="dxa"/>
            <w:tcBorders>
              <w:top w:val="nil"/>
              <w:left w:val="nil"/>
              <w:bottom w:val="nil"/>
              <w:right w:val="nil"/>
            </w:tcBorders>
            <w:vAlign w:val="bottom"/>
          </w:tcPr>
          <w:p w14:paraId="419D92AB" w14:textId="6D4B8A5D" w:rsidR="00EF0377" w:rsidRDefault="00EF0377" w:rsidP="00EF0377">
            <w:pPr>
              <w:spacing w:line="240" w:lineRule="auto"/>
              <w:ind w:firstLine="0"/>
              <w:jc w:val="right"/>
              <w:rPr>
                <w:color w:val="000000"/>
              </w:rPr>
            </w:pPr>
            <w:r>
              <w:rPr>
                <w:color w:val="000000"/>
              </w:rPr>
              <w:t>-0.003</w:t>
            </w:r>
          </w:p>
        </w:tc>
      </w:tr>
      <w:tr w:rsidR="00EF0377" w:rsidRPr="00B46AD5" w14:paraId="78A7138A" w14:textId="5510933F" w:rsidTr="009C01FD">
        <w:trPr>
          <w:trHeight w:val="310"/>
          <w:jc w:val="center"/>
        </w:trPr>
        <w:tc>
          <w:tcPr>
            <w:tcW w:w="2357" w:type="dxa"/>
            <w:tcBorders>
              <w:top w:val="nil"/>
              <w:left w:val="nil"/>
              <w:bottom w:val="nil"/>
              <w:right w:val="nil"/>
            </w:tcBorders>
            <w:shd w:val="clear" w:color="auto" w:fill="auto"/>
            <w:noWrap/>
            <w:vAlign w:val="bottom"/>
            <w:hideMark/>
          </w:tcPr>
          <w:p w14:paraId="3EFAEC0E"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3B3E9D64" w14:textId="6A7D6155" w:rsidR="00EF0377" w:rsidRPr="00B46AD5" w:rsidRDefault="00EF0377" w:rsidP="00EF0377">
            <w:pPr>
              <w:spacing w:line="240" w:lineRule="auto"/>
              <w:ind w:firstLine="0"/>
              <w:jc w:val="right"/>
              <w:rPr>
                <w:rFonts w:eastAsia="Times New Roman" w:cs="Times New Roman"/>
                <w:color w:val="000000"/>
                <w:szCs w:val="24"/>
              </w:rPr>
            </w:pPr>
            <w:r>
              <w:rPr>
                <w:color w:val="000000"/>
              </w:rPr>
              <w:t>(0.002)</w:t>
            </w:r>
          </w:p>
        </w:tc>
        <w:tc>
          <w:tcPr>
            <w:tcW w:w="2790" w:type="dxa"/>
            <w:tcBorders>
              <w:top w:val="nil"/>
              <w:left w:val="nil"/>
              <w:bottom w:val="nil"/>
              <w:right w:val="nil"/>
            </w:tcBorders>
            <w:shd w:val="clear" w:color="auto" w:fill="auto"/>
            <w:noWrap/>
            <w:vAlign w:val="bottom"/>
            <w:hideMark/>
          </w:tcPr>
          <w:p w14:paraId="6C28EA08" w14:textId="5001BAC2" w:rsidR="00EF0377" w:rsidRPr="00B46AD5" w:rsidRDefault="00EF0377" w:rsidP="00EF0377">
            <w:pPr>
              <w:spacing w:line="240" w:lineRule="auto"/>
              <w:ind w:firstLine="0"/>
              <w:jc w:val="right"/>
              <w:rPr>
                <w:rFonts w:eastAsia="Times New Roman" w:cs="Times New Roman"/>
                <w:color w:val="000000"/>
                <w:szCs w:val="24"/>
              </w:rPr>
            </w:pPr>
            <w:r>
              <w:rPr>
                <w:color w:val="000000"/>
              </w:rPr>
              <w:t>(0.002)</w:t>
            </w:r>
          </w:p>
        </w:tc>
        <w:tc>
          <w:tcPr>
            <w:tcW w:w="2430" w:type="dxa"/>
            <w:tcBorders>
              <w:top w:val="nil"/>
              <w:left w:val="nil"/>
              <w:bottom w:val="nil"/>
              <w:right w:val="nil"/>
            </w:tcBorders>
            <w:vAlign w:val="bottom"/>
          </w:tcPr>
          <w:p w14:paraId="77EDABA7" w14:textId="0607F957" w:rsidR="00EF0377" w:rsidRDefault="00EF0377" w:rsidP="00EF0377">
            <w:pPr>
              <w:spacing w:line="240" w:lineRule="auto"/>
              <w:ind w:firstLine="0"/>
              <w:jc w:val="right"/>
              <w:rPr>
                <w:color w:val="000000"/>
              </w:rPr>
            </w:pPr>
            <w:r>
              <w:rPr>
                <w:color w:val="000000"/>
              </w:rPr>
              <w:t>(0.003)</w:t>
            </w:r>
          </w:p>
        </w:tc>
      </w:tr>
      <w:tr w:rsidR="00EF0377" w:rsidRPr="00B46AD5" w14:paraId="10CEC358" w14:textId="73DF28B7" w:rsidTr="009C01FD">
        <w:trPr>
          <w:trHeight w:val="310"/>
          <w:jc w:val="center"/>
        </w:trPr>
        <w:tc>
          <w:tcPr>
            <w:tcW w:w="2357" w:type="dxa"/>
            <w:tcBorders>
              <w:top w:val="nil"/>
              <w:left w:val="nil"/>
              <w:bottom w:val="nil"/>
              <w:right w:val="nil"/>
            </w:tcBorders>
            <w:shd w:val="clear" w:color="auto" w:fill="auto"/>
            <w:noWrap/>
            <w:vAlign w:val="bottom"/>
            <w:hideMark/>
          </w:tcPr>
          <w:p w14:paraId="3CA57EDB"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HHI_lines</w:t>
            </w:r>
          </w:p>
        </w:tc>
        <w:tc>
          <w:tcPr>
            <w:tcW w:w="1243" w:type="dxa"/>
            <w:tcBorders>
              <w:top w:val="nil"/>
              <w:left w:val="nil"/>
              <w:bottom w:val="nil"/>
              <w:right w:val="nil"/>
            </w:tcBorders>
            <w:shd w:val="clear" w:color="auto" w:fill="auto"/>
            <w:noWrap/>
            <w:vAlign w:val="bottom"/>
            <w:hideMark/>
          </w:tcPr>
          <w:p w14:paraId="34007CCA" w14:textId="12DA3AA4" w:rsidR="00EF0377" w:rsidRPr="00B46AD5" w:rsidRDefault="00EF0377" w:rsidP="00EF0377">
            <w:pPr>
              <w:spacing w:line="240" w:lineRule="auto"/>
              <w:ind w:firstLine="0"/>
              <w:jc w:val="right"/>
              <w:rPr>
                <w:rFonts w:eastAsia="Times New Roman" w:cs="Times New Roman"/>
                <w:color w:val="000000"/>
                <w:szCs w:val="24"/>
              </w:rPr>
            </w:pPr>
            <w:r>
              <w:rPr>
                <w:color w:val="000000"/>
              </w:rPr>
              <w:t>-0.043</w:t>
            </w:r>
          </w:p>
        </w:tc>
        <w:tc>
          <w:tcPr>
            <w:tcW w:w="2790" w:type="dxa"/>
            <w:tcBorders>
              <w:top w:val="nil"/>
              <w:left w:val="nil"/>
              <w:bottom w:val="nil"/>
              <w:right w:val="nil"/>
            </w:tcBorders>
            <w:shd w:val="clear" w:color="auto" w:fill="auto"/>
            <w:noWrap/>
            <w:vAlign w:val="bottom"/>
            <w:hideMark/>
          </w:tcPr>
          <w:p w14:paraId="11C01412" w14:textId="30757DF3" w:rsidR="00EF0377" w:rsidRPr="00B46AD5" w:rsidRDefault="00EF0377" w:rsidP="00EF0377">
            <w:pPr>
              <w:spacing w:line="240" w:lineRule="auto"/>
              <w:ind w:firstLine="0"/>
              <w:jc w:val="right"/>
              <w:rPr>
                <w:rFonts w:eastAsia="Times New Roman" w:cs="Times New Roman"/>
                <w:color w:val="000000"/>
                <w:szCs w:val="24"/>
              </w:rPr>
            </w:pPr>
            <w:r>
              <w:rPr>
                <w:color w:val="000000"/>
              </w:rPr>
              <w:t>0.097***</w:t>
            </w:r>
          </w:p>
        </w:tc>
        <w:tc>
          <w:tcPr>
            <w:tcW w:w="2430" w:type="dxa"/>
            <w:tcBorders>
              <w:top w:val="nil"/>
              <w:left w:val="nil"/>
              <w:bottom w:val="nil"/>
              <w:right w:val="nil"/>
            </w:tcBorders>
            <w:vAlign w:val="bottom"/>
          </w:tcPr>
          <w:p w14:paraId="5329E8D8" w14:textId="7AF53347" w:rsidR="00EF0377" w:rsidRDefault="00EF0377" w:rsidP="00EF0377">
            <w:pPr>
              <w:spacing w:line="240" w:lineRule="auto"/>
              <w:ind w:firstLine="0"/>
              <w:jc w:val="right"/>
              <w:rPr>
                <w:color w:val="000000"/>
              </w:rPr>
            </w:pPr>
            <w:r>
              <w:rPr>
                <w:color w:val="000000"/>
              </w:rPr>
              <w:t>0.168***</w:t>
            </w:r>
          </w:p>
        </w:tc>
      </w:tr>
      <w:tr w:rsidR="00EF0377" w:rsidRPr="00B46AD5" w14:paraId="625112AF" w14:textId="09D683C2" w:rsidTr="009C01FD">
        <w:trPr>
          <w:trHeight w:val="310"/>
          <w:jc w:val="center"/>
        </w:trPr>
        <w:tc>
          <w:tcPr>
            <w:tcW w:w="2357" w:type="dxa"/>
            <w:tcBorders>
              <w:top w:val="nil"/>
              <w:left w:val="nil"/>
              <w:bottom w:val="nil"/>
              <w:right w:val="nil"/>
            </w:tcBorders>
            <w:shd w:val="clear" w:color="auto" w:fill="auto"/>
            <w:noWrap/>
            <w:vAlign w:val="bottom"/>
            <w:hideMark/>
          </w:tcPr>
          <w:p w14:paraId="6728C169"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2190CD10" w14:textId="55A04BB6" w:rsidR="00EF0377" w:rsidRPr="00B46AD5" w:rsidRDefault="00EF0377" w:rsidP="00EF0377">
            <w:pPr>
              <w:spacing w:line="240" w:lineRule="auto"/>
              <w:ind w:firstLine="0"/>
              <w:jc w:val="right"/>
              <w:rPr>
                <w:rFonts w:eastAsia="Times New Roman" w:cs="Times New Roman"/>
                <w:color w:val="000000"/>
                <w:szCs w:val="24"/>
              </w:rPr>
            </w:pPr>
            <w:r>
              <w:rPr>
                <w:color w:val="000000"/>
              </w:rPr>
              <w:t>(0.036)</w:t>
            </w:r>
          </w:p>
        </w:tc>
        <w:tc>
          <w:tcPr>
            <w:tcW w:w="2790" w:type="dxa"/>
            <w:tcBorders>
              <w:top w:val="nil"/>
              <w:left w:val="nil"/>
              <w:bottom w:val="nil"/>
              <w:right w:val="nil"/>
            </w:tcBorders>
            <w:shd w:val="clear" w:color="auto" w:fill="auto"/>
            <w:noWrap/>
            <w:vAlign w:val="bottom"/>
            <w:hideMark/>
          </w:tcPr>
          <w:p w14:paraId="4B179237" w14:textId="769857A7" w:rsidR="00EF0377" w:rsidRPr="00B46AD5" w:rsidRDefault="00EF0377" w:rsidP="00EF0377">
            <w:pPr>
              <w:spacing w:line="240" w:lineRule="auto"/>
              <w:ind w:firstLine="0"/>
              <w:jc w:val="right"/>
              <w:rPr>
                <w:rFonts w:eastAsia="Times New Roman" w:cs="Times New Roman"/>
                <w:color w:val="000000"/>
                <w:szCs w:val="24"/>
              </w:rPr>
            </w:pPr>
            <w:r>
              <w:rPr>
                <w:color w:val="000000"/>
              </w:rPr>
              <w:t>(0.026)</w:t>
            </w:r>
          </w:p>
        </w:tc>
        <w:tc>
          <w:tcPr>
            <w:tcW w:w="2430" w:type="dxa"/>
            <w:tcBorders>
              <w:top w:val="nil"/>
              <w:left w:val="nil"/>
              <w:bottom w:val="nil"/>
              <w:right w:val="nil"/>
            </w:tcBorders>
            <w:vAlign w:val="bottom"/>
          </w:tcPr>
          <w:p w14:paraId="0589626D" w14:textId="2BBD1F3C" w:rsidR="00EF0377" w:rsidRDefault="00EF0377" w:rsidP="00EF0377">
            <w:pPr>
              <w:spacing w:line="240" w:lineRule="auto"/>
              <w:ind w:firstLine="0"/>
              <w:jc w:val="right"/>
              <w:rPr>
                <w:color w:val="000000"/>
              </w:rPr>
            </w:pPr>
            <w:r>
              <w:rPr>
                <w:color w:val="000000"/>
              </w:rPr>
              <w:t>(0.035)</w:t>
            </w:r>
          </w:p>
        </w:tc>
      </w:tr>
      <w:tr w:rsidR="00EF0377" w:rsidRPr="00B46AD5" w14:paraId="2182789C" w14:textId="0291A4E0" w:rsidTr="009C01FD">
        <w:trPr>
          <w:trHeight w:val="310"/>
          <w:jc w:val="center"/>
        </w:trPr>
        <w:tc>
          <w:tcPr>
            <w:tcW w:w="2357" w:type="dxa"/>
            <w:tcBorders>
              <w:top w:val="nil"/>
              <w:left w:val="nil"/>
              <w:bottom w:val="nil"/>
              <w:right w:val="nil"/>
            </w:tcBorders>
            <w:shd w:val="clear" w:color="auto" w:fill="auto"/>
            <w:noWrap/>
            <w:vAlign w:val="bottom"/>
            <w:hideMark/>
          </w:tcPr>
          <w:p w14:paraId="5B46A115"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HHI_states</w:t>
            </w:r>
          </w:p>
        </w:tc>
        <w:tc>
          <w:tcPr>
            <w:tcW w:w="1243" w:type="dxa"/>
            <w:tcBorders>
              <w:top w:val="nil"/>
              <w:left w:val="nil"/>
              <w:bottom w:val="nil"/>
              <w:right w:val="nil"/>
            </w:tcBorders>
            <w:shd w:val="clear" w:color="auto" w:fill="auto"/>
            <w:noWrap/>
            <w:vAlign w:val="bottom"/>
            <w:hideMark/>
          </w:tcPr>
          <w:p w14:paraId="3F9E96D8" w14:textId="1AF64E18" w:rsidR="00EF0377" w:rsidRPr="00B46AD5" w:rsidRDefault="00EF0377" w:rsidP="00EF0377">
            <w:pPr>
              <w:spacing w:line="240" w:lineRule="auto"/>
              <w:ind w:firstLine="0"/>
              <w:jc w:val="right"/>
              <w:rPr>
                <w:rFonts w:eastAsia="Times New Roman" w:cs="Times New Roman"/>
                <w:color w:val="000000"/>
                <w:szCs w:val="24"/>
              </w:rPr>
            </w:pPr>
            <w:r>
              <w:rPr>
                <w:color w:val="000000"/>
              </w:rPr>
              <w:t>0.047**</w:t>
            </w:r>
          </w:p>
        </w:tc>
        <w:tc>
          <w:tcPr>
            <w:tcW w:w="2790" w:type="dxa"/>
            <w:tcBorders>
              <w:top w:val="nil"/>
              <w:left w:val="nil"/>
              <w:bottom w:val="nil"/>
              <w:right w:val="nil"/>
            </w:tcBorders>
            <w:shd w:val="clear" w:color="auto" w:fill="auto"/>
            <w:noWrap/>
            <w:vAlign w:val="bottom"/>
            <w:hideMark/>
          </w:tcPr>
          <w:p w14:paraId="420DABBE" w14:textId="12D36C39" w:rsidR="00EF0377" w:rsidRPr="00B46AD5" w:rsidRDefault="00EF0377" w:rsidP="00EF0377">
            <w:pPr>
              <w:spacing w:line="240" w:lineRule="auto"/>
              <w:ind w:firstLine="0"/>
              <w:jc w:val="right"/>
              <w:rPr>
                <w:rFonts w:eastAsia="Times New Roman" w:cs="Times New Roman"/>
                <w:color w:val="000000"/>
                <w:szCs w:val="24"/>
              </w:rPr>
            </w:pPr>
            <w:r>
              <w:rPr>
                <w:color w:val="000000"/>
              </w:rPr>
              <w:t>0.008</w:t>
            </w:r>
          </w:p>
        </w:tc>
        <w:tc>
          <w:tcPr>
            <w:tcW w:w="2430" w:type="dxa"/>
            <w:tcBorders>
              <w:top w:val="nil"/>
              <w:left w:val="nil"/>
              <w:bottom w:val="nil"/>
              <w:right w:val="nil"/>
            </w:tcBorders>
            <w:vAlign w:val="bottom"/>
          </w:tcPr>
          <w:p w14:paraId="286EDE79" w14:textId="1163FEC4" w:rsidR="00EF0377" w:rsidRDefault="00EF0377" w:rsidP="00EF0377">
            <w:pPr>
              <w:spacing w:line="240" w:lineRule="auto"/>
              <w:ind w:firstLine="0"/>
              <w:jc w:val="right"/>
              <w:rPr>
                <w:color w:val="000000"/>
              </w:rPr>
            </w:pPr>
            <w:r>
              <w:rPr>
                <w:color w:val="000000"/>
              </w:rPr>
              <w:t>-0.069***</w:t>
            </w:r>
          </w:p>
        </w:tc>
      </w:tr>
      <w:tr w:rsidR="00EF0377" w:rsidRPr="00B46AD5" w14:paraId="2E4EE67C" w14:textId="40598B2C" w:rsidTr="009C01FD">
        <w:trPr>
          <w:trHeight w:val="310"/>
          <w:jc w:val="center"/>
        </w:trPr>
        <w:tc>
          <w:tcPr>
            <w:tcW w:w="2357" w:type="dxa"/>
            <w:tcBorders>
              <w:top w:val="nil"/>
              <w:left w:val="nil"/>
              <w:bottom w:val="nil"/>
              <w:right w:val="nil"/>
            </w:tcBorders>
            <w:shd w:val="clear" w:color="auto" w:fill="auto"/>
            <w:noWrap/>
            <w:vAlign w:val="bottom"/>
            <w:hideMark/>
          </w:tcPr>
          <w:p w14:paraId="2559B152"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7CF4568D" w14:textId="0DFA14E2" w:rsidR="00EF0377" w:rsidRPr="00B46AD5" w:rsidRDefault="00EF0377" w:rsidP="00EF0377">
            <w:pPr>
              <w:spacing w:line="240" w:lineRule="auto"/>
              <w:ind w:firstLine="0"/>
              <w:jc w:val="right"/>
              <w:rPr>
                <w:rFonts w:eastAsia="Times New Roman" w:cs="Times New Roman"/>
                <w:color w:val="000000"/>
                <w:szCs w:val="24"/>
              </w:rPr>
            </w:pPr>
            <w:r>
              <w:rPr>
                <w:color w:val="000000"/>
              </w:rPr>
              <w:t>(0.022)</w:t>
            </w:r>
          </w:p>
        </w:tc>
        <w:tc>
          <w:tcPr>
            <w:tcW w:w="2790" w:type="dxa"/>
            <w:tcBorders>
              <w:top w:val="nil"/>
              <w:left w:val="nil"/>
              <w:bottom w:val="nil"/>
              <w:right w:val="nil"/>
            </w:tcBorders>
            <w:shd w:val="clear" w:color="auto" w:fill="auto"/>
            <w:noWrap/>
            <w:vAlign w:val="bottom"/>
            <w:hideMark/>
          </w:tcPr>
          <w:p w14:paraId="44A94F2A" w14:textId="6D96FF12" w:rsidR="00EF0377" w:rsidRPr="00B46AD5" w:rsidRDefault="00EF0377" w:rsidP="00EF0377">
            <w:pPr>
              <w:spacing w:line="240" w:lineRule="auto"/>
              <w:ind w:firstLine="0"/>
              <w:jc w:val="right"/>
              <w:rPr>
                <w:rFonts w:eastAsia="Times New Roman" w:cs="Times New Roman"/>
                <w:color w:val="000000"/>
                <w:szCs w:val="24"/>
              </w:rPr>
            </w:pPr>
            <w:r>
              <w:rPr>
                <w:color w:val="000000"/>
              </w:rPr>
              <w:t>(0.016)</w:t>
            </w:r>
          </w:p>
        </w:tc>
        <w:tc>
          <w:tcPr>
            <w:tcW w:w="2430" w:type="dxa"/>
            <w:tcBorders>
              <w:top w:val="nil"/>
              <w:left w:val="nil"/>
              <w:bottom w:val="nil"/>
              <w:right w:val="nil"/>
            </w:tcBorders>
            <w:vAlign w:val="bottom"/>
          </w:tcPr>
          <w:p w14:paraId="463CDED7" w14:textId="443160FF" w:rsidR="00EF0377" w:rsidRDefault="00EF0377" w:rsidP="00EF0377">
            <w:pPr>
              <w:spacing w:line="240" w:lineRule="auto"/>
              <w:ind w:firstLine="0"/>
              <w:jc w:val="right"/>
              <w:rPr>
                <w:color w:val="000000"/>
              </w:rPr>
            </w:pPr>
            <w:r>
              <w:rPr>
                <w:color w:val="000000"/>
              </w:rPr>
              <w:t>(0.025)</w:t>
            </w:r>
          </w:p>
        </w:tc>
      </w:tr>
      <w:tr w:rsidR="00EF0377" w:rsidRPr="00B46AD5" w14:paraId="07E650F5" w14:textId="283DBF5D" w:rsidTr="009C01FD">
        <w:trPr>
          <w:trHeight w:val="310"/>
          <w:jc w:val="center"/>
        </w:trPr>
        <w:tc>
          <w:tcPr>
            <w:tcW w:w="2357" w:type="dxa"/>
            <w:tcBorders>
              <w:top w:val="nil"/>
              <w:left w:val="nil"/>
              <w:bottom w:val="nil"/>
              <w:right w:val="nil"/>
            </w:tcBorders>
            <w:shd w:val="clear" w:color="auto" w:fill="auto"/>
            <w:noWrap/>
            <w:vAlign w:val="bottom"/>
            <w:hideMark/>
          </w:tcPr>
          <w:p w14:paraId="23ECEFED"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Group</w:t>
            </w:r>
          </w:p>
        </w:tc>
        <w:tc>
          <w:tcPr>
            <w:tcW w:w="1243" w:type="dxa"/>
            <w:tcBorders>
              <w:top w:val="nil"/>
              <w:left w:val="nil"/>
              <w:bottom w:val="nil"/>
              <w:right w:val="nil"/>
            </w:tcBorders>
            <w:shd w:val="clear" w:color="auto" w:fill="auto"/>
            <w:noWrap/>
            <w:vAlign w:val="bottom"/>
            <w:hideMark/>
          </w:tcPr>
          <w:p w14:paraId="53BD1882" w14:textId="06ECDBE2" w:rsidR="00EF0377" w:rsidRPr="00B46AD5" w:rsidRDefault="00EF0377" w:rsidP="00EF0377">
            <w:pPr>
              <w:spacing w:line="240" w:lineRule="auto"/>
              <w:ind w:firstLine="0"/>
              <w:jc w:val="right"/>
              <w:rPr>
                <w:rFonts w:eastAsia="Times New Roman" w:cs="Times New Roman"/>
                <w:color w:val="000000"/>
                <w:szCs w:val="24"/>
              </w:rPr>
            </w:pPr>
            <w:r>
              <w:rPr>
                <w:color w:val="000000"/>
              </w:rPr>
              <w:t>0.032*</w:t>
            </w:r>
          </w:p>
        </w:tc>
        <w:tc>
          <w:tcPr>
            <w:tcW w:w="2790" w:type="dxa"/>
            <w:tcBorders>
              <w:top w:val="nil"/>
              <w:left w:val="nil"/>
              <w:bottom w:val="nil"/>
              <w:right w:val="nil"/>
            </w:tcBorders>
            <w:shd w:val="clear" w:color="auto" w:fill="auto"/>
            <w:noWrap/>
            <w:vAlign w:val="bottom"/>
            <w:hideMark/>
          </w:tcPr>
          <w:p w14:paraId="18622306" w14:textId="17FB36C7" w:rsidR="00EF0377" w:rsidRPr="00B46AD5" w:rsidRDefault="00EF0377" w:rsidP="00EF0377">
            <w:pPr>
              <w:spacing w:line="240" w:lineRule="auto"/>
              <w:ind w:firstLine="0"/>
              <w:jc w:val="right"/>
              <w:rPr>
                <w:rFonts w:eastAsia="Times New Roman" w:cs="Times New Roman"/>
                <w:color w:val="000000"/>
                <w:szCs w:val="24"/>
              </w:rPr>
            </w:pPr>
            <w:r>
              <w:rPr>
                <w:color w:val="000000"/>
              </w:rPr>
              <w:t>0.038***</w:t>
            </w:r>
          </w:p>
        </w:tc>
        <w:tc>
          <w:tcPr>
            <w:tcW w:w="2430" w:type="dxa"/>
            <w:tcBorders>
              <w:top w:val="nil"/>
              <w:left w:val="nil"/>
              <w:bottom w:val="nil"/>
              <w:right w:val="nil"/>
            </w:tcBorders>
            <w:vAlign w:val="bottom"/>
          </w:tcPr>
          <w:p w14:paraId="63E323C8" w14:textId="3562EE87" w:rsidR="00EF0377" w:rsidRDefault="00EF0377" w:rsidP="00EF0377">
            <w:pPr>
              <w:spacing w:line="240" w:lineRule="auto"/>
              <w:ind w:firstLine="0"/>
              <w:jc w:val="right"/>
              <w:rPr>
                <w:color w:val="000000"/>
              </w:rPr>
            </w:pPr>
            <w:r>
              <w:rPr>
                <w:color w:val="000000"/>
              </w:rPr>
              <w:t>0.055***</w:t>
            </w:r>
          </w:p>
        </w:tc>
      </w:tr>
      <w:tr w:rsidR="00EF0377" w:rsidRPr="00B46AD5" w14:paraId="01531D56" w14:textId="1BE0970F" w:rsidTr="009C01FD">
        <w:trPr>
          <w:trHeight w:val="310"/>
          <w:jc w:val="center"/>
        </w:trPr>
        <w:tc>
          <w:tcPr>
            <w:tcW w:w="2357" w:type="dxa"/>
            <w:tcBorders>
              <w:top w:val="nil"/>
              <w:left w:val="nil"/>
              <w:bottom w:val="nil"/>
              <w:right w:val="nil"/>
            </w:tcBorders>
            <w:shd w:val="clear" w:color="auto" w:fill="auto"/>
            <w:noWrap/>
            <w:vAlign w:val="bottom"/>
            <w:hideMark/>
          </w:tcPr>
          <w:p w14:paraId="29BC8E30"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41A79058" w14:textId="5D427C13" w:rsidR="00EF0377" w:rsidRPr="00B46AD5" w:rsidRDefault="00EF0377" w:rsidP="00EF0377">
            <w:pPr>
              <w:spacing w:line="240" w:lineRule="auto"/>
              <w:ind w:firstLine="0"/>
              <w:jc w:val="right"/>
              <w:rPr>
                <w:rFonts w:eastAsia="Times New Roman" w:cs="Times New Roman"/>
                <w:color w:val="000000"/>
                <w:szCs w:val="24"/>
              </w:rPr>
            </w:pPr>
            <w:r>
              <w:rPr>
                <w:color w:val="000000"/>
              </w:rPr>
              <w:t>(0.018)</w:t>
            </w:r>
          </w:p>
        </w:tc>
        <w:tc>
          <w:tcPr>
            <w:tcW w:w="2790" w:type="dxa"/>
            <w:tcBorders>
              <w:top w:val="nil"/>
              <w:left w:val="nil"/>
              <w:bottom w:val="nil"/>
              <w:right w:val="nil"/>
            </w:tcBorders>
            <w:shd w:val="clear" w:color="auto" w:fill="auto"/>
            <w:noWrap/>
            <w:vAlign w:val="bottom"/>
            <w:hideMark/>
          </w:tcPr>
          <w:p w14:paraId="54594FB1" w14:textId="19CE50C1" w:rsidR="00EF0377" w:rsidRPr="00B46AD5" w:rsidRDefault="00EF0377" w:rsidP="00EF0377">
            <w:pPr>
              <w:spacing w:line="240" w:lineRule="auto"/>
              <w:ind w:firstLine="0"/>
              <w:jc w:val="right"/>
              <w:rPr>
                <w:rFonts w:eastAsia="Times New Roman" w:cs="Times New Roman"/>
                <w:color w:val="000000"/>
                <w:szCs w:val="24"/>
              </w:rPr>
            </w:pPr>
            <w:r>
              <w:rPr>
                <w:color w:val="000000"/>
              </w:rPr>
              <w:t>(0.013)</w:t>
            </w:r>
          </w:p>
        </w:tc>
        <w:tc>
          <w:tcPr>
            <w:tcW w:w="2430" w:type="dxa"/>
            <w:tcBorders>
              <w:top w:val="nil"/>
              <w:left w:val="nil"/>
              <w:bottom w:val="nil"/>
              <w:right w:val="nil"/>
            </w:tcBorders>
            <w:vAlign w:val="bottom"/>
          </w:tcPr>
          <w:p w14:paraId="120FE767" w14:textId="2F658D5B" w:rsidR="00EF0377" w:rsidRDefault="00EF0377" w:rsidP="00EF0377">
            <w:pPr>
              <w:spacing w:line="240" w:lineRule="auto"/>
              <w:ind w:firstLine="0"/>
              <w:jc w:val="right"/>
              <w:rPr>
                <w:color w:val="000000"/>
              </w:rPr>
            </w:pPr>
            <w:r>
              <w:rPr>
                <w:color w:val="000000"/>
              </w:rPr>
              <w:t>(0.021)</w:t>
            </w:r>
          </w:p>
        </w:tc>
      </w:tr>
      <w:tr w:rsidR="00EF0377" w:rsidRPr="00B46AD5" w14:paraId="7F8A6139" w14:textId="072D22CD" w:rsidTr="009C01FD">
        <w:trPr>
          <w:trHeight w:val="310"/>
          <w:jc w:val="center"/>
        </w:trPr>
        <w:tc>
          <w:tcPr>
            <w:tcW w:w="2357" w:type="dxa"/>
            <w:tcBorders>
              <w:top w:val="nil"/>
              <w:left w:val="nil"/>
              <w:bottom w:val="nil"/>
              <w:right w:val="nil"/>
            </w:tcBorders>
            <w:shd w:val="clear" w:color="auto" w:fill="auto"/>
            <w:noWrap/>
            <w:vAlign w:val="bottom"/>
            <w:hideMark/>
          </w:tcPr>
          <w:p w14:paraId="6C990C29"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Stock</w:t>
            </w:r>
          </w:p>
        </w:tc>
        <w:tc>
          <w:tcPr>
            <w:tcW w:w="1243" w:type="dxa"/>
            <w:tcBorders>
              <w:top w:val="nil"/>
              <w:left w:val="nil"/>
              <w:bottom w:val="nil"/>
              <w:right w:val="nil"/>
            </w:tcBorders>
            <w:shd w:val="clear" w:color="auto" w:fill="auto"/>
            <w:noWrap/>
            <w:vAlign w:val="bottom"/>
            <w:hideMark/>
          </w:tcPr>
          <w:p w14:paraId="46746945" w14:textId="6D86C764" w:rsidR="00EF0377" w:rsidRPr="00B46AD5" w:rsidRDefault="00EF0377" w:rsidP="00EF0377">
            <w:pPr>
              <w:spacing w:line="240" w:lineRule="auto"/>
              <w:ind w:firstLine="0"/>
              <w:jc w:val="right"/>
              <w:rPr>
                <w:rFonts w:eastAsia="Times New Roman" w:cs="Times New Roman"/>
                <w:color w:val="000000"/>
                <w:szCs w:val="24"/>
              </w:rPr>
            </w:pPr>
            <w:r>
              <w:rPr>
                <w:color w:val="000000"/>
              </w:rPr>
              <w:t>-0.030**</w:t>
            </w:r>
          </w:p>
        </w:tc>
        <w:tc>
          <w:tcPr>
            <w:tcW w:w="2790" w:type="dxa"/>
            <w:tcBorders>
              <w:top w:val="nil"/>
              <w:left w:val="nil"/>
              <w:bottom w:val="nil"/>
              <w:right w:val="nil"/>
            </w:tcBorders>
            <w:shd w:val="clear" w:color="auto" w:fill="auto"/>
            <w:noWrap/>
            <w:vAlign w:val="bottom"/>
            <w:hideMark/>
          </w:tcPr>
          <w:p w14:paraId="7AF7627D" w14:textId="1434A0F2" w:rsidR="00EF0377" w:rsidRPr="00B46AD5" w:rsidRDefault="00EF0377" w:rsidP="00EF0377">
            <w:pPr>
              <w:spacing w:line="240" w:lineRule="auto"/>
              <w:ind w:firstLine="0"/>
              <w:jc w:val="right"/>
              <w:rPr>
                <w:rFonts w:eastAsia="Times New Roman" w:cs="Times New Roman"/>
                <w:color w:val="000000"/>
                <w:szCs w:val="24"/>
              </w:rPr>
            </w:pPr>
            <w:r>
              <w:rPr>
                <w:color w:val="000000"/>
              </w:rPr>
              <w:t>-0.034***</w:t>
            </w:r>
          </w:p>
        </w:tc>
        <w:tc>
          <w:tcPr>
            <w:tcW w:w="2430" w:type="dxa"/>
            <w:tcBorders>
              <w:top w:val="nil"/>
              <w:left w:val="nil"/>
              <w:bottom w:val="nil"/>
              <w:right w:val="nil"/>
            </w:tcBorders>
            <w:vAlign w:val="bottom"/>
          </w:tcPr>
          <w:p w14:paraId="699CD7C7" w14:textId="65ECAD81" w:rsidR="00EF0377" w:rsidRDefault="00EF0377" w:rsidP="00EF0377">
            <w:pPr>
              <w:spacing w:line="240" w:lineRule="auto"/>
              <w:ind w:firstLine="0"/>
              <w:jc w:val="right"/>
              <w:rPr>
                <w:color w:val="000000"/>
              </w:rPr>
            </w:pPr>
            <w:r>
              <w:rPr>
                <w:color w:val="000000"/>
              </w:rPr>
              <w:t>-0.081***</w:t>
            </w:r>
          </w:p>
        </w:tc>
      </w:tr>
      <w:tr w:rsidR="00EF0377" w:rsidRPr="00B46AD5" w14:paraId="1B1AAF3D" w14:textId="410EEE2B" w:rsidTr="009C01FD">
        <w:trPr>
          <w:trHeight w:val="310"/>
          <w:jc w:val="center"/>
        </w:trPr>
        <w:tc>
          <w:tcPr>
            <w:tcW w:w="2357" w:type="dxa"/>
            <w:tcBorders>
              <w:top w:val="nil"/>
              <w:left w:val="nil"/>
              <w:bottom w:val="nil"/>
              <w:right w:val="nil"/>
            </w:tcBorders>
            <w:shd w:val="clear" w:color="auto" w:fill="auto"/>
            <w:noWrap/>
            <w:vAlign w:val="bottom"/>
            <w:hideMark/>
          </w:tcPr>
          <w:p w14:paraId="7AC0C5CF"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50718B03" w14:textId="5B7F20C7" w:rsidR="00EF0377" w:rsidRPr="00B46AD5" w:rsidRDefault="00EF0377" w:rsidP="00EF0377">
            <w:pPr>
              <w:spacing w:line="240" w:lineRule="auto"/>
              <w:ind w:firstLine="0"/>
              <w:jc w:val="right"/>
              <w:rPr>
                <w:rFonts w:eastAsia="Times New Roman" w:cs="Times New Roman"/>
                <w:color w:val="000000"/>
                <w:szCs w:val="24"/>
              </w:rPr>
            </w:pPr>
            <w:r>
              <w:rPr>
                <w:color w:val="000000"/>
              </w:rPr>
              <w:t>(0.013)</w:t>
            </w:r>
          </w:p>
        </w:tc>
        <w:tc>
          <w:tcPr>
            <w:tcW w:w="2790" w:type="dxa"/>
            <w:tcBorders>
              <w:top w:val="nil"/>
              <w:left w:val="nil"/>
              <w:bottom w:val="nil"/>
              <w:right w:val="nil"/>
            </w:tcBorders>
            <w:shd w:val="clear" w:color="auto" w:fill="auto"/>
            <w:noWrap/>
            <w:vAlign w:val="bottom"/>
            <w:hideMark/>
          </w:tcPr>
          <w:p w14:paraId="2EEED2D3" w14:textId="63E03F9D" w:rsidR="00EF0377" w:rsidRPr="00B46AD5" w:rsidRDefault="00EF0377" w:rsidP="00EF0377">
            <w:pPr>
              <w:spacing w:line="240" w:lineRule="auto"/>
              <w:ind w:firstLine="0"/>
              <w:jc w:val="right"/>
              <w:rPr>
                <w:rFonts w:eastAsia="Times New Roman" w:cs="Times New Roman"/>
                <w:color w:val="000000"/>
                <w:szCs w:val="24"/>
              </w:rPr>
            </w:pPr>
            <w:r>
              <w:rPr>
                <w:color w:val="000000"/>
              </w:rPr>
              <w:t>(0.010)</w:t>
            </w:r>
          </w:p>
        </w:tc>
        <w:tc>
          <w:tcPr>
            <w:tcW w:w="2430" w:type="dxa"/>
            <w:tcBorders>
              <w:top w:val="nil"/>
              <w:left w:val="nil"/>
              <w:bottom w:val="nil"/>
              <w:right w:val="nil"/>
            </w:tcBorders>
            <w:vAlign w:val="bottom"/>
          </w:tcPr>
          <w:p w14:paraId="74D3D1A4" w14:textId="43C918B6" w:rsidR="00EF0377" w:rsidRDefault="00EF0377" w:rsidP="00EF0377">
            <w:pPr>
              <w:spacing w:line="240" w:lineRule="auto"/>
              <w:ind w:firstLine="0"/>
              <w:jc w:val="right"/>
              <w:rPr>
                <w:color w:val="000000"/>
              </w:rPr>
            </w:pPr>
            <w:r>
              <w:rPr>
                <w:color w:val="000000"/>
              </w:rPr>
              <w:t>(0.018)</w:t>
            </w:r>
          </w:p>
        </w:tc>
      </w:tr>
      <w:tr w:rsidR="00EF0377" w:rsidRPr="00B46AD5" w14:paraId="3CB593BC" w14:textId="7D1E819A" w:rsidTr="009C01FD">
        <w:trPr>
          <w:trHeight w:val="310"/>
          <w:jc w:val="center"/>
        </w:trPr>
        <w:tc>
          <w:tcPr>
            <w:tcW w:w="2357" w:type="dxa"/>
            <w:tcBorders>
              <w:top w:val="nil"/>
              <w:left w:val="nil"/>
              <w:bottom w:val="nil"/>
              <w:right w:val="nil"/>
            </w:tcBorders>
            <w:shd w:val="clear" w:color="auto" w:fill="auto"/>
            <w:noWrap/>
            <w:vAlign w:val="bottom"/>
            <w:hideMark/>
          </w:tcPr>
          <w:p w14:paraId="69C16EAE"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IndependentAgency</w:t>
            </w:r>
          </w:p>
        </w:tc>
        <w:tc>
          <w:tcPr>
            <w:tcW w:w="1243" w:type="dxa"/>
            <w:tcBorders>
              <w:top w:val="nil"/>
              <w:left w:val="nil"/>
              <w:bottom w:val="nil"/>
              <w:right w:val="nil"/>
            </w:tcBorders>
            <w:shd w:val="clear" w:color="auto" w:fill="auto"/>
            <w:noWrap/>
            <w:vAlign w:val="bottom"/>
            <w:hideMark/>
          </w:tcPr>
          <w:p w14:paraId="3CBFF9E7" w14:textId="58B5547C" w:rsidR="00EF0377" w:rsidRPr="00B46AD5" w:rsidRDefault="00EF0377" w:rsidP="00EF0377">
            <w:pPr>
              <w:spacing w:line="240" w:lineRule="auto"/>
              <w:ind w:firstLine="0"/>
              <w:jc w:val="right"/>
              <w:rPr>
                <w:rFonts w:eastAsia="Times New Roman" w:cs="Times New Roman"/>
                <w:color w:val="000000"/>
                <w:szCs w:val="24"/>
              </w:rPr>
            </w:pPr>
            <w:r>
              <w:rPr>
                <w:color w:val="000000"/>
              </w:rPr>
              <w:t>0.006</w:t>
            </w:r>
          </w:p>
        </w:tc>
        <w:tc>
          <w:tcPr>
            <w:tcW w:w="2790" w:type="dxa"/>
            <w:tcBorders>
              <w:top w:val="nil"/>
              <w:left w:val="nil"/>
              <w:bottom w:val="nil"/>
              <w:right w:val="nil"/>
            </w:tcBorders>
            <w:shd w:val="clear" w:color="auto" w:fill="auto"/>
            <w:noWrap/>
            <w:vAlign w:val="bottom"/>
            <w:hideMark/>
          </w:tcPr>
          <w:p w14:paraId="2BE2F3F4" w14:textId="537007B1" w:rsidR="00EF0377" w:rsidRPr="00B46AD5" w:rsidRDefault="00EF0377" w:rsidP="00EF0377">
            <w:pPr>
              <w:spacing w:line="240" w:lineRule="auto"/>
              <w:ind w:firstLine="0"/>
              <w:jc w:val="right"/>
              <w:rPr>
                <w:rFonts w:eastAsia="Times New Roman" w:cs="Times New Roman"/>
                <w:color w:val="000000"/>
                <w:szCs w:val="24"/>
              </w:rPr>
            </w:pPr>
            <w:r>
              <w:rPr>
                <w:color w:val="000000"/>
              </w:rPr>
              <w:t>-0.006</w:t>
            </w:r>
          </w:p>
        </w:tc>
        <w:tc>
          <w:tcPr>
            <w:tcW w:w="2430" w:type="dxa"/>
            <w:tcBorders>
              <w:top w:val="nil"/>
              <w:left w:val="nil"/>
              <w:bottom w:val="nil"/>
              <w:right w:val="nil"/>
            </w:tcBorders>
            <w:vAlign w:val="bottom"/>
          </w:tcPr>
          <w:p w14:paraId="165EE90F" w14:textId="14C5D8B5" w:rsidR="00EF0377" w:rsidRDefault="00EF0377" w:rsidP="00EF0377">
            <w:pPr>
              <w:spacing w:line="240" w:lineRule="auto"/>
              <w:ind w:firstLine="0"/>
              <w:jc w:val="right"/>
              <w:rPr>
                <w:color w:val="000000"/>
              </w:rPr>
            </w:pPr>
            <w:r>
              <w:rPr>
                <w:color w:val="000000"/>
              </w:rPr>
              <w:t>0.041***</w:t>
            </w:r>
          </w:p>
        </w:tc>
      </w:tr>
      <w:tr w:rsidR="00EF0377" w:rsidRPr="00B46AD5" w14:paraId="7884B3B2" w14:textId="521F9E85" w:rsidTr="009C01FD">
        <w:trPr>
          <w:trHeight w:val="310"/>
          <w:jc w:val="center"/>
        </w:trPr>
        <w:tc>
          <w:tcPr>
            <w:tcW w:w="2357" w:type="dxa"/>
            <w:tcBorders>
              <w:top w:val="nil"/>
              <w:left w:val="nil"/>
              <w:bottom w:val="nil"/>
              <w:right w:val="nil"/>
            </w:tcBorders>
            <w:shd w:val="clear" w:color="auto" w:fill="auto"/>
            <w:noWrap/>
            <w:vAlign w:val="bottom"/>
            <w:hideMark/>
          </w:tcPr>
          <w:p w14:paraId="1CF160B3"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73177EDA" w14:textId="45B1885B" w:rsidR="00EF0377" w:rsidRPr="00B46AD5" w:rsidRDefault="00EF0377" w:rsidP="00EF0377">
            <w:pPr>
              <w:spacing w:line="240" w:lineRule="auto"/>
              <w:ind w:firstLine="0"/>
              <w:jc w:val="right"/>
              <w:rPr>
                <w:rFonts w:eastAsia="Times New Roman" w:cs="Times New Roman"/>
                <w:color w:val="000000"/>
                <w:szCs w:val="24"/>
              </w:rPr>
            </w:pPr>
            <w:r>
              <w:rPr>
                <w:color w:val="000000"/>
              </w:rPr>
              <w:t>(0.013)</w:t>
            </w:r>
          </w:p>
        </w:tc>
        <w:tc>
          <w:tcPr>
            <w:tcW w:w="2790" w:type="dxa"/>
            <w:tcBorders>
              <w:top w:val="nil"/>
              <w:left w:val="nil"/>
              <w:bottom w:val="nil"/>
              <w:right w:val="nil"/>
            </w:tcBorders>
            <w:shd w:val="clear" w:color="auto" w:fill="auto"/>
            <w:noWrap/>
            <w:vAlign w:val="bottom"/>
            <w:hideMark/>
          </w:tcPr>
          <w:p w14:paraId="676A6A81" w14:textId="25A2EA7A" w:rsidR="00EF0377" w:rsidRPr="00B46AD5" w:rsidRDefault="00EF0377" w:rsidP="00EF0377">
            <w:pPr>
              <w:spacing w:line="240" w:lineRule="auto"/>
              <w:ind w:firstLine="0"/>
              <w:jc w:val="right"/>
              <w:rPr>
                <w:rFonts w:eastAsia="Times New Roman" w:cs="Times New Roman"/>
                <w:color w:val="000000"/>
                <w:szCs w:val="24"/>
              </w:rPr>
            </w:pPr>
            <w:r>
              <w:rPr>
                <w:color w:val="000000"/>
              </w:rPr>
              <w:t>(0.010)</w:t>
            </w:r>
          </w:p>
        </w:tc>
        <w:tc>
          <w:tcPr>
            <w:tcW w:w="2430" w:type="dxa"/>
            <w:tcBorders>
              <w:top w:val="nil"/>
              <w:left w:val="nil"/>
              <w:bottom w:val="nil"/>
              <w:right w:val="nil"/>
            </w:tcBorders>
            <w:vAlign w:val="bottom"/>
          </w:tcPr>
          <w:p w14:paraId="22112564" w14:textId="05176263" w:rsidR="00EF0377" w:rsidRDefault="00EF0377" w:rsidP="00EF0377">
            <w:pPr>
              <w:spacing w:line="240" w:lineRule="auto"/>
              <w:ind w:firstLine="0"/>
              <w:jc w:val="right"/>
              <w:rPr>
                <w:color w:val="000000"/>
              </w:rPr>
            </w:pPr>
            <w:r>
              <w:rPr>
                <w:color w:val="000000"/>
              </w:rPr>
              <w:t>(0.015)</w:t>
            </w:r>
          </w:p>
        </w:tc>
      </w:tr>
      <w:tr w:rsidR="00EF0377" w:rsidRPr="00B46AD5" w14:paraId="1DEF7832" w14:textId="06D43557" w:rsidTr="009C01FD">
        <w:trPr>
          <w:trHeight w:val="310"/>
          <w:jc w:val="center"/>
        </w:trPr>
        <w:tc>
          <w:tcPr>
            <w:tcW w:w="2357" w:type="dxa"/>
            <w:tcBorders>
              <w:top w:val="nil"/>
              <w:left w:val="nil"/>
              <w:bottom w:val="nil"/>
              <w:right w:val="nil"/>
            </w:tcBorders>
            <w:shd w:val="clear" w:color="auto" w:fill="auto"/>
            <w:noWrap/>
            <w:vAlign w:val="bottom"/>
            <w:hideMark/>
          </w:tcPr>
          <w:p w14:paraId="15EEB5E4"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PubliclyTraded</w:t>
            </w:r>
          </w:p>
        </w:tc>
        <w:tc>
          <w:tcPr>
            <w:tcW w:w="1243" w:type="dxa"/>
            <w:tcBorders>
              <w:top w:val="nil"/>
              <w:left w:val="nil"/>
              <w:bottom w:val="nil"/>
              <w:right w:val="nil"/>
            </w:tcBorders>
            <w:shd w:val="clear" w:color="auto" w:fill="auto"/>
            <w:noWrap/>
            <w:vAlign w:val="bottom"/>
            <w:hideMark/>
          </w:tcPr>
          <w:p w14:paraId="01C4B9FC" w14:textId="7AB8D17D" w:rsidR="00EF0377" w:rsidRPr="00B46AD5" w:rsidRDefault="00EF0377" w:rsidP="00EF0377">
            <w:pPr>
              <w:spacing w:line="240" w:lineRule="auto"/>
              <w:ind w:firstLine="0"/>
              <w:jc w:val="right"/>
              <w:rPr>
                <w:rFonts w:eastAsia="Times New Roman" w:cs="Times New Roman"/>
                <w:color w:val="000000"/>
                <w:szCs w:val="24"/>
              </w:rPr>
            </w:pPr>
            <w:r>
              <w:rPr>
                <w:color w:val="000000"/>
              </w:rPr>
              <w:t>0.097***</w:t>
            </w:r>
          </w:p>
        </w:tc>
        <w:tc>
          <w:tcPr>
            <w:tcW w:w="2790" w:type="dxa"/>
            <w:tcBorders>
              <w:top w:val="nil"/>
              <w:left w:val="nil"/>
              <w:bottom w:val="nil"/>
              <w:right w:val="nil"/>
            </w:tcBorders>
            <w:shd w:val="clear" w:color="auto" w:fill="auto"/>
            <w:noWrap/>
            <w:vAlign w:val="bottom"/>
            <w:hideMark/>
          </w:tcPr>
          <w:p w14:paraId="731F96F7" w14:textId="69B38B50" w:rsidR="00EF0377" w:rsidRPr="00B46AD5" w:rsidRDefault="00EF0377" w:rsidP="00EF0377">
            <w:pPr>
              <w:spacing w:line="240" w:lineRule="auto"/>
              <w:ind w:firstLine="0"/>
              <w:jc w:val="right"/>
              <w:rPr>
                <w:rFonts w:eastAsia="Times New Roman" w:cs="Times New Roman"/>
                <w:color w:val="000000"/>
                <w:szCs w:val="24"/>
              </w:rPr>
            </w:pPr>
            <w:r>
              <w:rPr>
                <w:color w:val="000000"/>
              </w:rPr>
              <w:t>0.019</w:t>
            </w:r>
          </w:p>
        </w:tc>
        <w:tc>
          <w:tcPr>
            <w:tcW w:w="2430" w:type="dxa"/>
            <w:tcBorders>
              <w:top w:val="nil"/>
              <w:left w:val="nil"/>
              <w:bottom w:val="nil"/>
              <w:right w:val="nil"/>
            </w:tcBorders>
            <w:vAlign w:val="bottom"/>
          </w:tcPr>
          <w:p w14:paraId="160EED13" w14:textId="6D262024" w:rsidR="00EF0377" w:rsidRDefault="00EF0377" w:rsidP="00EF0377">
            <w:pPr>
              <w:spacing w:line="240" w:lineRule="auto"/>
              <w:ind w:firstLine="0"/>
              <w:jc w:val="right"/>
              <w:rPr>
                <w:color w:val="000000"/>
              </w:rPr>
            </w:pPr>
            <w:r>
              <w:rPr>
                <w:color w:val="000000"/>
              </w:rPr>
              <w:t>-0.021</w:t>
            </w:r>
          </w:p>
        </w:tc>
      </w:tr>
      <w:tr w:rsidR="00EF0377" w:rsidRPr="00B46AD5" w14:paraId="225B5C1A" w14:textId="55A9BAA8" w:rsidTr="009C01FD">
        <w:trPr>
          <w:trHeight w:val="310"/>
          <w:jc w:val="center"/>
        </w:trPr>
        <w:tc>
          <w:tcPr>
            <w:tcW w:w="2357" w:type="dxa"/>
            <w:tcBorders>
              <w:top w:val="nil"/>
              <w:left w:val="nil"/>
              <w:bottom w:val="nil"/>
              <w:right w:val="nil"/>
            </w:tcBorders>
            <w:shd w:val="clear" w:color="auto" w:fill="auto"/>
            <w:noWrap/>
            <w:vAlign w:val="bottom"/>
            <w:hideMark/>
          </w:tcPr>
          <w:p w14:paraId="06E2E751"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49D0B709" w14:textId="65819A37" w:rsidR="00EF0377" w:rsidRPr="00B46AD5" w:rsidRDefault="00EF0377" w:rsidP="00EF0377">
            <w:pPr>
              <w:spacing w:line="240" w:lineRule="auto"/>
              <w:ind w:firstLine="0"/>
              <w:jc w:val="right"/>
              <w:rPr>
                <w:rFonts w:eastAsia="Times New Roman" w:cs="Times New Roman"/>
                <w:color w:val="000000"/>
                <w:szCs w:val="24"/>
              </w:rPr>
            </w:pPr>
            <w:r>
              <w:rPr>
                <w:color w:val="000000"/>
              </w:rPr>
              <w:t>(0.035)</w:t>
            </w:r>
          </w:p>
        </w:tc>
        <w:tc>
          <w:tcPr>
            <w:tcW w:w="2790" w:type="dxa"/>
            <w:tcBorders>
              <w:top w:val="nil"/>
              <w:left w:val="nil"/>
              <w:bottom w:val="nil"/>
              <w:right w:val="nil"/>
            </w:tcBorders>
            <w:shd w:val="clear" w:color="auto" w:fill="auto"/>
            <w:noWrap/>
            <w:vAlign w:val="bottom"/>
            <w:hideMark/>
          </w:tcPr>
          <w:p w14:paraId="670ABF57" w14:textId="5D069430" w:rsidR="00EF0377" w:rsidRPr="00B46AD5" w:rsidRDefault="00EF0377" w:rsidP="00EF0377">
            <w:pPr>
              <w:spacing w:line="240" w:lineRule="auto"/>
              <w:ind w:firstLine="0"/>
              <w:jc w:val="right"/>
              <w:rPr>
                <w:rFonts w:eastAsia="Times New Roman" w:cs="Times New Roman"/>
                <w:color w:val="000000"/>
                <w:szCs w:val="24"/>
              </w:rPr>
            </w:pPr>
            <w:r>
              <w:rPr>
                <w:color w:val="000000"/>
              </w:rPr>
              <w:t>(0.016)</w:t>
            </w:r>
          </w:p>
        </w:tc>
        <w:tc>
          <w:tcPr>
            <w:tcW w:w="2430" w:type="dxa"/>
            <w:tcBorders>
              <w:top w:val="nil"/>
              <w:left w:val="nil"/>
              <w:bottom w:val="nil"/>
              <w:right w:val="nil"/>
            </w:tcBorders>
            <w:vAlign w:val="bottom"/>
          </w:tcPr>
          <w:p w14:paraId="6B6AA72E" w14:textId="6AABFD69" w:rsidR="00EF0377" w:rsidRDefault="00EF0377" w:rsidP="00EF0377">
            <w:pPr>
              <w:spacing w:line="240" w:lineRule="auto"/>
              <w:ind w:firstLine="0"/>
              <w:jc w:val="right"/>
              <w:rPr>
                <w:color w:val="000000"/>
              </w:rPr>
            </w:pPr>
            <w:r>
              <w:rPr>
                <w:color w:val="000000"/>
              </w:rPr>
              <w:t>(0.041)</w:t>
            </w:r>
          </w:p>
        </w:tc>
      </w:tr>
      <w:tr w:rsidR="00EF0377" w:rsidRPr="00B46AD5" w14:paraId="1903D17C" w14:textId="759C7BFB" w:rsidTr="009C01FD">
        <w:trPr>
          <w:trHeight w:val="310"/>
          <w:jc w:val="center"/>
        </w:trPr>
        <w:tc>
          <w:tcPr>
            <w:tcW w:w="2357" w:type="dxa"/>
            <w:tcBorders>
              <w:top w:val="nil"/>
              <w:left w:val="nil"/>
              <w:bottom w:val="nil"/>
              <w:right w:val="nil"/>
            </w:tcBorders>
            <w:shd w:val="clear" w:color="auto" w:fill="auto"/>
            <w:noWrap/>
            <w:vAlign w:val="bottom"/>
            <w:hideMark/>
          </w:tcPr>
          <w:p w14:paraId="25E90FB6"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Reinsurance</w:t>
            </w:r>
          </w:p>
        </w:tc>
        <w:tc>
          <w:tcPr>
            <w:tcW w:w="1243" w:type="dxa"/>
            <w:tcBorders>
              <w:top w:val="nil"/>
              <w:left w:val="nil"/>
              <w:bottom w:val="nil"/>
              <w:right w:val="nil"/>
            </w:tcBorders>
            <w:shd w:val="clear" w:color="auto" w:fill="auto"/>
            <w:noWrap/>
            <w:vAlign w:val="bottom"/>
            <w:hideMark/>
          </w:tcPr>
          <w:p w14:paraId="790C90C8" w14:textId="40C256AD" w:rsidR="00EF0377" w:rsidRPr="00B46AD5" w:rsidRDefault="00EF0377" w:rsidP="00EF0377">
            <w:pPr>
              <w:spacing w:line="240" w:lineRule="auto"/>
              <w:ind w:firstLine="0"/>
              <w:jc w:val="right"/>
              <w:rPr>
                <w:rFonts w:eastAsia="Times New Roman" w:cs="Times New Roman"/>
                <w:color w:val="000000"/>
                <w:szCs w:val="24"/>
              </w:rPr>
            </w:pPr>
            <w:r>
              <w:rPr>
                <w:color w:val="000000"/>
              </w:rPr>
              <w:t>0.011***</w:t>
            </w:r>
          </w:p>
        </w:tc>
        <w:tc>
          <w:tcPr>
            <w:tcW w:w="2790" w:type="dxa"/>
            <w:tcBorders>
              <w:top w:val="nil"/>
              <w:left w:val="nil"/>
              <w:bottom w:val="nil"/>
              <w:right w:val="nil"/>
            </w:tcBorders>
            <w:shd w:val="clear" w:color="auto" w:fill="auto"/>
            <w:noWrap/>
            <w:vAlign w:val="bottom"/>
            <w:hideMark/>
          </w:tcPr>
          <w:p w14:paraId="721B366C" w14:textId="33955E0E" w:rsidR="00EF0377" w:rsidRPr="00B46AD5" w:rsidRDefault="00EF0377" w:rsidP="00EF0377">
            <w:pPr>
              <w:spacing w:line="240" w:lineRule="auto"/>
              <w:ind w:firstLine="0"/>
              <w:jc w:val="right"/>
              <w:rPr>
                <w:rFonts w:eastAsia="Times New Roman" w:cs="Times New Roman"/>
                <w:color w:val="000000"/>
                <w:szCs w:val="24"/>
              </w:rPr>
            </w:pPr>
            <w:r>
              <w:rPr>
                <w:color w:val="000000"/>
              </w:rPr>
              <w:t>0.009***</w:t>
            </w:r>
          </w:p>
        </w:tc>
        <w:tc>
          <w:tcPr>
            <w:tcW w:w="2430" w:type="dxa"/>
            <w:tcBorders>
              <w:top w:val="nil"/>
              <w:left w:val="nil"/>
              <w:bottom w:val="nil"/>
              <w:right w:val="nil"/>
            </w:tcBorders>
            <w:vAlign w:val="bottom"/>
          </w:tcPr>
          <w:p w14:paraId="0F4D3829" w14:textId="63259A8E" w:rsidR="00EF0377" w:rsidRDefault="00EF0377" w:rsidP="00EF0377">
            <w:pPr>
              <w:spacing w:line="240" w:lineRule="auto"/>
              <w:ind w:firstLine="0"/>
              <w:jc w:val="right"/>
              <w:rPr>
                <w:color w:val="000000"/>
              </w:rPr>
            </w:pPr>
            <w:r>
              <w:rPr>
                <w:color w:val="000000"/>
              </w:rPr>
              <w:t>0.014*</w:t>
            </w:r>
          </w:p>
        </w:tc>
      </w:tr>
      <w:tr w:rsidR="00EF0377" w:rsidRPr="00B46AD5" w14:paraId="6350D544" w14:textId="207026A2" w:rsidTr="009C01FD">
        <w:trPr>
          <w:trHeight w:val="310"/>
          <w:jc w:val="center"/>
        </w:trPr>
        <w:tc>
          <w:tcPr>
            <w:tcW w:w="2357" w:type="dxa"/>
            <w:tcBorders>
              <w:top w:val="nil"/>
              <w:left w:val="nil"/>
              <w:bottom w:val="nil"/>
              <w:right w:val="nil"/>
            </w:tcBorders>
            <w:shd w:val="clear" w:color="auto" w:fill="auto"/>
            <w:noWrap/>
            <w:vAlign w:val="bottom"/>
            <w:hideMark/>
          </w:tcPr>
          <w:p w14:paraId="42884C73"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01E9BFC8" w14:textId="0C267C97" w:rsidR="00EF0377" w:rsidRPr="00B46AD5" w:rsidRDefault="00EF0377" w:rsidP="00EF0377">
            <w:pPr>
              <w:spacing w:line="240" w:lineRule="auto"/>
              <w:ind w:firstLine="0"/>
              <w:jc w:val="right"/>
              <w:rPr>
                <w:rFonts w:eastAsia="Times New Roman" w:cs="Times New Roman"/>
                <w:color w:val="000000"/>
                <w:szCs w:val="24"/>
              </w:rPr>
            </w:pPr>
            <w:r>
              <w:rPr>
                <w:color w:val="000000"/>
              </w:rPr>
              <w:t>(0.004)</w:t>
            </w:r>
          </w:p>
        </w:tc>
        <w:tc>
          <w:tcPr>
            <w:tcW w:w="2790" w:type="dxa"/>
            <w:tcBorders>
              <w:top w:val="nil"/>
              <w:left w:val="nil"/>
              <w:bottom w:val="nil"/>
              <w:right w:val="nil"/>
            </w:tcBorders>
            <w:shd w:val="clear" w:color="auto" w:fill="auto"/>
            <w:noWrap/>
            <w:vAlign w:val="bottom"/>
            <w:hideMark/>
          </w:tcPr>
          <w:p w14:paraId="7F6F13A0" w14:textId="2C7276D4" w:rsidR="00EF0377" w:rsidRPr="00B46AD5" w:rsidRDefault="00EF0377" w:rsidP="00EF0377">
            <w:pPr>
              <w:spacing w:line="240" w:lineRule="auto"/>
              <w:ind w:firstLine="0"/>
              <w:jc w:val="right"/>
              <w:rPr>
                <w:rFonts w:eastAsia="Times New Roman" w:cs="Times New Roman"/>
                <w:color w:val="000000"/>
                <w:szCs w:val="24"/>
              </w:rPr>
            </w:pPr>
            <w:r>
              <w:rPr>
                <w:color w:val="000000"/>
              </w:rPr>
              <w:t>(0.003)</w:t>
            </w:r>
          </w:p>
        </w:tc>
        <w:tc>
          <w:tcPr>
            <w:tcW w:w="2430" w:type="dxa"/>
            <w:tcBorders>
              <w:top w:val="nil"/>
              <w:left w:val="nil"/>
              <w:bottom w:val="nil"/>
              <w:right w:val="nil"/>
            </w:tcBorders>
            <w:vAlign w:val="bottom"/>
          </w:tcPr>
          <w:p w14:paraId="0986CF00" w14:textId="34A72BA1" w:rsidR="00EF0377" w:rsidRDefault="00EF0377" w:rsidP="00EF0377">
            <w:pPr>
              <w:spacing w:line="240" w:lineRule="auto"/>
              <w:ind w:firstLine="0"/>
              <w:jc w:val="right"/>
              <w:rPr>
                <w:color w:val="000000"/>
              </w:rPr>
            </w:pPr>
            <w:r>
              <w:rPr>
                <w:color w:val="000000"/>
              </w:rPr>
              <w:t>(0.008)</w:t>
            </w:r>
          </w:p>
        </w:tc>
      </w:tr>
      <w:tr w:rsidR="00EF0377" w:rsidRPr="00B46AD5" w14:paraId="412E1C65" w14:textId="13BFE4AE" w:rsidTr="009C01FD">
        <w:trPr>
          <w:trHeight w:val="310"/>
          <w:jc w:val="center"/>
        </w:trPr>
        <w:tc>
          <w:tcPr>
            <w:tcW w:w="2357" w:type="dxa"/>
            <w:tcBorders>
              <w:top w:val="nil"/>
              <w:left w:val="nil"/>
              <w:bottom w:val="nil"/>
              <w:right w:val="nil"/>
            </w:tcBorders>
            <w:shd w:val="clear" w:color="auto" w:fill="auto"/>
            <w:noWrap/>
            <w:vAlign w:val="bottom"/>
            <w:hideMark/>
          </w:tcPr>
          <w:p w14:paraId="2F127117"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Advertising</w:t>
            </w:r>
          </w:p>
        </w:tc>
        <w:tc>
          <w:tcPr>
            <w:tcW w:w="1243" w:type="dxa"/>
            <w:tcBorders>
              <w:top w:val="nil"/>
              <w:left w:val="nil"/>
              <w:bottom w:val="nil"/>
              <w:right w:val="nil"/>
            </w:tcBorders>
            <w:shd w:val="clear" w:color="auto" w:fill="auto"/>
            <w:noWrap/>
            <w:vAlign w:val="bottom"/>
            <w:hideMark/>
          </w:tcPr>
          <w:p w14:paraId="71893B98" w14:textId="0A0A7849" w:rsidR="00EF0377" w:rsidRPr="00B46AD5" w:rsidRDefault="00EF0377" w:rsidP="00EF0377">
            <w:pPr>
              <w:spacing w:line="240" w:lineRule="auto"/>
              <w:ind w:firstLine="0"/>
              <w:jc w:val="right"/>
              <w:rPr>
                <w:rFonts w:eastAsia="Times New Roman" w:cs="Times New Roman"/>
                <w:color w:val="000000"/>
                <w:szCs w:val="24"/>
              </w:rPr>
            </w:pPr>
            <w:r>
              <w:rPr>
                <w:color w:val="000000"/>
              </w:rPr>
              <w:t>0.306</w:t>
            </w:r>
          </w:p>
        </w:tc>
        <w:tc>
          <w:tcPr>
            <w:tcW w:w="2790" w:type="dxa"/>
            <w:tcBorders>
              <w:top w:val="nil"/>
              <w:left w:val="nil"/>
              <w:bottom w:val="nil"/>
              <w:right w:val="nil"/>
            </w:tcBorders>
            <w:shd w:val="clear" w:color="auto" w:fill="auto"/>
            <w:noWrap/>
            <w:vAlign w:val="bottom"/>
            <w:hideMark/>
          </w:tcPr>
          <w:p w14:paraId="38C037EC" w14:textId="1CB6D5B0" w:rsidR="00EF0377" w:rsidRPr="00B46AD5" w:rsidRDefault="00EF0377" w:rsidP="00EF0377">
            <w:pPr>
              <w:spacing w:line="240" w:lineRule="auto"/>
              <w:ind w:firstLine="0"/>
              <w:jc w:val="right"/>
              <w:rPr>
                <w:rFonts w:eastAsia="Times New Roman" w:cs="Times New Roman"/>
                <w:color w:val="000000"/>
                <w:szCs w:val="24"/>
              </w:rPr>
            </w:pPr>
            <w:r>
              <w:rPr>
                <w:color w:val="000000"/>
              </w:rPr>
              <w:t>0.208</w:t>
            </w:r>
          </w:p>
        </w:tc>
        <w:tc>
          <w:tcPr>
            <w:tcW w:w="2430" w:type="dxa"/>
            <w:tcBorders>
              <w:top w:val="nil"/>
              <w:left w:val="nil"/>
              <w:bottom w:val="nil"/>
              <w:right w:val="nil"/>
            </w:tcBorders>
            <w:vAlign w:val="bottom"/>
          </w:tcPr>
          <w:p w14:paraId="43B4AB19" w14:textId="0C418480" w:rsidR="00EF0377" w:rsidRDefault="00EF0377" w:rsidP="00EF0377">
            <w:pPr>
              <w:spacing w:line="240" w:lineRule="auto"/>
              <w:ind w:firstLine="0"/>
              <w:jc w:val="right"/>
              <w:rPr>
                <w:color w:val="000000"/>
              </w:rPr>
            </w:pPr>
            <w:r>
              <w:rPr>
                <w:color w:val="000000"/>
              </w:rPr>
              <w:t>0.606</w:t>
            </w:r>
          </w:p>
        </w:tc>
      </w:tr>
      <w:tr w:rsidR="00EF0377" w:rsidRPr="00B46AD5" w14:paraId="274BB87D" w14:textId="0514A74A" w:rsidTr="009C01FD">
        <w:trPr>
          <w:trHeight w:val="310"/>
          <w:jc w:val="center"/>
        </w:trPr>
        <w:tc>
          <w:tcPr>
            <w:tcW w:w="2357" w:type="dxa"/>
            <w:tcBorders>
              <w:top w:val="nil"/>
              <w:left w:val="nil"/>
              <w:bottom w:val="nil"/>
              <w:right w:val="nil"/>
            </w:tcBorders>
            <w:shd w:val="clear" w:color="auto" w:fill="auto"/>
            <w:noWrap/>
            <w:vAlign w:val="bottom"/>
            <w:hideMark/>
          </w:tcPr>
          <w:p w14:paraId="2104295B"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37B359A8" w14:textId="3745144D" w:rsidR="00EF0377" w:rsidRPr="00B46AD5" w:rsidRDefault="00EF0377" w:rsidP="00EF0377">
            <w:pPr>
              <w:spacing w:line="240" w:lineRule="auto"/>
              <w:ind w:firstLine="0"/>
              <w:jc w:val="right"/>
              <w:rPr>
                <w:rFonts w:eastAsia="Times New Roman" w:cs="Times New Roman"/>
                <w:color w:val="000000"/>
                <w:szCs w:val="24"/>
              </w:rPr>
            </w:pPr>
            <w:r>
              <w:rPr>
                <w:color w:val="000000"/>
              </w:rPr>
              <w:t>(0.356)</w:t>
            </w:r>
          </w:p>
        </w:tc>
        <w:tc>
          <w:tcPr>
            <w:tcW w:w="2790" w:type="dxa"/>
            <w:tcBorders>
              <w:top w:val="nil"/>
              <w:left w:val="nil"/>
              <w:bottom w:val="nil"/>
              <w:right w:val="nil"/>
            </w:tcBorders>
            <w:shd w:val="clear" w:color="auto" w:fill="auto"/>
            <w:noWrap/>
            <w:vAlign w:val="bottom"/>
            <w:hideMark/>
          </w:tcPr>
          <w:p w14:paraId="76835473" w14:textId="6161B7C0" w:rsidR="00EF0377" w:rsidRPr="00B46AD5" w:rsidRDefault="00EF0377" w:rsidP="00EF0377">
            <w:pPr>
              <w:spacing w:line="240" w:lineRule="auto"/>
              <w:ind w:firstLine="0"/>
              <w:jc w:val="right"/>
              <w:rPr>
                <w:rFonts w:eastAsia="Times New Roman" w:cs="Times New Roman"/>
                <w:color w:val="000000"/>
                <w:szCs w:val="24"/>
              </w:rPr>
            </w:pPr>
            <w:r>
              <w:rPr>
                <w:color w:val="000000"/>
              </w:rPr>
              <w:t>(0.258)</w:t>
            </w:r>
          </w:p>
        </w:tc>
        <w:tc>
          <w:tcPr>
            <w:tcW w:w="2430" w:type="dxa"/>
            <w:tcBorders>
              <w:top w:val="nil"/>
              <w:left w:val="nil"/>
              <w:bottom w:val="nil"/>
              <w:right w:val="nil"/>
            </w:tcBorders>
            <w:vAlign w:val="bottom"/>
          </w:tcPr>
          <w:p w14:paraId="0462871F" w14:textId="4884E124" w:rsidR="00EF0377" w:rsidRDefault="00EF0377" w:rsidP="00EF0377">
            <w:pPr>
              <w:spacing w:line="240" w:lineRule="auto"/>
              <w:ind w:firstLine="0"/>
              <w:jc w:val="right"/>
              <w:rPr>
                <w:color w:val="000000"/>
              </w:rPr>
            </w:pPr>
            <w:r>
              <w:rPr>
                <w:color w:val="000000"/>
              </w:rPr>
              <w:t>(0.385)</w:t>
            </w:r>
          </w:p>
        </w:tc>
      </w:tr>
      <w:tr w:rsidR="00EF0377" w:rsidRPr="00B46AD5" w14:paraId="20C236EC" w14:textId="52E65D71" w:rsidTr="009C01FD">
        <w:trPr>
          <w:trHeight w:val="310"/>
          <w:jc w:val="center"/>
        </w:trPr>
        <w:tc>
          <w:tcPr>
            <w:tcW w:w="2357" w:type="dxa"/>
            <w:tcBorders>
              <w:top w:val="nil"/>
              <w:left w:val="nil"/>
              <w:bottom w:val="nil"/>
              <w:right w:val="nil"/>
            </w:tcBorders>
            <w:shd w:val="clear" w:color="auto" w:fill="auto"/>
            <w:noWrap/>
            <w:vAlign w:val="bottom"/>
            <w:hideMark/>
          </w:tcPr>
          <w:p w14:paraId="1EF15EDE"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Surveys &amp; Audits</w:t>
            </w:r>
          </w:p>
        </w:tc>
        <w:tc>
          <w:tcPr>
            <w:tcW w:w="1243" w:type="dxa"/>
            <w:tcBorders>
              <w:top w:val="nil"/>
              <w:left w:val="nil"/>
              <w:bottom w:val="nil"/>
              <w:right w:val="nil"/>
            </w:tcBorders>
            <w:shd w:val="clear" w:color="auto" w:fill="auto"/>
            <w:noWrap/>
            <w:vAlign w:val="bottom"/>
            <w:hideMark/>
          </w:tcPr>
          <w:p w14:paraId="2CD11AC1" w14:textId="4EC32A12" w:rsidR="00EF0377" w:rsidRPr="00B46AD5" w:rsidRDefault="00EF0377" w:rsidP="00EF0377">
            <w:pPr>
              <w:spacing w:line="240" w:lineRule="auto"/>
              <w:ind w:firstLine="0"/>
              <w:jc w:val="right"/>
              <w:rPr>
                <w:rFonts w:eastAsia="Times New Roman" w:cs="Times New Roman"/>
                <w:color w:val="000000"/>
                <w:szCs w:val="24"/>
              </w:rPr>
            </w:pPr>
            <w:r>
              <w:rPr>
                <w:color w:val="000000"/>
              </w:rPr>
              <w:t>0.147</w:t>
            </w:r>
          </w:p>
        </w:tc>
        <w:tc>
          <w:tcPr>
            <w:tcW w:w="2790" w:type="dxa"/>
            <w:tcBorders>
              <w:top w:val="nil"/>
              <w:left w:val="nil"/>
              <w:bottom w:val="nil"/>
              <w:right w:val="nil"/>
            </w:tcBorders>
            <w:shd w:val="clear" w:color="auto" w:fill="auto"/>
            <w:noWrap/>
            <w:vAlign w:val="bottom"/>
            <w:hideMark/>
          </w:tcPr>
          <w:p w14:paraId="6CFC291D" w14:textId="044B13F2" w:rsidR="00EF0377" w:rsidRPr="00B46AD5" w:rsidRDefault="00EF0377" w:rsidP="00EF0377">
            <w:pPr>
              <w:spacing w:line="240" w:lineRule="auto"/>
              <w:ind w:firstLine="0"/>
              <w:jc w:val="right"/>
              <w:rPr>
                <w:rFonts w:eastAsia="Times New Roman" w:cs="Times New Roman"/>
                <w:color w:val="000000"/>
                <w:szCs w:val="24"/>
              </w:rPr>
            </w:pPr>
            <w:r>
              <w:rPr>
                <w:color w:val="000000"/>
              </w:rPr>
              <w:t>0.210</w:t>
            </w:r>
          </w:p>
        </w:tc>
        <w:tc>
          <w:tcPr>
            <w:tcW w:w="2430" w:type="dxa"/>
            <w:tcBorders>
              <w:top w:val="nil"/>
              <w:left w:val="nil"/>
              <w:bottom w:val="nil"/>
              <w:right w:val="nil"/>
            </w:tcBorders>
            <w:vAlign w:val="bottom"/>
          </w:tcPr>
          <w:p w14:paraId="6A9BA631" w14:textId="2CBDF639" w:rsidR="00EF0377" w:rsidRDefault="00EF0377" w:rsidP="00EF0377">
            <w:pPr>
              <w:spacing w:line="240" w:lineRule="auto"/>
              <w:ind w:firstLine="0"/>
              <w:jc w:val="right"/>
              <w:rPr>
                <w:color w:val="000000"/>
              </w:rPr>
            </w:pPr>
            <w:r>
              <w:rPr>
                <w:color w:val="000000"/>
              </w:rPr>
              <w:t>0.258</w:t>
            </w:r>
          </w:p>
        </w:tc>
      </w:tr>
      <w:tr w:rsidR="00EF0377" w:rsidRPr="00B46AD5" w14:paraId="78B3326B" w14:textId="7043A673" w:rsidTr="009C01FD">
        <w:trPr>
          <w:trHeight w:val="310"/>
          <w:jc w:val="center"/>
        </w:trPr>
        <w:tc>
          <w:tcPr>
            <w:tcW w:w="2357" w:type="dxa"/>
            <w:tcBorders>
              <w:top w:val="nil"/>
              <w:left w:val="nil"/>
              <w:bottom w:val="nil"/>
              <w:right w:val="nil"/>
            </w:tcBorders>
            <w:shd w:val="clear" w:color="auto" w:fill="auto"/>
            <w:noWrap/>
            <w:vAlign w:val="bottom"/>
            <w:hideMark/>
          </w:tcPr>
          <w:p w14:paraId="55C1B91A"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03E6EB39" w14:textId="391B38EA" w:rsidR="00EF0377" w:rsidRPr="00B46AD5" w:rsidRDefault="00EF0377" w:rsidP="00EF0377">
            <w:pPr>
              <w:spacing w:line="240" w:lineRule="auto"/>
              <w:ind w:firstLine="0"/>
              <w:jc w:val="right"/>
              <w:rPr>
                <w:rFonts w:eastAsia="Times New Roman" w:cs="Times New Roman"/>
                <w:color w:val="000000"/>
                <w:szCs w:val="24"/>
              </w:rPr>
            </w:pPr>
            <w:r>
              <w:rPr>
                <w:color w:val="000000"/>
              </w:rPr>
              <w:t>(0.263)</w:t>
            </w:r>
          </w:p>
        </w:tc>
        <w:tc>
          <w:tcPr>
            <w:tcW w:w="2790" w:type="dxa"/>
            <w:tcBorders>
              <w:top w:val="nil"/>
              <w:left w:val="nil"/>
              <w:bottom w:val="nil"/>
              <w:right w:val="nil"/>
            </w:tcBorders>
            <w:shd w:val="clear" w:color="auto" w:fill="auto"/>
            <w:noWrap/>
            <w:vAlign w:val="bottom"/>
            <w:hideMark/>
          </w:tcPr>
          <w:p w14:paraId="4CDA95D7" w14:textId="4F6FCBD9" w:rsidR="00EF0377" w:rsidRPr="00B46AD5" w:rsidRDefault="00EF0377" w:rsidP="00EF0377">
            <w:pPr>
              <w:spacing w:line="240" w:lineRule="auto"/>
              <w:ind w:firstLine="0"/>
              <w:jc w:val="right"/>
              <w:rPr>
                <w:rFonts w:eastAsia="Times New Roman" w:cs="Times New Roman"/>
                <w:color w:val="000000"/>
                <w:szCs w:val="24"/>
              </w:rPr>
            </w:pPr>
            <w:r>
              <w:rPr>
                <w:color w:val="000000"/>
              </w:rPr>
              <w:t>(0.211)</w:t>
            </w:r>
          </w:p>
        </w:tc>
        <w:tc>
          <w:tcPr>
            <w:tcW w:w="2430" w:type="dxa"/>
            <w:tcBorders>
              <w:top w:val="nil"/>
              <w:left w:val="nil"/>
              <w:bottom w:val="nil"/>
              <w:right w:val="nil"/>
            </w:tcBorders>
            <w:vAlign w:val="bottom"/>
          </w:tcPr>
          <w:p w14:paraId="6E558542" w14:textId="0E9BC1E0" w:rsidR="00EF0377" w:rsidRDefault="00EF0377" w:rsidP="00EF0377">
            <w:pPr>
              <w:spacing w:line="240" w:lineRule="auto"/>
              <w:ind w:firstLine="0"/>
              <w:jc w:val="right"/>
              <w:rPr>
                <w:color w:val="000000"/>
              </w:rPr>
            </w:pPr>
            <w:r>
              <w:rPr>
                <w:color w:val="000000"/>
              </w:rPr>
              <w:t>(0.367)</w:t>
            </w:r>
          </w:p>
        </w:tc>
      </w:tr>
      <w:tr w:rsidR="00EF0377" w:rsidRPr="00B46AD5" w14:paraId="0B40CA94" w14:textId="61E61C00" w:rsidTr="009C01FD">
        <w:trPr>
          <w:trHeight w:val="310"/>
          <w:jc w:val="center"/>
        </w:trPr>
        <w:tc>
          <w:tcPr>
            <w:tcW w:w="2357" w:type="dxa"/>
            <w:tcBorders>
              <w:top w:val="nil"/>
              <w:left w:val="nil"/>
              <w:bottom w:val="nil"/>
              <w:right w:val="nil"/>
            </w:tcBorders>
            <w:shd w:val="clear" w:color="auto" w:fill="auto"/>
            <w:noWrap/>
            <w:vAlign w:val="bottom"/>
            <w:hideMark/>
          </w:tcPr>
          <w:p w14:paraId="0DA2207F"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_cons</w:t>
            </w:r>
          </w:p>
        </w:tc>
        <w:tc>
          <w:tcPr>
            <w:tcW w:w="1243" w:type="dxa"/>
            <w:tcBorders>
              <w:top w:val="nil"/>
              <w:left w:val="nil"/>
              <w:bottom w:val="nil"/>
              <w:right w:val="nil"/>
            </w:tcBorders>
            <w:shd w:val="clear" w:color="auto" w:fill="auto"/>
            <w:noWrap/>
            <w:vAlign w:val="bottom"/>
            <w:hideMark/>
          </w:tcPr>
          <w:p w14:paraId="1FC551B9" w14:textId="13ED5924" w:rsidR="00EF0377" w:rsidRPr="00B46AD5" w:rsidRDefault="00EF0377" w:rsidP="00EF0377">
            <w:pPr>
              <w:spacing w:line="240" w:lineRule="auto"/>
              <w:ind w:firstLine="0"/>
              <w:jc w:val="right"/>
              <w:rPr>
                <w:rFonts w:eastAsia="Times New Roman" w:cs="Times New Roman"/>
                <w:color w:val="000000"/>
                <w:szCs w:val="24"/>
              </w:rPr>
            </w:pPr>
            <w:r>
              <w:rPr>
                <w:color w:val="000000"/>
              </w:rPr>
              <w:t>3.535***</w:t>
            </w:r>
          </w:p>
        </w:tc>
        <w:tc>
          <w:tcPr>
            <w:tcW w:w="2790" w:type="dxa"/>
            <w:tcBorders>
              <w:top w:val="nil"/>
              <w:left w:val="nil"/>
              <w:bottom w:val="nil"/>
              <w:right w:val="nil"/>
            </w:tcBorders>
            <w:shd w:val="clear" w:color="auto" w:fill="auto"/>
            <w:noWrap/>
            <w:vAlign w:val="bottom"/>
            <w:hideMark/>
          </w:tcPr>
          <w:p w14:paraId="6FDCF8C7" w14:textId="69379C87" w:rsidR="00EF0377" w:rsidRPr="00B46AD5" w:rsidRDefault="00EF0377" w:rsidP="00EF0377">
            <w:pPr>
              <w:spacing w:line="240" w:lineRule="auto"/>
              <w:ind w:firstLine="0"/>
              <w:jc w:val="right"/>
              <w:rPr>
                <w:rFonts w:eastAsia="Times New Roman" w:cs="Times New Roman"/>
                <w:color w:val="000000"/>
                <w:szCs w:val="24"/>
              </w:rPr>
            </w:pPr>
            <w:r>
              <w:rPr>
                <w:color w:val="000000"/>
              </w:rPr>
              <w:t>4.730***</w:t>
            </w:r>
          </w:p>
        </w:tc>
        <w:tc>
          <w:tcPr>
            <w:tcW w:w="2430" w:type="dxa"/>
            <w:tcBorders>
              <w:top w:val="nil"/>
              <w:left w:val="nil"/>
              <w:bottom w:val="nil"/>
              <w:right w:val="nil"/>
            </w:tcBorders>
            <w:vAlign w:val="bottom"/>
          </w:tcPr>
          <w:p w14:paraId="53CD22E9" w14:textId="086967B3" w:rsidR="00EF0377" w:rsidRDefault="00EF0377" w:rsidP="00EF0377">
            <w:pPr>
              <w:spacing w:line="240" w:lineRule="auto"/>
              <w:ind w:firstLine="0"/>
              <w:jc w:val="right"/>
              <w:rPr>
                <w:color w:val="000000"/>
              </w:rPr>
            </w:pPr>
            <w:r>
              <w:rPr>
                <w:color w:val="000000"/>
              </w:rPr>
              <w:t>4.916***</w:t>
            </w:r>
          </w:p>
        </w:tc>
      </w:tr>
      <w:tr w:rsidR="00EF0377" w:rsidRPr="00B46AD5" w14:paraId="61B2C664" w14:textId="7FC12898" w:rsidTr="009C01FD">
        <w:trPr>
          <w:trHeight w:val="310"/>
          <w:jc w:val="center"/>
        </w:trPr>
        <w:tc>
          <w:tcPr>
            <w:tcW w:w="2357" w:type="dxa"/>
            <w:tcBorders>
              <w:top w:val="nil"/>
              <w:left w:val="nil"/>
              <w:bottom w:val="nil"/>
              <w:right w:val="nil"/>
            </w:tcBorders>
            <w:shd w:val="clear" w:color="auto" w:fill="auto"/>
            <w:noWrap/>
            <w:vAlign w:val="bottom"/>
            <w:hideMark/>
          </w:tcPr>
          <w:p w14:paraId="4FA852FA" w14:textId="77777777" w:rsidR="00EF0377" w:rsidRPr="00940704" w:rsidRDefault="00EF0377" w:rsidP="00EF0377">
            <w:pPr>
              <w:spacing w:line="240" w:lineRule="auto"/>
              <w:ind w:firstLine="0"/>
              <w:jc w:val="right"/>
              <w:rPr>
                <w:rFonts w:eastAsia="Times New Roman" w:cs="Times New Roman"/>
                <w:color w:val="000000"/>
                <w:szCs w:val="24"/>
              </w:rPr>
            </w:pPr>
          </w:p>
        </w:tc>
        <w:tc>
          <w:tcPr>
            <w:tcW w:w="1243" w:type="dxa"/>
            <w:tcBorders>
              <w:top w:val="nil"/>
              <w:left w:val="nil"/>
              <w:bottom w:val="nil"/>
              <w:right w:val="nil"/>
            </w:tcBorders>
            <w:shd w:val="clear" w:color="auto" w:fill="auto"/>
            <w:noWrap/>
            <w:vAlign w:val="bottom"/>
            <w:hideMark/>
          </w:tcPr>
          <w:p w14:paraId="0784180A" w14:textId="7369F16F" w:rsidR="00EF0377" w:rsidRPr="00B46AD5" w:rsidRDefault="00EF0377" w:rsidP="00EF0377">
            <w:pPr>
              <w:spacing w:line="240" w:lineRule="auto"/>
              <w:ind w:firstLine="0"/>
              <w:jc w:val="right"/>
              <w:rPr>
                <w:rFonts w:eastAsia="Times New Roman" w:cs="Times New Roman"/>
                <w:color w:val="000000"/>
                <w:szCs w:val="24"/>
              </w:rPr>
            </w:pPr>
            <w:r>
              <w:rPr>
                <w:color w:val="000000"/>
              </w:rPr>
              <w:t>(0.095)</w:t>
            </w:r>
          </w:p>
        </w:tc>
        <w:tc>
          <w:tcPr>
            <w:tcW w:w="2790" w:type="dxa"/>
            <w:tcBorders>
              <w:top w:val="nil"/>
              <w:left w:val="nil"/>
              <w:bottom w:val="nil"/>
              <w:right w:val="nil"/>
            </w:tcBorders>
            <w:shd w:val="clear" w:color="auto" w:fill="auto"/>
            <w:noWrap/>
            <w:vAlign w:val="bottom"/>
            <w:hideMark/>
          </w:tcPr>
          <w:p w14:paraId="719AFB97" w14:textId="004291D4" w:rsidR="00EF0377" w:rsidRPr="00B46AD5" w:rsidRDefault="00EF0377" w:rsidP="00EF0377">
            <w:pPr>
              <w:spacing w:line="240" w:lineRule="auto"/>
              <w:ind w:firstLine="0"/>
              <w:jc w:val="right"/>
              <w:rPr>
                <w:rFonts w:eastAsia="Times New Roman" w:cs="Times New Roman"/>
                <w:color w:val="000000"/>
                <w:szCs w:val="24"/>
              </w:rPr>
            </w:pPr>
            <w:r>
              <w:rPr>
                <w:color w:val="000000"/>
              </w:rPr>
              <w:t>(0.079)</w:t>
            </w:r>
          </w:p>
        </w:tc>
        <w:tc>
          <w:tcPr>
            <w:tcW w:w="2430" w:type="dxa"/>
            <w:tcBorders>
              <w:top w:val="nil"/>
              <w:left w:val="nil"/>
              <w:bottom w:val="nil"/>
              <w:right w:val="nil"/>
            </w:tcBorders>
            <w:vAlign w:val="bottom"/>
          </w:tcPr>
          <w:p w14:paraId="303F5B43" w14:textId="4EBBEFC7" w:rsidR="00EF0377" w:rsidRDefault="00EF0377" w:rsidP="00EF0377">
            <w:pPr>
              <w:spacing w:line="240" w:lineRule="auto"/>
              <w:ind w:firstLine="0"/>
              <w:jc w:val="right"/>
              <w:rPr>
                <w:color w:val="000000"/>
              </w:rPr>
            </w:pPr>
            <w:r>
              <w:rPr>
                <w:color w:val="000000"/>
              </w:rPr>
              <w:t>(0.128)</w:t>
            </w:r>
          </w:p>
        </w:tc>
      </w:tr>
      <w:tr w:rsidR="00EF0377" w:rsidRPr="00B46AD5" w14:paraId="75F24DBF" w14:textId="099CDF8D" w:rsidTr="009C01FD">
        <w:trPr>
          <w:trHeight w:val="310"/>
          <w:jc w:val="center"/>
        </w:trPr>
        <w:tc>
          <w:tcPr>
            <w:tcW w:w="2357" w:type="dxa"/>
            <w:tcBorders>
              <w:top w:val="nil"/>
              <w:left w:val="nil"/>
              <w:bottom w:val="single" w:sz="4" w:space="0" w:color="auto"/>
              <w:right w:val="nil"/>
            </w:tcBorders>
            <w:shd w:val="clear" w:color="auto" w:fill="auto"/>
            <w:noWrap/>
            <w:vAlign w:val="bottom"/>
            <w:hideMark/>
          </w:tcPr>
          <w:p w14:paraId="2271D1F5" w14:textId="77777777" w:rsidR="00EF0377" w:rsidRPr="00940704" w:rsidRDefault="00EF0377" w:rsidP="00EF0377">
            <w:pPr>
              <w:spacing w:line="240" w:lineRule="auto"/>
              <w:ind w:firstLine="0"/>
              <w:jc w:val="left"/>
              <w:rPr>
                <w:rFonts w:eastAsia="Times New Roman" w:cs="Times New Roman"/>
                <w:bCs/>
                <w:color w:val="000000"/>
                <w:szCs w:val="24"/>
              </w:rPr>
            </w:pPr>
            <w:r w:rsidRPr="00940704">
              <w:rPr>
                <w:rFonts w:eastAsia="Times New Roman" w:cs="Times New Roman"/>
                <w:bCs/>
                <w:color w:val="000000"/>
                <w:szCs w:val="24"/>
              </w:rPr>
              <w:t>N</w:t>
            </w:r>
          </w:p>
        </w:tc>
        <w:tc>
          <w:tcPr>
            <w:tcW w:w="1243" w:type="dxa"/>
            <w:tcBorders>
              <w:top w:val="nil"/>
              <w:left w:val="nil"/>
              <w:bottom w:val="single" w:sz="4" w:space="0" w:color="auto"/>
              <w:right w:val="nil"/>
            </w:tcBorders>
            <w:shd w:val="clear" w:color="auto" w:fill="auto"/>
            <w:noWrap/>
            <w:vAlign w:val="bottom"/>
            <w:hideMark/>
          </w:tcPr>
          <w:p w14:paraId="03905F80" w14:textId="19ECE108" w:rsidR="00EF0377" w:rsidRPr="00B46AD5" w:rsidRDefault="00EF0377" w:rsidP="00EF0377">
            <w:pPr>
              <w:spacing w:line="240" w:lineRule="auto"/>
              <w:ind w:firstLine="0"/>
              <w:jc w:val="right"/>
              <w:rPr>
                <w:rFonts w:eastAsia="Times New Roman" w:cs="Times New Roman"/>
                <w:color w:val="000000"/>
                <w:szCs w:val="24"/>
              </w:rPr>
            </w:pPr>
            <w:r>
              <w:rPr>
                <w:color w:val="000000"/>
              </w:rPr>
              <w:t>6715</w:t>
            </w:r>
          </w:p>
        </w:tc>
        <w:tc>
          <w:tcPr>
            <w:tcW w:w="2790" w:type="dxa"/>
            <w:tcBorders>
              <w:top w:val="nil"/>
              <w:left w:val="nil"/>
              <w:bottom w:val="single" w:sz="4" w:space="0" w:color="auto"/>
              <w:right w:val="nil"/>
            </w:tcBorders>
            <w:shd w:val="clear" w:color="auto" w:fill="auto"/>
            <w:noWrap/>
            <w:vAlign w:val="bottom"/>
            <w:hideMark/>
          </w:tcPr>
          <w:p w14:paraId="54AC6D84" w14:textId="1BFD5974" w:rsidR="00EF0377" w:rsidRPr="00B46AD5" w:rsidRDefault="00EF0377" w:rsidP="00EF0377">
            <w:pPr>
              <w:spacing w:line="240" w:lineRule="auto"/>
              <w:ind w:firstLine="0"/>
              <w:jc w:val="right"/>
              <w:rPr>
                <w:rFonts w:eastAsia="Times New Roman" w:cs="Times New Roman"/>
                <w:color w:val="000000"/>
                <w:szCs w:val="24"/>
              </w:rPr>
            </w:pPr>
            <w:r>
              <w:rPr>
                <w:color w:val="000000"/>
              </w:rPr>
              <w:t>6759</w:t>
            </w:r>
          </w:p>
        </w:tc>
        <w:tc>
          <w:tcPr>
            <w:tcW w:w="2430" w:type="dxa"/>
            <w:tcBorders>
              <w:top w:val="nil"/>
              <w:left w:val="nil"/>
              <w:bottom w:val="single" w:sz="4" w:space="0" w:color="auto"/>
              <w:right w:val="nil"/>
            </w:tcBorders>
            <w:vAlign w:val="bottom"/>
          </w:tcPr>
          <w:p w14:paraId="6238DF44" w14:textId="1AEA9683" w:rsidR="00EF0377" w:rsidRDefault="00EF0377" w:rsidP="00EF0377">
            <w:pPr>
              <w:spacing w:line="240" w:lineRule="auto"/>
              <w:ind w:firstLine="0"/>
              <w:jc w:val="right"/>
              <w:rPr>
                <w:color w:val="000000"/>
              </w:rPr>
            </w:pPr>
            <w:r>
              <w:rPr>
                <w:color w:val="000000"/>
              </w:rPr>
              <w:t>6690</w:t>
            </w:r>
          </w:p>
        </w:tc>
      </w:tr>
    </w:tbl>
    <w:p w14:paraId="2C326D3B" w14:textId="77777777" w:rsidR="00477C34" w:rsidRPr="00477C34" w:rsidRDefault="00477C34" w:rsidP="00477C34">
      <w:pPr>
        <w:spacing w:line="240" w:lineRule="auto"/>
        <w:ind w:firstLine="0"/>
        <w:rPr>
          <w:rFonts w:cs="Times New Roman"/>
          <w:sz w:val="20"/>
        </w:rPr>
      </w:pPr>
      <w:r w:rsidRPr="00477C34">
        <w:rPr>
          <w:rFonts w:cs="Times New Roman"/>
          <w:sz w:val="20"/>
        </w:rPr>
        <w:t>*Note: Statistical significance at the 1, 5, and 10 percent levels are denoted by ***, **, and * respectively.</w:t>
      </w:r>
    </w:p>
    <w:p w14:paraId="3FC60C44" w14:textId="196B96DF" w:rsidR="00477C34" w:rsidRDefault="00477C34" w:rsidP="00477C34">
      <w:pPr>
        <w:spacing w:line="240" w:lineRule="auto"/>
        <w:ind w:firstLine="0"/>
        <w:rPr>
          <w:rFonts w:cs="Times New Roman"/>
          <w:sz w:val="20"/>
        </w:rPr>
      </w:pPr>
      <w:r w:rsidRPr="00477C34">
        <w:rPr>
          <w:rFonts w:cs="Times New Roman"/>
          <w:sz w:val="20"/>
        </w:rPr>
        <w:t>*Cont is measured by the percentage of net contingent commissions to net total commissions; Firm size is measured as natural logarithm of total admitted assets; Commercial lines of business is measured by proportion of net premiums written in commercial lines of business; Leverage is measured as ratio of liabilities to surplus; HHI_lines is Herfindahl index of premiums written by business lines; HHI_states is Herfindahl index of premiums written by states; Group member indicator is equal to one if the insurer is identified as a group by AM Best; Stock insurer dummy equals to one if the insurer is a stock company and zero otherwise; Independent agency indicator is equal to one if the insurer is identified as independent agency or broker by AM Best; Publicly traded indicator is  equal to one if the insurer is identified as being publicly traded by AM Best; Advertising   is measured as the ratio of advertising expenditures to net premiums written; Surveys &amp; Audits  is measured as the ratio of  expenditure on surveys and audits to net premiums written; Reinsurance is measured  as premiums ceded divided by direct premiums written plus reinsurance assumed</w:t>
      </w:r>
      <w:r w:rsidR="007B7E08">
        <w:rPr>
          <w:rFonts w:cs="Times New Roman"/>
          <w:sz w:val="20"/>
        </w:rPr>
        <w:t>.</w:t>
      </w:r>
    </w:p>
    <w:p w14:paraId="70BCD20D" w14:textId="77777777" w:rsidR="009C01FD" w:rsidRDefault="009C01FD" w:rsidP="00477C34">
      <w:pPr>
        <w:spacing w:line="240" w:lineRule="auto"/>
        <w:ind w:firstLine="0"/>
        <w:rPr>
          <w:rFonts w:cs="Times New Roman"/>
          <w:sz w:val="20"/>
        </w:rPr>
      </w:pPr>
    </w:p>
    <w:p w14:paraId="4031494B" w14:textId="77777777" w:rsidR="009C01FD" w:rsidRPr="007B7E08" w:rsidRDefault="009C01FD" w:rsidP="00477C34">
      <w:pPr>
        <w:spacing w:line="240" w:lineRule="auto"/>
        <w:ind w:firstLine="0"/>
        <w:rPr>
          <w:rFonts w:cs="Times New Roman"/>
          <w:sz w:val="20"/>
        </w:rPr>
      </w:pPr>
    </w:p>
    <w:sectPr w:rsidR="009C01FD" w:rsidRPr="007B7E08" w:rsidSect="004773D8">
      <w:footerReference w:type="default" r:id="rId13"/>
      <w:pgSz w:w="12240" w:h="15840" w:code="1"/>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503F" w14:textId="77777777" w:rsidR="00D23C2E" w:rsidRDefault="00D23C2E">
      <w:pPr>
        <w:spacing w:line="240" w:lineRule="auto"/>
      </w:pPr>
      <w:r>
        <w:separator/>
      </w:r>
    </w:p>
  </w:endnote>
  <w:endnote w:type="continuationSeparator" w:id="0">
    <w:p w14:paraId="0C1C4B82" w14:textId="77777777" w:rsidR="00D23C2E" w:rsidRDefault="00D2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C935" w14:textId="77777777" w:rsidR="00EF0377" w:rsidRDefault="00EF0377">
    <w:pPr>
      <w:pStyle w:val="Footer"/>
      <w:jc w:val="center"/>
    </w:pPr>
  </w:p>
  <w:p w14:paraId="5402E4FF" w14:textId="77777777" w:rsidR="00EF0377" w:rsidRDefault="00EF0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11536"/>
      <w:docPartObj>
        <w:docPartGallery w:val="Page Numbers (Bottom of Page)"/>
        <w:docPartUnique/>
      </w:docPartObj>
    </w:sdtPr>
    <w:sdtEndPr>
      <w:rPr>
        <w:noProof/>
      </w:rPr>
    </w:sdtEndPr>
    <w:sdtContent>
      <w:p w14:paraId="560369CB" w14:textId="77777777" w:rsidR="00EF0377" w:rsidRDefault="00EF0377">
        <w:pPr>
          <w:pStyle w:val="Footer"/>
          <w:jc w:val="center"/>
        </w:pPr>
        <w:r>
          <w:fldChar w:fldCharType="begin"/>
        </w:r>
        <w:r>
          <w:instrText xml:space="preserve"> PAGE   \* MERGEFORMAT </w:instrText>
        </w:r>
        <w:r>
          <w:fldChar w:fldCharType="separate"/>
        </w:r>
        <w:r w:rsidR="00D40D70">
          <w:rPr>
            <w:noProof/>
          </w:rPr>
          <w:t>23</w:t>
        </w:r>
        <w:r>
          <w:rPr>
            <w:noProof/>
          </w:rPr>
          <w:fldChar w:fldCharType="end"/>
        </w:r>
      </w:p>
    </w:sdtContent>
  </w:sdt>
  <w:p w14:paraId="5BFE8495" w14:textId="77777777" w:rsidR="00EF0377" w:rsidRDefault="00EF0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8088"/>
      <w:docPartObj>
        <w:docPartGallery w:val="Page Numbers (Bottom of Page)"/>
        <w:docPartUnique/>
      </w:docPartObj>
    </w:sdtPr>
    <w:sdtEndPr>
      <w:rPr>
        <w:noProof/>
      </w:rPr>
    </w:sdtEndPr>
    <w:sdtContent>
      <w:p w14:paraId="10BE2AA9" w14:textId="77777777" w:rsidR="00EF0377" w:rsidRDefault="00EF0377">
        <w:pPr>
          <w:pStyle w:val="Footer"/>
          <w:jc w:val="center"/>
        </w:pPr>
        <w:r>
          <w:fldChar w:fldCharType="begin"/>
        </w:r>
        <w:r>
          <w:instrText xml:space="preserve"> PAGE   \* MERGEFORMAT </w:instrText>
        </w:r>
        <w:r>
          <w:fldChar w:fldCharType="separate"/>
        </w:r>
        <w:r w:rsidR="00D40D70">
          <w:rPr>
            <w:noProof/>
          </w:rPr>
          <w:t>24</w:t>
        </w:r>
        <w:r>
          <w:rPr>
            <w:noProof/>
          </w:rPr>
          <w:fldChar w:fldCharType="end"/>
        </w:r>
      </w:p>
    </w:sdtContent>
  </w:sdt>
  <w:p w14:paraId="6A775994" w14:textId="77777777" w:rsidR="00EF0377" w:rsidRDefault="00EF03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605"/>
      <w:docPartObj>
        <w:docPartGallery w:val="Page Numbers (Bottom of Page)"/>
        <w:docPartUnique/>
      </w:docPartObj>
    </w:sdtPr>
    <w:sdtEndPr>
      <w:rPr>
        <w:noProof/>
      </w:rPr>
    </w:sdtEndPr>
    <w:sdtContent>
      <w:p w14:paraId="354B6F36" w14:textId="77777777" w:rsidR="00EF0377" w:rsidRDefault="00EF0377">
        <w:pPr>
          <w:pStyle w:val="Footer"/>
          <w:jc w:val="center"/>
        </w:pPr>
        <w:r>
          <w:fldChar w:fldCharType="begin"/>
        </w:r>
        <w:r>
          <w:instrText xml:space="preserve"> PAGE   \* MERGEFORMAT </w:instrText>
        </w:r>
        <w:r>
          <w:fldChar w:fldCharType="separate"/>
        </w:r>
        <w:r w:rsidR="00D40D70">
          <w:rPr>
            <w:noProof/>
          </w:rPr>
          <w:t>25</w:t>
        </w:r>
        <w:r>
          <w:rPr>
            <w:noProof/>
          </w:rPr>
          <w:fldChar w:fldCharType="end"/>
        </w:r>
      </w:p>
    </w:sdtContent>
  </w:sdt>
  <w:p w14:paraId="29F6462E" w14:textId="77777777" w:rsidR="00EF0377" w:rsidRDefault="00EF03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62956"/>
      <w:docPartObj>
        <w:docPartGallery w:val="Page Numbers (Bottom of Page)"/>
        <w:docPartUnique/>
      </w:docPartObj>
    </w:sdtPr>
    <w:sdtEndPr>
      <w:rPr>
        <w:noProof/>
      </w:rPr>
    </w:sdtEndPr>
    <w:sdtContent>
      <w:p w14:paraId="101381B5" w14:textId="252207FB" w:rsidR="00EF0377" w:rsidRDefault="00EF0377">
        <w:pPr>
          <w:pStyle w:val="Footer"/>
          <w:jc w:val="center"/>
        </w:pPr>
        <w:r>
          <w:fldChar w:fldCharType="begin"/>
        </w:r>
        <w:r>
          <w:instrText xml:space="preserve"> PAGE   \* MERGEFORMAT </w:instrText>
        </w:r>
        <w:r>
          <w:fldChar w:fldCharType="separate"/>
        </w:r>
        <w:r w:rsidR="00D40D70">
          <w:rPr>
            <w:noProof/>
          </w:rPr>
          <w:t>27</w:t>
        </w:r>
        <w:r>
          <w:rPr>
            <w:noProof/>
          </w:rPr>
          <w:fldChar w:fldCharType="end"/>
        </w:r>
      </w:p>
    </w:sdtContent>
  </w:sdt>
  <w:p w14:paraId="001CBEE2" w14:textId="77777777" w:rsidR="00EF0377" w:rsidRPr="00234709" w:rsidRDefault="00EF0377" w:rsidP="0023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A48B" w14:textId="77777777" w:rsidR="00D23C2E" w:rsidRDefault="00D23C2E" w:rsidP="00ED50CC">
      <w:pPr>
        <w:spacing w:line="240" w:lineRule="auto"/>
        <w:ind w:firstLine="0"/>
      </w:pPr>
      <w:r>
        <w:separator/>
      </w:r>
    </w:p>
  </w:footnote>
  <w:footnote w:type="continuationSeparator" w:id="0">
    <w:p w14:paraId="31BBBC8E" w14:textId="77777777" w:rsidR="00D23C2E" w:rsidRDefault="00D23C2E">
      <w:pPr>
        <w:spacing w:line="240" w:lineRule="auto"/>
      </w:pPr>
      <w:r>
        <w:continuationSeparator/>
      </w:r>
    </w:p>
  </w:footnote>
  <w:footnote w:id="1">
    <w:p w14:paraId="4E781CEB" w14:textId="54551BB3" w:rsidR="00EF0377" w:rsidRDefault="00EF0377" w:rsidP="007F6E94">
      <w:pPr>
        <w:pStyle w:val="FootnoteText"/>
        <w:jc w:val="both"/>
      </w:pPr>
      <w:r>
        <w:rPr>
          <w:rStyle w:val="FootnoteReference"/>
        </w:rPr>
        <w:footnoteRef/>
      </w:r>
      <w:r>
        <w:t>H</w:t>
      </w:r>
      <w:r w:rsidRPr="00836457">
        <w:t>ofmann, Mark A., 2012, Spitzer Inquiry Brought Transparency, but Contin</w:t>
      </w:r>
      <w:r>
        <w:t>gent Commissions Persist, from:</w:t>
      </w:r>
      <w:r w:rsidRPr="00836457">
        <w:t>http://www.businessinsurance.com/article/20120715/NEWS04/307159996/spitzer-inquiry-brought-transparency-but-contingent-commissions-persist</w:t>
      </w:r>
    </w:p>
  </w:footnote>
  <w:footnote w:id="2">
    <w:p w14:paraId="0D963EE9" w14:textId="6014884E" w:rsidR="00EF0377" w:rsidRDefault="00EF0377" w:rsidP="004A6D28">
      <w:pPr>
        <w:pStyle w:val="FootnoteText"/>
        <w:spacing w:after="0"/>
        <w:jc w:val="both"/>
      </w:pPr>
      <w:r w:rsidRPr="004A6D28">
        <w:rPr>
          <w:vertAlign w:val="superscript"/>
        </w:rPr>
        <w:t>2</w:t>
      </w:r>
      <w:r>
        <w:rPr>
          <w:vertAlign w:val="superscript"/>
        </w:rPr>
        <w:t xml:space="preserve"> </w:t>
      </w:r>
      <w:r w:rsidRPr="00A7730C">
        <w:t xml:space="preserve">Propensity scores can be </w:t>
      </w:r>
      <w:r>
        <w:t>estimated using</w:t>
      </w:r>
      <w:r w:rsidRPr="00A7730C">
        <w:t xml:space="preserve"> binomial regression models or statistical learning</w:t>
      </w:r>
      <w:r>
        <w:t xml:space="preserve"> algorithms. </w:t>
      </w:r>
    </w:p>
  </w:footnote>
  <w:footnote w:id="3">
    <w:p w14:paraId="663154FC" w14:textId="0EBDEFDB" w:rsidR="00EF0377" w:rsidRDefault="00EF0377" w:rsidP="004A6D28">
      <w:pPr>
        <w:pStyle w:val="FootnoteText"/>
        <w:tabs>
          <w:tab w:val="left" w:pos="5580"/>
        </w:tabs>
      </w:pPr>
      <w:r w:rsidRPr="005913E1">
        <w:rPr>
          <w:vertAlign w:val="superscript"/>
        </w:rPr>
        <w:t>3</w:t>
      </w:r>
      <w:r>
        <w:rPr>
          <w:vertAlign w:val="superscript"/>
        </w:rPr>
        <w:t xml:space="preserve"> </w:t>
      </w:r>
      <w:r>
        <w:t>Lunt (2014).</w:t>
      </w:r>
    </w:p>
  </w:footnote>
  <w:footnote w:id="4">
    <w:p w14:paraId="21C58748" w14:textId="27A75E08" w:rsidR="00EF0377" w:rsidRDefault="00EF0377">
      <w:pPr>
        <w:pStyle w:val="FootnoteText"/>
      </w:pPr>
      <w:r>
        <w:rPr>
          <w:rStyle w:val="FootnoteReference"/>
        </w:rPr>
        <w:footnoteRef/>
      </w:r>
      <w:r>
        <w:t xml:space="preserve"> Wooldridge (2010).</w:t>
      </w:r>
    </w:p>
  </w:footnote>
  <w:footnote w:id="5">
    <w:p w14:paraId="227F6E36" w14:textId="5ACF1898" w:rsidR="00EF0377" w:rsidRPr="00A7730C" w:rsidRDefault="00EF0377" w:rsidP="00F46882">
      <w:pPr>
        <w:pStyle w:val="FootnoteText"/>
        <w:jc w:val="both"/>
      </w:pPr>
      <w:r>
        <w:rPr>
          <w:rStyle w:val="FootnoteReference"/>
        </w:rPr>
        <w:footnoteRef/>
      </w:r>
      <w:r>
        <w:t xml:space="preserve"> All lines of business are considered commercial lines except for homeowners multi-peril, auto physical, farmowners multi-peril, and private passenger auto liability.</w:t>
      </w:r>
    </w:p>
  </w:footnote>
  <w:footnote w:id="6">
    <w:p w14:paraId="4567F75B" w14:textId="503F0FDD" w:rsidR="00EF0377" w:rsidRDefault="00EF0377" w:rsidP="00F46882">
      <w:pPr>
        <w:pStyle w:val="FootnoteText"/>
        <w:jc w:val="both"/>
      </w:pPr>
      <w:r>
        <w:rPr>
          <w:rStyle w:val="FootnoteReference"/>
        </w:rPr>
        <w:footnoteRef/>
      </w:r>
      <w:r>
        <w:t xml:space="preserve"> They are calculated as: </w:t>
      </w:r>
      <m:oMath>
        <m:r>
          <m:rPr>
            <m:sty m:val="p"/>
          </m:rPr>
          <w:rPr>
            <w:rFonts w:ascii="Cambria Math" w:hAnsi="Cambria Math"/>
          </w:rPr>
          <m:t>HHI_lines=</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m:t>
                </m:r>
              </m:e>
              <m:sub>
                <m:r>
                  <w:rPr>
                    <w:rFonts w:ascii="Cambria Math" w:hAnsi="Cambria Math"/>
                  </w:rPr>
                  <m:t>i</m:t>
                </m:r>
              </m:sub>
            </m:sSub>
          </m:e>
        </m:nary>
      </m:oMath>
      <w:r>
        <w:t xml:space="preserve"> and</w:t>
      </w:r>
      <m:oMath>
        <m:r>
          <m:rPr>
            <m:sty m:val="p"/>
          </m:rPr>
          <w:rPr>
            <w:rFonts w:ascii="Cambria Math" w:hAnsi="Cambria Math"/>
          </w:rPr>
          <m:t xml:space="preserve"> HHI_lines=</m:t>
        </m:r>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s</m:t>
                </m:r>
              </m:e>
              <m:sub>
                <m:r>
                  <w:rPr>
                    <w:rFonts w:ascii="Cambria Math" w:hAnsi="Cambria Math"/>
                  </w:rPr>
                  <m:t>j</m:t>
                </m:r>
              </m:sub>
            </m:sSub>
          </m:e>
        </m:nary>
      </m:oMath>
      <w:r>
        <w:t xml:space="preserve">, where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the proportion of net premium written in line i divided by total premium; and </w:t>
      </w:r>
      <m:oMath>
        <m:sSub>
          <m:sSubPr>
            <m:ctrlPr>
              <w:rPr>
                <w:rFonts w:ascii="Cambria Math" w:hAnsi="Cambria Math"/>
                <w:i/>
              </w:rPr>
            </m:ctrlPr>
          </m:sSubPr>
          <m:e>
            <m:r>
              <w:rPr>
                <w:rFonts w:ascii="Cambria Math" w:hAnsi="Cambria Math"/>
              </w:rPr>
              <m:t>s</m:t>
            </m:r>
          </m:e>
          <m:sub>
            <m:r>
              <w:rPr>
                <w:rFonts w:ascii="Cambria Math" w:hAnsi="Cambria Math"/>
              </w:rPr>
              <m:t>j</m:t>
            </m:r>
          </m:sub>
        </m:sSub>
      </m:oMath>
      <w:r>
        <w:t xml:space="preserve"> = the proportion of net premium written in state j divided by total premium.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03"/>
    <w:rsid w:val="0002350C"/>
    <w:rsid w:val="00030D56"/>
    <w:rsid w:val="00033457"/>
    <w:rsid w:val="00095C87"/>
    <w:rsid w:val="000A2C42"/>
    <w:rsid w:val="000B0A63"/>
    <w:rsid w:val="000D6D13"/>
    <w:rsid w:val="001203E8"/>
    <w:rsid w:val="00124C3F"/>
    <w:rsid w:val="001858DD"/>
    <w:rsid w:val="00195FD3"/>
    <w:rsid w:val="001C1B93"/>
    <w:rsid w:val="001D14E1"/>
    <w:rsid w:val="0020238F"/>
    <w:rsid w:val="00204B5F"/>
    <w:rsid w:val="00226A7A"/>
    <w:rsid w:val="00234709"/>
    <w:rsid w:val="002354BA"/>
    <w:rsid w:val="00243B8A"/>
    <w:rsid w:val="00254436"/>
    <w:rsid w:val="002728C9"/>
    <w:rsid w:val="00273A43"/>
    <w:rsid w:val="00275EDD"/>
    <w:rsid w:val="00280360"/>
    <w:rsid w:val="002C36BB"/>
    <w:rsid w:val="002D3C42"/>
    <w:rsid w:val="002D59B2"/>
    <w:rsid w:val="002D5B78"/>
    <w:rsid w:val="002E05A4"/>
    <w:rsid w:val="002E68C5"/>
    <w:rsid w:val="002F713C"/>
    <w:rsid w:val="00301CEE"/>
    <w:rsid w:val="00326E5D"/>
    <w:rsid w:val="0035507C"/>
    <w:rsid w:val="00356C78"/>
    <w:rsid w:val="00357A97"/>
    <w:rsid w:val="00376B65"/>
    <w:rsid w:val="003904E4"/>
    <w:rsid w:val="003B4B32"/>
    <w:rsid w:val="003C0168"/>
    <w:rsid w:val="003C2228"/>
    <w:rsid w:val="003D2F89"/>
    <w:rsid w:val="003E0169"/>
    <w:rsid w:val="003E3E2A"/>
    <w:rsid w:val="003E561F"/>
    <w:rsid w:val="003E6EC2"/>
    <w:rsid w:val="00451C16"/>
    <w:rsid w:val="00452651"/>
    <w:rsid w:val="00467FC7"/>
    <w:rsid w:val="004773D8"/>
    <w:rsid w:val="00477C34"/>
    <w:rsid w:val="00497856"/>
    <w:rsid w:val="004A6D28"/>
    <w:rsid w:val="004E0590"/>
    <w:rsid w:val="00546A58"/>
    <w:rsid w:val="005519FB"/>
    <w:rsid w:val="00560145"/>
    <w:rsid w:val="00590184"/>
    <w:rsid w:val="005913E1"/>
    <w:rsid w:val="005A2F02"/>
    <w:rsid w:val="005D6815"/>
    <w:rsid w:val="00616FEF"/>
    <w:rsid w:val="00625952"/>
    <w:rsid w:val="00633999"/>
    <w:rsid w:val="006A5652"/>
    <w:rsid w:val="006B36CC"/>
    <w:rsid w:val="006B7821"/>
    <w:rsid w:val="006C147E"/>
    <w:rsid w:val="006C2EE7"/>
    <w:rsid w:val="006C6F68"/>
    <w:rsid w:val="006D0AC5"/>
    <w:rsid w:val="006E7E35"/>
    <w:rsid w:val="00711F46"/>
    <w:rsid w:val="00735609"/>
    <w:rsid w:val="007374C8"/>
    <w:rsid w:val="00760081"/>
    <w:rsid w:val="007657A1"/>
    <w:rsid w:val="007906B8"/>
    <w:rsid w:val="007A07F4"/>
    <w:rsid w:val="007B2D25"/>
    <w:rsid w:val="007B2DFC"/>
    <w:rsid w:val="007B5F76"/>
    <w:rsid w:val="007B7E08"/>
    <w:rsid w:val="007D2467"/>
    <w:rsid w:val="007D4637"/>
    <w:rsid w:val="007F2016"/>
    <w:rsid w:val="007F6E94"/>
    <w:rsid w:val="00801C72"/>
    <w:rsid w:val="00802F96"/>
    <w:rsid w:val="008205FC"/>
    <w:rsid w:val="00821E18"/>
    <w:rsid w:val="00830F38"/>
    <w:rsid w:val="0083153C"/>
    <w:rsid w:val="00835642"/>
    <w:rsid w:val="00836457"/>
    <w:rsid w:val="00836980"/>
    <w:rsid w:val="00837590"/>
    <w:rsid w:val="00886316"/>
    <w:rsid w:val="008B3A5B"/>
    <w:rsid w:val="008C1866"/>
    <w:rsid w:val="008C5E26"/>
    <w:rsid w:val="009113BD"/>
    <w:rsid w:val="0092209D"/>
    <w:rsid w:val="00940704"/>
    <w:rsid w:val="009425C7"/>
    <w:rsid w:val="0094421C"/>
    <w:rsid w:val="00954126"/>
    <w:rsid w:val="009567AC"/>
    <w:rsid w:val="00962C55"/>
    <w:rsid w:val="00990D42"/>
    <w:rsid w:val="009B1257"/>
    <w:rsid w:val="009C01FD"/>
    <w:rsid w:val="009C1A04"/>
    <w:rsid w:val="009D2826"/>
    <w:rsid w:val="009F1360"/>
    <w:rsid w:val="009F5555"/>
    <w:rsid w:val="00A0101D"/>
    <w:rsid w:val="00A0667C"/>
    <w:rsid w:val="00A36E9B"/>
    <w:rsid w:val="00A47C0B"/>
    <w:rsid w:val="00A751B5"/>
    <w:rsid w:val="00A7730C"/>
    <w:rsid w:val="00A83224"/>
    <w:rsid w:val="00A92A98"/>
    <w:rsid w:val="00A969AF"/>
    <w:rsid w:val="00A9784B"/>
    <w:rsid w:val="00AA74DF"/>
    <w:rsid w:val="00AC0AE9"/>
    <w:rsid w:val="00B058B7"/>
    <w:rsid w:val="00B14216"/>
    <w:rsid w:val="00B26887"/>
    <w:rsid w:val="00B64C4A"/>
    <w:rsid w:val="00B74B32"/>
    <w:rsid w:val="00B82D7A"/>
    <w:rsid w:val="00B87C7E"/>
    <w:rsid w:val="00B928E1"/>
    <w:rsid w:val="00BA00A1"/>
    <w:rsid w:val="00BC0716"/>
    <w:rsid w:val="00BD46D6"/>
    <w:rsid w:val="00BF1D5F"/>
    <w:rsid w:val="00BF5219"/>
    <w:rsid w:val="00C01B32"/>
    <w:rsid w:val="00C216A6"/>
    <w:rsid w:val="00C274DB"/>
    <w:rsid w:val="00C35A21"/>
    <w:rsid w:val="00C370D0"/>
    <w:rsid w:val="00C51768"/>
    <w:rsid w:val="00C6744C"/>
    <w:rsid w:val="00C86655"/>
    <w:rsid w:val="00C9732C"/>
    <w:rsid w:val="00CA31EE"/>
    <w:rsid w:val="00CD6E6A"/>
    <w:rsid w:val="00CF4377"/>
    <w:rsid w:val="00D11058"/>
    <w:rsid w:val="00D23C2E"/>
    <w:rsid w:val="00D40D70"/>
    <w:rsid w:val="00D41597"/>
    <w:rsid w:val="00D475C5"/>
    <w:rsid w:val="00D9112C"/>
    <w:rsid w:val="00DA2CD7"/>
    <w:rsid w:val="00DA31A9"/>
    <w:rsid w:val="00DB5A22"/>
    <w:rsid w:val="00DB73C4"/>
    <w:rsid w:val="00DC5C8C"/>
    <w:rsid w:val="00E01303"/>
    <w:rsid w:val="00E14CAB"/>
    <w:rsid w:val="00E16E7E"/>
    <w:rsid w:val="00E2190E"/>
    <w:rsid w:val="00E26013"/>
    <w:rsid w:val="00E26983"/>
    <w:rsid w:val="00E323CA"/>
    <w:rsid w:val="00E43467"/>
    <w:rsid w:val="00E86752"/>
    <w:rsid w:val="00EC5FE1"/>
    <w:rsid w:val="00ED50CC"/>
    <w:rsid w:val="00EE3325"/>
    <w:rsid w:val="00EE5C7C"/>
    <w:rsid w:val="00EF0377"/>
    <w:rsid w:val="00F02DB1"/>
    <w:rsid w:val="00F117AE"/>
    <w:rsid w:val="00F1418F"/>
    <w:rsid w:val="00F23725"/>
    <w:rsid w:val="00F4243E"/>
    <w:rsid w:val="00F42DF1"/>
    <w:rsid w:val="00F46882"/>
    <w:rsid w:val="00F55181"/>
    <w:rsid w:val="00F57DCD"/>
    <w:rsid w:val="00F65FF8"/>
    <w:rsid w:val="00F84D8A"/>
    <w:rsid w:val="00FA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D"/>
    <w:pPr>
      <w:widowControl w:val="0"/>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03"/>
    <w:pPr>
      <w:spacing w:after="0" w:line="240" w:lineRule="auto"/>
      <w:jc w:val="both"/>
    </w:pPr>
    <w:rPr>
      <w:rFonts w:ascii="Times New Roman" w:hAnsi="Times New Roman"/>
      <w:sz w:val="24"/>
    </w:rPr>
  </w:style>
  <w:style w:type="paragraph" w:customStyle="1" w:styleId="Default">
    <w:name w:val="Default"/>
    <w:rsid w:val="00E013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1303"/>
    <w:rPr>
      <w:color w:val="0563C1" w:themeColor="hyperlink"/>
      <w:u w:val="single"/>
    </w:rPr>
  </w:style>
  <w:style w:type="paragraph" w:styleId="Footer">
    <w:name w:val="footer"/>
    <w:basedOn w:val="Normal"/>
    <w:link w:val="FooterChar"/>
    <w:uiPriority w:val="99"/>
    <w:unhideWhenUsed/>
    <w:rsid w:val="00E01303"/>
    <w:pPr>
      <w:tabs>
        <w:tab w:val="center" w:pos="4320"/>
        <w:tab w:val="right" w:pos="8640"/>
      </w:tabs>
      <w:spacing w:line="240" w:lineRule="auto"/>
    </w:pPr>
  </w:style>
  <w:style w:type="character" w:customStyle="1" w:styleId="FooterChar">
    <w:name w:val="Footer Char"/>
    <w:basedOn w:val="DefaultParagraphFont"/>
    <w:link w:val="Footer"/>
    <w:uiPriority w:val="99"/>
    <w:rsid w:val="00E01303"/>
    <w:rPr>
      <w:rFonts w:ascii="Times New Roman" w:hAnsi="Times New Roman"/>
      <w:sz w:val="24"/>
    </w:rPr>
  </w:style>
  <w:style w:type="character" w:styleId="PlaceholderText">
    <w:name w:val="Placeholder Text"/>
    <w:basedOn w:val="DefaultParagraphFont"/>
    <w:uiPriority w:val="99"/>
    <w:semiHidden/>
    <w:rsid w:val="00F23725"/>
    <w:rPr>
      <w:color w:val="808080"/>
    </w:rPr>
  </w:style>
  <w:style w:type="paragraph" w:styleId="FootnoteText">
    <w:name w:val="footnote text"/>
    <w:link w:val="FootnoteTextChar"/>
    <w:uiPriority w:val="99"/>
    <w:unhideWhenUsed/>
    <w:rsid w:val="007F6E94"/>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F6E94"/>
    <w:rPr>
      <w:rFonts w:ascii="Times New Roman" w:hAnsi="Times New Roman"/>
      <w:sz w:val="20"/>
      <w:szCs w:val="20"/>
    </w:rPr>
  </w:style>
  <w:style w:type="character" w:styleId="FootnoteReference">
    <w:name w:val="footnote reference"/>
    <w:basedOn w:val="DefaultParagraphFont"/>
    <w:uiPriority w:val="99"/>
    <w:semiHidden/>
    <w:unhideWhenUsed/>
    <w:rsid w:val="003E561F"/>
    <w:rPr>
      <w:vertAlign w:val="superscript"/>
    </w:rPr>
  </w:style>
  <w:style w:type="paragraph" w:styleId="Header">
    <w:name w:val="header"/>
    <w:basedOn w:val="Normal"/>
    <w:link w:val="HeaderChar"/>
    <w:uiPriority w:val="99"/>
    <w:unhideWhenUsed/>
    <w:rsid w:val="00E2190E"/>
    <w:pPr>
      <w:tabs>
        <w:tab w:val="center" w:pos="4320"/>
        <w:tab w:val="right" w:pos="8640"/>
      </w:tabs>
      <w:spacing w:line="240" w:lineRule="auto"/>
    </w:pPr>
  </w:style>
  <w:style w:type="character" w:customStyle="1" w:styleId="HeaderChar">
    <w:name w:val="Header Char"/>
    <w:basedOn w:val="DefaultParagraphFont"/>
    <w:link w:val="Header"/>
    <w:uiPriority w:val="99"/>
    <w:rsid w:val="00E2190E"/>
    <w:rPr>
      <w:rFonts w:ascii="Times New Roman" w:hAnsi="Times New Roman"/>
      <w:sz w:val="24"/>
    </w:rPr>
  </w:style>
  <w:style w:type="paragraph" w:styleId="Title">
    <w:name w:val="Title"/>
    <w:basedOn w:val="Normal"/>
    <w:next w:val="Normal"/>
    <w:link w:val="TitleChar"/>
    <w:uiPriority w:val="10"/>
    <w:qFormat/>
    <w:rsid w:val="004773D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3D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47C0B"/>
    <w:rPr>
      <w:sz w:val="16"/>
      <w:szCs w:val="16"/>
    </w:rPr>
  </w:style>
  <w:style w:type="paragraph" w:styleId="CommentText">
    <w:name w:val="annotation text"/>
    <w:basedOn w:val="Normal"/>
    <w:link w:val="CommentTextChar"/>
    <w:uiPriority w:val="99"/>
    <w:semiHidden/>
    <w:unhideWhenUsed/>
    <w:rsid w:val="00A47C0B"/>
    <w:pPr>
      <w:spacing w:line="240" w:lineRule="auto"/>
    </w:pPr>
    <w:rPr>
      <w:sz w:val="20"/>
      <w:szCs w:val="20"/>
    </w:rPr>
  </w:style>
  <w:style w:type="character" w:customStyle="1" w:styleId="CommentTextChar">
    <w:name w:val="Comment Text Char"/>
    <w:basedOn w:val="DefaultParagraphFont"/>
    <w:link w:val="CommentText"/>
    <w:uiPriority w:val="99"/>
    <w:semiHidden/>
    <w:rsid w:val="00A47C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7C0B"/>
    <w:rPr>
      <w:b/>
      <w:bCs/>
    </w:rPr>
  </w:style>
  <w:style w:type="character" w:customStyle="1" w:styleId="CommentSubjectChar">
    <w:name w:val="Comment Subject Char"/>
    <w:basedOn w:val="CommentTextChar"/>
    <w:link w:val="CommentSubject"/>
    <w:uiPriority w:val="99"/>
    <w:semiHidden/>
    <w:rsid w:val="00A47C0B"/>
    <w:rPr>
      <w:rFonts w:ascii="Times New Roman" w:hAnsi="Times New Roman"/>
      <w:b/>
      <w:bCs/>
      <w:sz w:val="20"/>
      <w:szCs w:val="20"/>
    </w:rPr>
  </w:style>
  <w:style w:type="paragraph" w:styleId="BalloonText">
    <w:name w:val="Balloon Text"/>
    <w:basedOn w:val="Normal"/>
    <w:link w:val="BalloonTextChar"/>
    <w:uiPriority w:val="99"/>
    <w:semiHidden/>
    <w:unhideWhenUsed/>
    <w:rsid w:val="00A47C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D"/>
    <w:pPr>
      <w:widowControl w:val="0"/>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03"/>
    <w:pPr>
      <w:spacing w:after="0" w:line="240" w:lineRule="auto"/>
      <w:jc w:val="both"/>
    </w:pPr>
    <w:rPr>
      <w:rFonts w:ascii="Times New Roman" w:hAnsi="Times New Roman"/>
      <w:sz w:val="24"/>
    </w:rPr>
  </w:style>
  <w:style w:type="paragraph" w:customStyle="1" w:styleId="Default">
    <w:name w:val="Default"/>
    <w:rsid w:val="00E013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1303"/>
    <w:rPr>
      <w:color w:val="0563C1" w:themeColor="hyperlink"/>
      <w:u w:val="single"/>
    </w:rPr>
  </w:style>
  <w:style w:type="paragraph" w:styleId="Footer">
    <w:name w:val="footer"/>
    <w:basedOn w:val="Normal"/>
    <w:link w:val="FooterChar"/>
    <w:uiPriority w:val="99"/>
    <w:unhideWhenUsed/>
    <w:rsid w:val="00E01303"/>
    <w:pPr>
      <w:tabs>
        <w:tab w:val="center" w:pos="4320"/>
        <w:tab w:val="right" w:pos="8640"/>
      </w:tabs>
      <w:spacing w:line="240" w:lineRule="auto"/>
    </w:pPr>
  </w:style>
  <w:style w:type="character" w:customStyle="1" w:styleId="FooterChar">
    <w:name w:val="Footer Char"/>
    <w:basedOn w:val="DefaultParagraphFont"/>
    <w:link w:val="Footer"/>
    <w:uiPriority w:val="99"/>
    <w:rsid w:val="00E01303"/>
    <w:rPr>
      <w:rFonts w:ascii="Times New Roman" w:hAnsi="Times New Roman"/>
      <w:sz w:val="24"/>
    </w:rPr>
  </w:style>
  <w:style w:type="character" w:styleId="PlaceholderText">
    <w:name w:val="Placeholder Text"/>
    <w:basedOn w:val="DefaultParagraphFont"/>
    <w:uiPriority w:val="99"/>
    <w:semiHidden/>
    <w:rsid w:val="00F23725"/>
    <w:rPr>
      <w:color w:val="808080"/>
    </w:rPr>
  </w:style>
  <w:style w:type="paragraph" w:styleId="FootnoteText">
    <w:name w:val="footnote text"/>
    <w:link w:val="FootnoteTextChar"/>
    <w:uiPriority w:val="99"/>
    <w:unhideWhenUsed/>
    <w:rsid w:val="007F6E94"/>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F6E94"/>
    <w:rPr>
      <w:rFonts w:ascii="Times New Roman" w:hAnsi="Times New Roman"/>
      <w:sz w:val="20"/>
      <w:szCs w:val="20"/>
    </w:rPr>
  </w:style>
  <w:style w:type="character" w:styleId="FootnoteReference">
    <w:name w:val="footnote reference"/>
    <w:basedOn w:val="DefaultParagraphFont"/>
    <w:uiPriority w:val="99"/>
    <w:semiHidden/>
    <w:unhideWhenUsed/>
    <w:rsid w:val="003E561F"/>
    <w:rPr>
      <w:vertAlign w:val="superscript"/>
    </w:rPr>
  </w:style>
  <w:style w:type="paragraph" w:styleId="Header">
    <w:name w:val="header"/>
    <w:basedOn w:val="Normal"/>
    <w:link w:val="HeaderChar"/>
    <w:uiPriority w:val="99"/>
    <w:unhideWhenUsed/>
    <w:rsid w:val="00E2190E"/>
    <w:pPr>
      <w:tabs>
        <w:tab w:val="center" w:pos="4320"/>
        <w:tab w:val="right" w:pos="8640"/>
      </w:tabs>
      <w:spacing w:line="240" w:lineRule="auto"/>
    </w:pPr>
  </w:style>
  <w:style w:type="character" w:customStyle="1" w:styleId="HeaderChar">
    <w:name w:val="Header Char"/>
    <w:basedOn w:val="DefaultParagraphFont"/>
    <w:link w:val="Header"/>
    <w:uiPriority w:val="99"/>
    <w:rsid w:val="00E2190E"/>
    <w:rPr>
      <w:rFonts w:ascii="Times New Roman" w:hAnsi="Times New Roman"/>
      <w:sz w:val="24"/>
    </w:rPr>
  </w:style>
  <w:style w:type="paragraph" w:styleId="Title">
    <w:name w:val="Title"/>
    <w:basedOn w:val="Normal"/>
    <w:next w:val="Normal"/>
    <w:link w:val="TitleChar"/>
    <w:uiPriority w:val="10"/>
    <w:qFormat/>
    <w:rsid w:val="004773D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3D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47C0B"/>
    <w:rPr>
      <w:sz w:val="16"/>
      <w:szCs w:val="16"/>
    </w:rPr>
  </w:style>
  <w:style w:type="paragraph" w:styleId="CommentText">
    <w:name w:val="annotation text"/>
    <w:basedOn w:val="Normal"/>
    <w:link w:val="CommentTextChar"/>
    <w:uiPriority w:val="99"/>
    <w:semiHidden/>
    <w:unhideWhenUsed/>
    <w:rsid w:val="00A47C0B"/>
    <w:pPr>
      <w:spacing w:line="240" w:lineRule="auto"/>
    </w:pPr>
    <w:rPr>
      <w:sz w:val="20"/>
      <w:szCs w:val="20"/>
    </w:rPr>
  </w:style>
  <w:style w:type="character" w:customStyle="1" w:styleId="CommentTextChar">
    <w:name w:val="Comment Text Char"/>
    <w:basedOn w:val="DefaultParagraphFont"/>
    <w:link w:val="CommentText"/>
    <w:uiPriority w:val="99"/>
    <w:semiHidden/>
    <w:rsid w:val="00A47C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7C0B"/>
    <w:rPr>
      <w:b/>
      <w:bCs/>
    </w:rPr>
  </w:style>
  <w:style w:type="character" w:customStyle="1" w:styleId="CommentSubjectChar">
    <w:name w:val="Comment Subject Char"/>
    <w:basedOn w:val="CommentTextChar"/>
    <w:link w:val="CommentSubject"/>
    <w:uiPriority w:val="99"/>
    <w:semiHidden/>
    <w:rsid w:val="00A47C0B"/>
    <w:rPr>
      <w:rFonts w:ascii="Times New Roman" w:hAnsi="Times New Roman"/>
      <w:b/>
      <w:bCs/>
      <w:sz w:val="20"/>
      <w:szCs w:val="20"/>
    </w:rPr>
  </w:style>
  <w:style w:type="paragraph" w:styleId="BalloonText">
    <w:name w:val="Balloon Text"/>
    <w:basedOn w:val="Normal"/>
    <w:link w:val="BalloonTextChar"/>
    <w:uiPriority w:val="99"/>
    <w:semiHidden/>
    <w:unhideWhenUsed/>
    <w:rsid w:val="00A47C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99155">
      <w:bodyDiv w:val="1"/>
      <w:marLeft w:val="0"/>
      <w:marRight w:val="0"/>
      <w:marTop w:val="0"/>
      <w:marBottom w:val="0"/>
      <w:divBdr>
        <w:top w:val="none" w:sz="0" w:space="0" w:color="auto"/>
        <w:left w:val="none" w:sz="0" w:space="0" w:color="auto"/>
        <w:bottom w:val="none" w:sz="0" w:space="0" w:color="auto"/>
        <w:right w:val="none" w:sz="0" w:space="0" w:color="auto"/>
      </w:divBdr>
    </w:div>
    <w:div w:id="613946576">
      <w:bodyDiv w:val="1"/>
      <w:marLeft w:val="0"/>
      <w:marRight w:val="0"/>
      <w:marTop w:val="0"/>
      <w:marBottom w:val="0"/>
      <w:divBdr>
        <w:top w:val="none" w:sz="0" w:space="0" w:color="auto"/>
        <w:left w:val="none" w:sz="0" w:space="0" w:color="auto"/>
        <w:bottom w:val="none" w:sz="0" w:space="0" w:color="auto"/>
        <w:right w:val="none" w:sz="0" w:space="0" w:color="auto"/>
      </w:divBdr>
      <w:divsChild>
        <w:div w:id="1066106579">
          <w:marLeft w:val="288"/>
          <w:marRight w:val="0"/>
          <w:marTop w:val="240"/>
          <w:marBottom w:val="0"/>
          <w:divBdr>
            <w:top w:val="none" w:sz="0" w:space="0" w:color="auto"/>
            <w:left w:val="none" w:sz="0" w:space="0" w:color="auto"/>
            <w:bottom w:val="none" w:sz="0" w:space="0" w:color="auto"/>
            <w:right w:val="none" w:sz="0" w:space="0" w:color="auto"/>
          </w:divBdr>
        </w:div>
        <w:div w:id="1243876337">
          <w:marLeft w:val="288"/>
          <w:marRight w:val="0"/>
          <w:marTop w:val="240"/>
          <w:marBottom w:val="0"/>
          <w:divBdr>
            <w:top w:val="none" w:sz="0" w:space="0" w:color="auto"/>
            <w:left w:val="none" w:sz="0" w:space="0" w:color="auto"/>
            <w:bottom w:val="none" w:sz="0" w:space="0" w:color="auto"/>
            <w:right w:val="none" w:sz="0" w:space="0" w:color="auto"/>
          </w:divBdr>
        </w:div>
      </w:divsChild>
    </w:div>
    <w:div w:id="1082677952">
      <w:bodyDiv w:val="1"/>
      <w:marLeft w:val="0"/>
      <w:marRight w:val="0"/>
      <w:marTop w:val="0"/>
      <w:marBottom w:val="0"/>
      <w:divBdr>
        <w:top w:val="none" w:sz="0" w:space="0" w:color="auto"/>
        <w:left w:val="none" w:sz="0" w:space="0" w:color="auto"/>
        <w:bottom w:val="none" w:sz="0" w:space="0" w:color="auto"/>
        <w:right w:val="none" w:sz="0" w:space="0" w:color="auto"/>
      </w:divBdr>
      <w:divsChild>
        <w:div w:id="31732441">
          <w:marLeft w:val="720"/>
          <w:marRight w:val="0"/>
          <w:marTop w:val="240"/>
          <w:marBottom w:val="0"/>
          <w:divBdr>
            <w:top w:val="none" w:sz="0" w:space="0" w:color="auto"/>
            <w:left w:val="none" w:sz="0" w:space="0" w:color="auto"/>
            <w:bottom w:val="none" w:sz="0" w:space="0" w:color="auto"/>
            <w:right w:val="none" w:sz="0" w:space="0" w:color="auto"/>
          </w:divBdr>
        </w:div>
      </w:divsChild>
    </w:div>
    <w:div w:id="1148477566">
      <w:bodyDiv w:val="1"/>
      <w:marLeft w:val="0"/>
      <w:marRight w:val="0"/>
      <w:marTop w:val="0"/>
      <w:marBottom w:val="0"/>
      <w:divBdr>
        <w:top w:val="none" w:sz="0" w:space="0" w:color="auto"/>
        <w:left w:val="none" w:sz="0" w:space="0" w:color="auto"/>
        <w:bottom w:val="none" w:sz="0" w:space="0" w:color="auto"/>
        <w:right w:val="none" w:sz="0" w:space="0" w:color="auto"/>
      </w:divBdr>
    </w:div>
    <w:div w:id="19442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ju@temple.edu"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961E-1EAB-4459-ADCC-543D567E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7858</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dc:creator>
  <cp:lastModifiedBy>Edith Nicodemus</cp:lastModifiedBy>
  <cp:revision>2</cp:revision>
  <dcterms:created xsi:type="dcterms:W3CDTF">2017-06-29T01:26:00Z</dcterms:created>
  <dcterms:modified xsi:type="dcterms:W3CDTF">2017-06-29T01:26:00Z</dcterms:modified>
</cp:coreProperties>
</file>