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DDA84" w14:textId="77777777" w:rsidR="004B19DA" w:rsidRPr="0001491C" w:rsidRDefault="004B19DA" w:rsidP="004B19DA">
      <w:pPr>
        <w:spacing w:after="0" w:line="480" w:lineRule="auto"/>
        <w:jc w:val="center"/>
        <w:rPr>
          <w:rFonts w:ascii="Times New Roman" w:hAnsi="Times New Roman" w:cs="Times New Roman"/>
          <w:b/>
          <w:sz w:val="24"/>
          <w:szCs w:val="24"/>
        </w:rPr>
      </w:pPr>
      <w:bookmarkStart w:id="0" w:name="_GoBack"/>
      <w:bookmarkEnd w:id="0"/>
      <w:proofErr w:type="gramStart"/>
      <w:r w:rsidRPr="0001491C">
        <w:rPr>
          <w:rFonts w:ascii="Times New Roman" w:hAnsi="Times New Roman" w:cs="Times New Roman"/>
          <w:b/>
          <w:sz w:val="24"/>
          <w:szCs w:val="24"/>
        </w:rPr>
        <w:t>Compressing or Expansion of Morbidity?</w:t>
      </w:r>
      <w:proofErr w:type="gramEnd"/>
      <w:r w:rsidRPr="0001491C">
        <w:rPr>
          <w:rFonts w:ascii="Times New Roman" w:hAnsi="Times New Roman" w:cs="Times New Roman"/>
          <w:b/>
          <w:sz w:val="24"/>
          <w:szCs w:val="24"/>
        </w:rPr>
        <w:t xml:space="preserve"> </w:t>
      </w:r>
    </w:p>
    <w:p w14:paraId="4074D0F2" w14:textId="77777777" w:rsidR="004B19DA" w:rsidRPr="0001491C" w:rsidRDefault="004B19DA" w:rsidP="004B19D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w:t>
      </w:r>
      <w:r w:rsidRPr="0001491C">
        <w:rPr>
          <w:rFonts w:ascii="Times New Roman" w:hAnsi="Times New Roman" w:cs="Times New Roman"/>
          <w:b/>
          <w:sz w:val="24"/>
          <w:szCs w:val="24"/>
        </w:rPr>
        <w:t xml:space="preserve">he Demand for </w:t>
      </w:r>
      <w:r>
        <w:rPr>
          <w:rFonts w:ascii="Times New Roman" w:hAnsi="Times New Roman" w:cs="Times New Roman"/>
          <w:b/>
          <w:sz w:val="24"/>
          <w:szCs w:val="24"/>
        </w:rPr>
        <w:t xml:space="preserve">Annuity and Long-term Care </w:t>
      </w:r>
      <w:r w:rsidRPr="0001491C">
        <w:rPr>
          <w:rFonts w:ascii="Times New Roman" w:hAnsi="Times New Roman" w:cs="Times New Roman"/>
          <w:b/>
          <w:sz w:val="24"/>
          <w:szCs w:val="24"/>
        </w:rPr>
        <w:t>Insurance</w:t>
      </w:r>
    </w:p>
    <w:p w14:paraId="03A0158C" w14:textId="77777777" w:rsidR="0001491C" w:rsidRPr="0001491C" w:rsidRDefault="0001491C" w:rsidP="0001491C">
      <w:pPr>
        <w:spacing w:after="0" w:line="480" w:lineRule="auto"/>
        <w:jc w:val="center"/>
        <w:rPr>
          <w:rFonts w:ascii="Times New Roman" w:hAnsi="Times New Roman" w:cs="Times New Roman"/>
          <w:sz w:val="24"/>
          <w:szCs w:val="24"/>
        </w:rPr>
      </w:pPr>
    </w:p>
    <w:p w14:paraId="2F67558E" w14:textId="77777777" w:rsidR="0001491C" w:rsidRPr="0001491C" w:rsidRDefault="0001491C" w:rsidP="0001491C">
      <w:pPr>
        <w:spacing w:after="0" w:line="480" w:lineRule="auto"/>
        <w:jc w:val="center"/>
        <w:rPr>
          <w:rFonts w:ascii="Times New Roman" w:hAnsi="Times New Roman" w:cs="Times New Roman"/>
          <w:sz w:val="24"/>
          <w:szCs w:val="24"/>
        </w:rPr>
      </w:pPr>
    </w:p>
    <w:p w14:paraId="2A49FD2E" w14:textId="77777777" w:rsidR="0001491C" w:rsidRPr="0001491C" w:rsidRDefault="0001491C" w:rsidP="0001491C">
      <w:pPr>
        <w:spacing w:after="0" w:line="480" w:lineRule="auto"/>
        <w:jc w:val="center"/>
        <w:rPr>
          <w:rFonts w:ascii="Times New Roman" w:hAnsi="Times New Roman" w:cs="Times New Roman"/>
          <w:sz w:val="24"/>
          <w:szCs w:val="24"/>
        </w:rPr>
      </w:pPr>
      <w:r w:rsidRPr="0001491C">
        <w:rPr>
          <w:rFonts w:ascii="Times New Roman" w:hAnsi="Times New Roman" w:cs="Times New Roman"/>
          <w:sz w:val="24"/>
          <w:szCs w:val="24"/>
        </w:rPr>
        <w:t xml:space="preserve">Hua Chen, </w:t>
      </w:r>
      <w:proofErr w:type="spellStart"/>
      <w:r w:rsidRPr="0001491C">
        <w:rPr>
          <w:rFonts w:ascii="Times New Roman" w:hAnsi="Times New Roman" w:cs="Times New Roman"/>
          <w:sz w:val="24"/>
          <w:szCs w:val="24"/>
        </w:rPr>
        <w:t>Jin</w:t>
      </w:r>
      <w:proofErr w:type="spellEnd"/>
      <w:r w:rsidRPr="0001491C">
        <w:rPr>
          <w:rFonts w:ascii="Times New Roman" w:hAnsi="Times New Roman" w:cs="Times New Roman"/>
          <w:sz w:val="24"/>
          <w:szCs w:val="24"/>
        </w:rPr>
        <w:t xml:space="preserve"> </w:t>
      </w:r>
      <w:proofErr w:type="gramStart"/>
      <w:r w:rsidRPr="0001491C">
        <w:rPr>
          <w:rFonts w:ascii="Times New Roman" w:hAnsi="Times New Roman" w:cs="Times New Roman"/>
          <w:sz w:val="24"/>
          <w:szCs w:val="24"/>
        </w:rPr>
        <w:t>Gao</w:t>
      </w:r>
      <w:proofErr w:type="gramEnd"/>
      <w:r w:rsidRPr="0001491C">
        <w:rPr>
          <w:rFonts w:ascii="Times New Roman" w:hAnsi="Times New Roman" w:cs="Times New Roman"/>
          <w:sz w:val="24"/>
          <w:szCs w:val="24"/>
        </w:rPr>
        <w:t xml:space="preserve"> and Wei Zhu</w:t>
      </w:r>
    </w:p>
    <w:p w14:paraId="7382AA52" w14:textId="77777777" w:rsidR="0001491C" w:rsidRPr="0001491C" w:rsidRDefault="0001491C" w:rsidP="0001491C">
      <w:pPr>
        <w:spacing w:after="0" w:line="480" w:lineRule="auto"/>
        <w:jc w:val="center"/>
        <w:rPr>
          <w:rFonts w:ascii="Times New Roman" w:hAnsi="Times New Roman" w:cs="Times New Roman"/>
          <w:sz w:val="24"/>
          <w:szCs w:val="24"/>
        </w:rPr>
      </w:pPr>
    </w:p>
    <w:p w14:paraId="76CCF91B" w14:textId="5127C83F" w:rsidR="0001491C" w:rsidRPr="0001491C" w:rsidRDefault="0001491C" w:rsidP="0001491C">
      <w:pPr>
        <w:spacing w:after="0" w:line="360" w:lineRule="auto"/>
        <w:jc w:val="center"/>
        <w:rPr>
          <w:rFonts w:ascii="Times New Roman" w:hAnsi="Times New Roman" w:cs="Times New Roman"/>
          <w:sz w:val="24"/>
          <w:szCs w:val="24"/>
        </w:rPr>
      </w:pPr>
      <w:r w:rsidRPr="0001491C">
        <w:rPr>
          <w:rFonts w:ascii="Times New Roman" w:hAnsi="Times New Roman" w:cs="Times New Roman"/>
          <w:sz w:val="24"/>
          <w:szCs w:val="24"/>
        </w:rPr>
        <w:t>June 2, 2017</w:t>
      </w:r>
    </w:p>
    <w:p w14:paraId="307D819D" w14:textId="77777777" w:rsidR="0001491C" w:rsidRPr="0001491C" w:rsidRDefault="0001491C" w:rsidP="0001491C">
      <w:pPr>
        <w:spacing w:after="0" w:line="360" w:lineRule="auto"/>
        <w:jc w:val="center"/>
        <w:rPr>
          <w:rFonts w:ascii="Times New Roman" w:hAnsi="Times New Roman" w:cs="Times New Roman"/>
          <w:sz w:val="24"/>
          <w:szCs w:val="24"/>
        </w:rPr>
      </w:pPr>
    </w:p>
    <w:p w14:paraId="59E220CD" w14:textId="77777777" w:rsidR="0001491C" w:rsidRPr="0001491C" w:rsidRDefault="0001491C" w:rsidP="0001491C">
      <w:pPr>
        <w:spacing w:after="0" w:line="360" w:lineRule="auto"/>
        <w:jc w:val="center"/>
        <w:rPr>
          <w:rFonts w:ascii="Times New Roman" w:hAnsi="Times New Roman" w:cs="Times New Roman"/>
          <w:b/>
          <w:sz w:val="24"/>
          <w:szCs w:val="24"/>
        </w:rPr>
      </w:pPr>
      <w:r w:rsidRPr="0001491C">
        <w:rPr>
          <w:rFonts w:ascii="Times New Roman" w:hAnsi="Times New Roman" w:cs="Times New Roman"/>
          <w:b/>
          <w:sz w:val="24"/>
          <w:szCs w:val="24"/>
        </w:rPr>
        <w:t>Hua Chen</w:t>
      </w:r>
    </w:p>
    <w:p w14:paraId="53113E39" w14:textId="77777777" w:rsidR="0001491C" w:rsidRPr="0001491C" w:rsidRDefault="0001491C" w:rsidP="0001491C">
      <w:pPr>
        <w:spacing w:after="0" w:line="360" w:lineRule="auto"/>
        <w:jc w:val="center"/>
        <w:rPr>
          <w:rFonts w:ascii="Times New Roman" w:hAnsi="Times New Roman" w:cs="Times New Roman"/>
          <w:sz w:val="24"/>
          <w:szCs w:val="24"/>
        </w:rPr>
      </w:pPr>
      <w:r w:rsidRPr="0001491C">
        <w:rPr>
          <w:rFonts w:ascii="Times New Roman" w:hAnsi="Times New Roman" w:cs="Times New Roman"/>
          <w:sz w:val="24"/>
          <w:szCs w:val="24"/>
        </w:rPr>
        <w:t>Department of Risk, Insurance and Healthcare Management</w:t>
      </w:r>
    </w:p>
    <w:p w14:paraId="578D042C" w14:textId="77777777" w:rsidR="0001491C" w:rsidRPr="0001491C" w:rsidRDefault="0001491C" w:rsidP="0001491C">
      <w:pPr>
        <w:spacing w:after="0" w:line="360" w:lineRule="auto"/>
        <w:jc w:val="center"/>
        <w:rPr>
          <w:rFonts w:ascii="Times New Roman" w:hAnsi="Times New Roman" w:cs="Times New Roman"/>
          <w:sz w:val="24"/>
          <w:szCs w:val="24"/>
        </w:rPr>
      </w:pPr>
      <w:r w:rsidRPr="0001491C">
        <w:rPr>
          <w:rFonts w:ascii="Times New Roman" w:hAnsi="Times New Roman" w:cs="Times New Roman"/>
          <w:sz w:val="24"/>
          <w:szCs w:val="24"/>
        </w:rPr>
        <w:t>Fox School of Business, Temple University</w:t>
      </w:r>
    </w:p>
    <w:p w14:paraId="57E5E24D" w14:textId="77777777" w:rsidR="0001491C" w:rsidRPr="0001491C" w:rsidRDefault="0001491C" w:rsidP="0001491C">
      <w:pPr>
        <w:spacing w:after="0" w:line="360" w:lineRule="auto"/>
        <w:jc w:val="center"/>
        <w:rPr>
          <w:rFonts w:ascii="Times New Roman" w:hAnsi="Times New Roman" w:cs="Times New Roman"/>
          <w:sz w:val="24"/>
          <w:szCs w:val="24"/>
        </w:rPr>
      </w:pPr>
      <w:r w:rsidRPr="0001491C">
        <w:rPr>
          <w:rFonts w:ascii="Times New Roman" w:hAnsi="Times New Roman" w:cs="Times New Roman"/>
          <w:sz w:val="24"/>
          <w:szCs w:val="24"/>
        </w:rPr>
        <w:t xml:space="preserve">Email: </w:t>
      </w:r>
      <w:hyperlink r:id="rId9" w:history="1">
        <w:r w:rsidRPr="0001491C">
          <w:rPr>
            <w:rStyle w:val="Hyperlink"/>
            <w:rFonts w:ascii="Times New Roman" w:hAnsi="Times New Roman" w:cs="Times New Roman"/>
            <w:sz w:val="24"/>
            <w:szCs w:val="24"/>
          </w:rPr>
          <w:t>hchen@temple.edu</w:t>
        </w:r>
      </w:hyperlink>
    </w:p>
    <w:p w14:paraId="29278767" w14:textId="77777777" w:rsidR="0001491C" w:rsidRPr="0001491C" w:rsidRDefault="0001491C" w:rsidP="0001491C">
      <w:pPr>
        <w:spacing w:after="0" w:line="360" w:lineRule="auto"/>
        <w:jc w:val="center"/>
        <w:rPr>
          <w:rFonts w:ascii="Times New Roman" w:hAnsi="Times New Roman" w:cs="Times New Roman"/>
          <w:sz w:val="24"/>
          <w:szCs w:val="24"/>
        </w:rPr>
      </w:pPr>
    </w:p>
    <w:p w14:paraId="6C8255AE" w14:textId="77777777" w:rsidR="0001491C" w:rsidRPr="0001491C" w:rsidRDefault="0001491C" w:rsidP="0001491C">
      <w:pPr>
        <w:spacing w:after="0" w:line="360" w:lineRule="auto"/>
        <w:jc w:val="center"/>
        <w:rPr>
          <w:rFonts w:ascii="Times New Roman" w:hAnsi="Times New Roman" w:cs="Times New Roman"/>
          <w:b/>
          <w:sz w:val="24"/>
          <w:szCs w:val="24"/>
        </w:rPr>
      </w:pPr>
      <w:proofErr w:type="spellStart"/>
      <w:r w:rsidRPr="0001491C">
        <w:rPr>
          <w:rFonts w:ascii="Times New Roman" w:hAnsi="Times New Roman" w:cs="Times New Roman"/>
          <w:b/>
          <w:sz w:val="24"/>
          <w:szCs w:val="24"/>
        </w:rPr>
        <w:t>Jin</w:t>
      </w:r>
      <w:proofErr w:type="spellEnd"/>
      <w:r w:rsidRPr="0001491C">
        <w:rPr>
          <w:rFonts w:ascii="Times New Roman" w:hAnsi="Times New Roman" w:cs="Times New Roman"/>
          <w:b/>
          <w:sz w:val="24"/>
          <w:szCs w:val="24"/>
        </w:rPr>
        <w:t xml:space="preserve"> </w:t>
      </w:r>
      <w:proofErr w:type="gramStart"/>
      <w:r w:rsidRPr="0001491C">
        <w:rPr>
          <w:rFonts w:ascii="Times New Roman" w:hAnsi="Times New Roman" w:cs="Times New Roman"/>
          <w:b/>
          <w:sz w:val="24"/>
          <w:szCs w:val="24"/>
        </w:rPr>
        <w:t>Gao</w:t>
      </w:r>
      <w:proofErr w:type="gramEnd"/>
    </w:p>
    <w:p w14:paraId="5F1DD731" w14:textId="77777777" w:rsidR="0001491C" w:rsidRPr="0001491C" w:rsidRDefault="0001491C" w:rsidP="0001491C">
      <w:pPr>
        <w:spacing w:after="0" w:line="360" w:lineRule="auto"/>
        <w:jc w:val="center"/>
        <w:rPr>
          <w:rFonts w:ascii="Times New Roman" w:hAnsi="Times New Roman" w:cs="Times New Roman"/>
          <w:sz w:val="24"/>
          <w:szCs w:val="24"/>
        </w:rPr>
      </w:pPr>
      <w:r w:rsidRPr="0001491C">
        <w:rPr>
          <w:rFonts w:ascii="Times New Roman" w:hAnsi="Times New Roman" w:cs="Times New Roman"/>
          <w:sz w:val="24"/>
          <w:szCs w:val="24"/>
        </w:rPr>
        <w:t>Department of Finance and Insurance</w:t>
      </w:r>
    </w:p>
    <w:p w14:paraId="16D54AB2" w14:textId="77777777" w:rsidR="0001491C" w:rsidRPr="0001491C" w:rsidRDefault="0001491C" w:rsidP="0001491C">
      <w:pPr>
        <w:spacing w:after="0" w:line="360" w:lineRule="auto"/>
        <w:jc w:val="center"/>
        <w:rPr>
          <w:rFonts w:ascii="Times New Roman" w:hAnsi="Times New Roman" w:cs="Times New Roman"/>
          <w:sz w:val="24"/>
          <w:szCs w:val="24"/>
        </w:rPr>
      </w:pPr>
      <w:proofErr w:type="spellStart"/>
      <w:r w:rsidRPr="0001491C">
        <w:rPr>
          <w:rFonts w:ascii="Times New Roman" w:hAnsi="Times New Roman" w:cs="Times New Roman"/>
          <w:sz w:val="24"/>
          <w:szCs w:val="24"/>
        </w:rPr>
        <w:t>Lingnan</w:t>
      </w:r>
      <w:proofErr w:type="spellEnd"/>
      <w:r w:rsidRPr="0001491C">
        <w:rPr>
          <w:rFonts w:ascii="Times New Roman" w:hAnsi="Times New Roman" w:cs="Times New Roman"/>
          <w:sz w:val="24"/>
          <w:szCs w:val="24"/>
        </w:rPr>
        <w:t xml:space="preserve"> University, Hong Kong</w:t>
      </w:r>
    </w:p>
    <w:p w14:paraId="0F9F449E" w14:textId="77777777" w:rsidR="0001491C" w:rsidRPr="0001491C" w:rsidRDefault="0001491C" w:rsidP="0001491C">
      <w:pPr>
        <w:spacing w:after="0" w:line="360" w:lineRule="auto"/>
        <w:jc w:val="center"/>
        <w:rPr>
          <w:rFonts w:ascii="Times New Roman" w:hAnsi="Times New Roman" w:cs="Times New Roman"/>
          <w:sz w:val="24"/>
          <w:szCs w:val="24"/>
        </w:rPr>
      </w:pPr>
      <w:r w:rsidRPr="0001491C">
        <w:rPr>
          <w:rFonts w:ascii="Times New Roman" w:hAnsi="Times New Roman" w:cs="Times New Roman"/>
          <w:sz w:val="24"/>
          <w:szCs w:val="24"/>
          <w:shd w:val="clear" w:color="auto" w:fill="FFFFFF"/>
        </w:rPr>
        <w:t xml:space="preserve">Email: </w:t>
      </w:r>
      <w:hyperlink r:id="rId10" w:history="1">
        <w:r w:rsidRPr="0001491C">
          <w:rPr>
            <w:rStyle w:val="Hyperlink"/>
            <w:rFonts w:ascii="Times New Roman" w:hAnsi="Times New Roman" w:cs="Times New Roman"/>
            <w:sz w:val="24"/>
            <w:szCs w:val="24"/>
          </w:rPr>
          <w:t>jingao@ln.edu.hk</w:t>
        </w:r>
      </w:hyperlink>
    </w:p>
    <w:p w14:paraId="6C180C7B" w14:textId="77777777" w:rsidR="0001491C" w:rsidRPr="0001491C" w:rsidRDefault="0001491C" w:rsidP="0001491C">
      <w:pPr>
        <w:spacing w:after="0" w:line="360" w:lineRule="auto"/>
        <w:jc w:val="center"/>
        <w:rPr>
          <w:rFonts w:ascii="Times New Roman" w:hAnsi="Times New Roman" w:cs="Times New Roman"/>
          <w:sz w:val="24"/>
          <w:szCs w:val="24"/>
        </w:rPr>
      </w:pPr>
    </w:p>
    <w:p w14:paraId="71A3B587" w14:textId="77777777" w:rsidR="0001491C" w:rsidRPr="0001491C" w:rsidRDefault="0001491C" w:rsidP="0001491C">
      <w:pPr>
        <w:spacing w:after="0" w:line="360" w:lineRule="auto"/>
        <w:jc w:val="center"/>
        <w:rPr>
          <w:rFonts w:ascii="Times New Roman" w:hAnsi="Times New Roman" w:cs="Times New Roman"/>
          <w:b/>
          <w:sz w:val="24"/>
          <w:szCs w:val="24"/>
        </w:rPr>
      </w:pPr>
      <w:r w:rsidRPr="0001491C">
        <w:rPr>
          <w:rFonts w:ascii="Times New Roman" w:hAnsi="Times New Roman" w:cs="Times New Roman"/>
          <w:b/>
          <w:sz w:val="24"/>
          <w:szCs w:val="24"/>
        </w:rPr>
        <w:t>Wei Zhu</w:t>
      </w:r>
    </w:p>
    <w:p w14:paraId="3077FD25" w14:textId="77777777" w:rsidR="0001491C" w:rsidRPr="0001491C" w:rsidRDefault="0001491C" w:rsidP="0001491C">
      <w:pPr>
        <w:autoSpaceDE w:val="0"/>
        <w:autoSpaceDN w:val="0"/>
        <w:adjustRightInd w:val="0"/>
        <w:spacing w:after="0" w:line="360" w:lineRule="auto"/>
        <w:jc w:val="center"/>
        <w:rPr>
          <w:rFonts w:ascii="Times New Roman" w:hAnsi="Times New Roman" w:cs="Times New Roman"/>
          <w:sz w:val="24"/>
          <w:szCs w:val="24"/>
        </w:rPr>
      </w:pPr>
      <w:r w:rsidRPr="0001491C">
        <w:rPr>
          <w:rFonts w:ascii="Times New Roman" w:hAnsi="Times New Roman" w:cs="Times New Roman"/>
          <w:sz w:val="24"/>
          <w:szCs w:val="24"/>
        </w:rPr>
        <w:t>School of Insurance and Economics</w:t>
      </w:r>
    </w:p>
    <w:p w14:paraId="06374D16" w14:textId="77777777" w:rsidR="0001491C" w:rsidRPr="0001491C" w:rsidRDefault="0001491C" w:rsidP="0001491C">
      <w:pPr>
        <w:autoSpaceDE w:val="0"/>
        <w:autoSpaceDN w:val="0"/>
        <w:adjustRightInd w:val="0"/>
        <w:spacing w:after="0" w:line="360" w:lineRule="auto"/>
        <w:jc w:val="center"/>
        <w:rPr>
          <w:rFonts w:ascii="Times New Roman" w:hAnsi="Times New Roman" w:cs="Times New Roman"/>
          <w:sz w:val="24"/>
          <w:szCs w:val="24"/>
        </w:rPr>
      </w:pPr>
      <w:r w:rsidRPr="0001491C">
        <w:rPr>
          <w:rFonts w:ascii="Times New Roman" w:hAnsi="Times New Roman" w:cs="Times New Roman"/>
          <w:sz w:val="24"/>
          <w:szCs w:val="24"/>
        </w:rPr>
        <w:t>University of International Business and Economics, China</w:t>
      </w:r>
    </w:p>
    <w:p w14:paraId="1294F3E7" w14:textId="77777777" w:rsidR="0001491C" w:rsidRPr="0001491C" w:rsidRDefault="0001491C" w:rsidP="0001491C">
      <w:pPr>
        <w:spacing w:after="0" w:line="360" w:lineRule="auto"/>
        <w:jc w:val="center"/>
        <w:rPr>
          <w:rFonts w:ascii="Times New Roman" w:hAnsi="Times New Roman" w:cs="Times New Roman"/>
          <w:sz w:val="24"/>
          <w:szCs w:val="24"/>
        </w:rPr>
      </w:pPr>
      <w:r w:rsidRPr="0001491C">
        <w:rPr>
          <w:rFonts w:ascii="Times New Roman" w:hAnsi="Times New Roman" w:cs="Times New Roman"/>
          <w:sz w:val="24"/>
          <w:szCs w:val="24"/>
        </w:rPr>
        <w:t xml:space="preserve">E-mail: </w:t>
      </w:r>
      <w:hyperlink r:id="rId11" w:history="1">
        <w:r w:rsidRPr="0001491C">
          <w:rPr>
            <w:rStyle w:val="Hyperlink"/>
            <w:rFonts w:ascii="Times New Roman" w:hAnsi="Times New Roman" w:cs="Times New Roman"/>
            <w:sz w:val="24"/>
            <w:szCs w:val="24"/>
          </w:rPr>
          <w:t>zhuwei@uibe.edu.cn</w:t>
        </w:r>
      </w:hyperlink>
    </w:p>
    <w:p w14:paraId="775D8D27" w14:textId="77777777" w:rsidR="0001491C" w:rsidRPr="0001491C" w:rsidRDefault="0001491C" w:rsidP="0001491C">
      <w:pPr>
        <w:spacing w:after="0" w:line="480" w:lineRule="auto"/>
        <w:jc w:val="center"/>
        <w:rPr>
          <w:rFonts w:ascii="Times New Roman" w:hAnsi="Times New Roman" w:cs="Times New Roman"/>
          <w:sz w:val="24"/>
          <w:szCs w:val="24"/>
        </w:rPr>
      </w:pPr>
    </w:p>
    <w:p w14:paraId="5AFCFFC3" w14:textId="77777777" w:rsidR="0001491C" w:rsidRPr="0001491C" w:rsidRDefault="0001491C" w:rsidP="0001491C">
      <w:pPr>
        <w:spacing w:after="0" w:line="480" w:lineRule="auto"/>
        <w:jc w:val="center"/>
        <w:rPr>
          <w:rFonts w:ascii="Times New Roman" w:hAnsi="Times New Roman" w:cs="Times New Roman"/>
          <w:color w:val="404040"/>
          <w:sz w:val="24"/>
          <w:szCs w:val="24"/>
        </w:rPr>
      </w:pPr>
    </w:p>
    <w:p w14:paraId="36ECB993" w14:textId="77777777" w:rsidR="0001491C" w:rsidRPr="0001491C" w:rsidRDefault="0001491C" w:rsidP="0001491C">
      <w:pPr>
        <w:spacing w:after="0" w:line="480" w:lineRule="auto"/>
        <w:jc w:val="center"/>
        <w:rPr>
          <w:rFonts w:ascii="Times New Roman" w:eastAsia="Times New Roman" w:hAnsi="Times New Roman" w:cs="Times New Roman"/>
          <w:color w:val="404040"/>
          <w:sz w:val="24"/>
          <w:szCs w:val="24"/>
        </w:rPr>
      </w:pPr>
    </w:p>
    <w:p w14:paraId="32981F29" w14:textId="77777777" w:rsidR="0001491C" w:rsidRPr="0001491C" w:rsidRDefault="0001491C" w:rsidP="0001491C">
      <w:pPr>
        <w:spacing w:after="0" w:line="480" w:lineRule="auto"/>
        <w:jc w:val="center"/>
        <w:rPr>
          <w:rFonts w:ascii="Times New Roman" w:hAnsi="Times New Roman" w:cs="Times New Roman"/>
          <w:sz w:val="24"/>
          <w:szCs w:val="24"/>
        </w:rPr>
      </w:pPr>
    </w:p>
    <w:p w14:paraId="2E7299C2" w14:textId="77777777" w:rsidR="0001491C" w:rsidRPr="0001491C" w:rsidRDefault="0001491C" w:rsidP="0001491C">
      <w:pPr>
        <w:spacing w:after="0" w:line="480" w:lineRule="auto"/>
        <w:rPr>
          <w:rFonts w:ascii="Times New Roman" w:hAnsi="Times New Roman" w:cs="Times New Roman"/>
          <w:b/>
          <w:sz w:val="24"/>
          <w:szCs w:val="24"/>
        </w:rPr>
      </w:pPr>
    </w:p>
    <w:p w14:paraId="6A1962F0" w14:textId="77777777" w:rsidR="0001491C" w:rsidRPr="0001491C" w:rsidRDefault="0001491C" w:rsidP="0001491C">
      <w:pPr>
        <w:spacing w:after="0" w:line="480" w:lineRule="auto"/>
        <w:jc w:val="center"/>
        <w:rPr>
          <w:rFonts w:ascii="Times New Roman" w:hAnsi="Times New Roman" w:cs="Times New Roman"/>
          <w:b/>
          <w:sz w:val="24"/>
          <w:szCs w:val="24"/>
        </w:rPr>
      </w:pPr>
      <w:proofErr w:type="gramStart"/>
      <w:r w:rsidRPr="0001491C">
        <w:rPr>
          <w:rFonts w:ascii="Times New Roman" w:hAnsi="Times New Roman" w:cs="Times New Roman"/>
          <w:b/>
          <w:sz w:val="24"/>
          <w:szCs w:val="24"/>
        </w:rPr>
        <w:lastRenderedPageBreak/>
        <w:t>Compressing or Expansion of Morbidity?</w:t>
      </w:r>
      <w:proofErr w:type="gramEnd"/>
      <w:r w:rsidRPr="0001491C">
        <w:rPr>
          <w:rFonts w:ascii="Times New Roman" w:hAnsi="Times New Roman" w:cs="Times New Roman"/>
          <w:b/>
          <w:sz w:val="24"/>
          <w:szCs w:val="24"/>
        </w:rPr>
        <w:t xml:space="preserve"> </w:t>
      </w:r>
    </w:p>
    <w:p w14:paraId="6AF58639" w14:textId="76F6E87B" w:rsidR="0001491C" w:rsidRPr="0001491C" w:rsidRDefault="004B19DA" w:rsidP="0001491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w:t>
      </w:r>
      <w:r w:rsidR="0001491C" w:rsidRPr="0001491C">
        <w:rPr>
          <w:rFonts w:ascii="Times New Roman" w:hAnsi="Times New Roman" w:cs="Times New Roman"/>
          <w:b/>
          <w:sz w:val="24"/>
          <w:szCs w:val="24"/>
        </w:rPr>
        <w:t xml:space="preserve">he Demand for </w:t>
      </w:r>
      <w:r>
        <w:rPr>
          <w:rFonts w:ascii="Times New Roman" w:hAnsi="Times New Roman" w:cs="Times New Roman"/>
          <w:b/>
          <w:sz w:val="24"/>
          <w:szCs w:val="24"/>
        </w:rPr>
        <w:t xml:space="preserve">Annuity and Long-term Care </w:t>
      </w:r>
      <w:r w:rsidR="0001491C" w:rsidRPr="0001491C">
        <w:rPr>
          <w:rFonts w:ascii="Times New Roman" w:hAnsi="Times New Roman" w:cs="Times New Roman"/>
          <w:b/>
          <w:sz w:val="24"/>
          <w:szCs w:val="24"/>
        </w:rPr>
        <w:t>Insurance</w:t>
      </w:r>
    </w:p>
    <w:p w14:paraId="682B2E44" w14:textId="77777777" w:rsidR="0001491C" w:rsidRPr="0001491C" w:rsidRDefault="0001491C" w:rsidP="0001491C">
      <w:pPr>
        <w:spacing w:after="0" w:line="480" w:lineRule="auto"/>
        <w:jc w:val="center"/>
        <w:rPr>
          <w:rFonts w:ascii="Times New Roman" w:hAnsi="Times New Roman" w:cs="Times New Roman"/>
          <w:sz w:val="24"/>
          <w:szCs w:val="24"/>
        </w:rPr>
      </w:pPr>
    </w:p>
    <w:p w14:paraId="5B9AE6C1" w14:textId="77777777" w:rsidR="0001491C" w:rsidRPr="0001491C" w:rsidRDefault="0001491C" w:rsidP="0001491C">
      <w:pPr>
        <w:autoSpaceDE w:val="0"/>
        <w:autoSpaceDN w:val="0"/>
        <w:adjustRightInd w:val="0"/>
        <w:spacing w:after="0" w:line="480" w:lineRule="auto"/>
        <w:jc w:val="center"/>
        <w:rPr>
          <w:rFonts w:ascii="Times New Roman" w:hAnsi="Times New Roman" w:cs="Times New Roman"/>
          <w:b/>
          <w:sz w:val="24"/>
          <w:szCs w:val="24"/>
        </w:rPr>
      </w:pPr>
      <w:r w:rsidRPr="0001491C">
        <w:rPr>
          <w:rFonts w:ascii="Times New Roman" w:hAnsi="Times New Roman" w:cs="Times New Roman"/>
          <w:b/>
          <w:sz w:val="24"/>
          <w:szCs w:val="24"/>
        </w:rPr>
        <w:t>Abstract</w:t>
      </w:r>
    </w:p>
    <w:p w14:paraId="60936436" w14:textId="77777777" w:rsidR="0001491C" w:rsidRPr="0001491C" w:rsidRDefault="0001491C" w:rsidP="0001491C">
      <w:pPr>
        <w:autoSpaceDE w:val="0"/>
        <w:autoSpaceDN w:val="0"/>
        <w:adjustRightInd w:val="0"/>
        <w:spacing w:after="0" w:line="480" w:lineRule="auto"/>
        <w:jc w:val="center"/>
        <w:rPr>
          <w:rFonts w:ascii="Times New Roman" w:hAnsi="Times New Roman" w:cs="Times New Roman"/>
          <w:b/>
          <w:sz w:val="24"/>
          <w:szCs w:val="24"/>
        </w:rPr>
      </w:pPr>
    </w:p>
    <w:p w14:paraId="11784D40" w14:textId="5C80A955" w:rsidR="0001491C" w:rsidRPr="0001491C" w:rsidRDefault="0001491C" w:rsidP="0001491C">
      <w:pPr>
        <w:autoSpaceDE w:val="0"/>
        <w:autoSpaceDN w:val="0"/>
        <w:adjustRightInd w:val="0"/>
        <w:spacing w:after="0" w:line="240" w:lineRule="auto"/>
        <w:jc w:val="both"/>
        <w:rPr>
          <w:rFonts w:ascii="Times New Roman" w:hAnsi="Times New Roman" w:cs="Times New Roman"/>
          <w:sz w:val="24"/>
          <w:szCs w:val="24"/>
        </w:rPr>
      </w:pPr>
      <w:r w:rsidRPr="0001491C">
        <w:rPr>
          <w:rFonts w:ascii="Times New Roman" w:hAnsi="Times New Roman" w:cs="Times New Roman"/>
          <w:sz w:val="24"/>
          <w:szCs w:val="24"/>
        </w:rPr>
        <w:t>Individual retirees face two important risks: rising health care costs and increased life expectancy. Health shocks and longevity risk are</w:t>
      </w:r>
      <w:r w:rsidR="005D3517">
        <w:rPr>
          <w:rFonts w:ascii="Times New Roman" w:hAnsi="Times New Roman" w:cs="Times New Roman"/>
          <w:sz w:val="24"/>
          <w:szCs w:val="24"/>
        </w:rPr>
        <w:t xml:space="preserve"> inherently connected since </w:t>
      </w:r>
      <w:r w:rsidRPr="0001491C">
        <w:rPr>
          <w:rFonts w:ascii="Times New Roman" w:hAnsi="Times New Roman" w:cs="Times New Roman"/>
          <w:sz w:val="24"/>
          <w:szCs w:val="24"/>
        </w:rPr>
        <w:t>death represents the end state in an individual’s health state transition process. A longer life expectancy can be attributed to a prolonged time span during which the individual stays healthy, i.e., compression of morbidity (Fries 2005), or associated with a relatively more increase in the length of an unhealthy state, i.e., expansion of morbidity (</w:t>
      </w:r>
      <w:proofErr w:type="spellStart"/>
      <w:r w:rsidRPr="0001491C">
        <w:rPr>
          <w:rFonts w:ascii="Times New Roman" w:hAnsi="Times New Roman" w:cs="Times New Roman"/>
          <w:sz w:val="24"/>
          <w:szCs w:val="24"/>
        </w:rPr>
        <w:t>Olshansky</w:t>
      </w:r>
      <w:proofErr w:type="spellEnd"/>
      <w:r w:rsidRPr="0001491C">
        <w:rPr>
          <w:rFonts w:ascii="Times New Roman" w:hAnsi="Times New Roman" w:cs="Times New Roman"/>
          <w:sz w:val="24"/>
          <w:szCs w:val="24"/>
        </w:rPr>
        <w:t xml:space="preserve"> et al. 1991). A third hypothesis (the dynamic equilibrium theory) points to an overall stable relative length of unhealthy life expectancy. There is still no consensus in the literature on which pattern truly captures individuals’ evolution of health states. In this paper, we use a life-cycle model to investigate how the health state transition process affects an individual’s demand for long-term care insurance and life annuity, in addition to other standard investment products such as bonds and stocks. Our paper contributes to the existing literature in several ways. First, we develop a dynamic multistate transition model where the transition probabilities depend on age and calendar time. Second, we answer the question as to what is the demand for long-term care insurance and life annuity under the compression, expansion and dynamic equilibrium hypothesis, respectively. </w:t>
      </w:r>
    </w:p>
    <w:p w14:paraId="4F385DBA" w14:textId="77777777" w:rsidR="0001491C" w:rsidRPr="0001491C" w:rsidRDefault="0001491C" w:rsidP="0001491C">
      <w:pPr>
        <w:autoSpaceDE w:val="0"/>
        <w:autoSpaceDN w:val="0"/>
        <w:adjustRightInd w:val="0"/>
        <w:spacing w:after="0" w:line="240" w:lineRule="auto"/>
        <w:rPr>
          <w:rFonts w:ascii="Times New Roman" w:hAnsi="Times New Roman" w:cs="Times New Roman"/>
          <w:sz w:val="24"/>
          <w:szCs w:val="24"/>
        </w:rPr>
      </w:pPr>
    </w:p>
    <w:p w14:paraId="7C716509" w14:textId="516A50D8" w:rsidR="00680098" w:rsidRDefault="0001491C" w:rsidP="0001491C">
      <w:pPr>
        <w:spacing w:after="0" w:line="240" w:lineRule="auto"/>
        <w:rPr>
          <w:rFonts w:ascii="Times New Roman" w:hAnsi="Times New Roman" w:cs="Times New Roman"/>
          <w:sz w:val="24"/>
          <w:szCs w:val="24"/>
        </w:rPr>
        <w:sectPr w:rsidR="00680098">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pPr>
      <w:r w:rsidRPr="0001491C">
        <w:rPr>
          <w:rFonts w:ascii="Times New Roman" w:hAnsi="Times New Roman" w:cs="Times New Roman"/>
          <w:b/>
          <w:sz w:val="24"/>
          <w:szCs w:val="24"/>
        </w:rPr>
        <w:t>Key Word:</w:t>
      </w:r>
      <w:r w:rsidRPr="0001491C">
        <w:rPr>
          <w:rFonts w:ascii="Times New Roman" w:hAnsi="Times New Roman" w:cs="Times New Roman"/>
          <w:sz w:val="24"/>
          <w:szCs w:val="24"/>
        </w:rPr>
        <w:t xml:space="preserve"> Compression, expansion and dynamic equilibrium of morbidity; multistate transition model; ambiguity and ambiguity aversion; annuity puzzle; long-term care </w:t>
      </w:r>
      <w:proofErr w:type="gramStart"/>
      <w:r w:rsidRPr="0001491C">
        <w:rPr>
          <w:rFonts w:ascii="Times New Roman" w:hAnsi="Times New Roman" w:cs="Times New Roman"/>
          <w:sz w:val="24"/>
          <w:szCs w:val="24"/>
        </w:rPr>
        <w:t>insurance</w:t>
      </w:r>
      <w:proofErr w:type="gramEnd"/>
      <w:r w:rsidRPr="0001491C">
        <w:rPr>
          <w:rFonts w:ascii="Times New Roman" w:hAnsi="Times New Roman" w:cs="Times New Roman"/>
          <w:sz w:val="24"/>
          <w:szCs w:val="24"/>
        </w:rPr>
        <w:t xml:space="preserve"> puzzle.</w:t>
      </w:r>
    </w:p>
    <w:p w14:paraId="2F7BDFC6" w14:textId="77F6AD74" w:rsidR="0001491C" w:rsidRPr="0001491C" w:rsidRDefault="0001491C" w:rsidP="001130B2">
      <w:pPr>
        <w:autoSpaceDE w:val="0"/>
        <w:autoSpaceDN w:val="0"/>
        <w:adjustRightInd w:val="0"/>
        <w:spacing w:after="0" w:line="480" w:lineRule="auto"/>
        <w:rPr>
          <w:rFonts w:ascii="Times New Roman" w:hAnsi="Times New Roman" w:cs="Times New Roman"/>
          <w:b/>
          <w:sz w:val="24"/>
          <w:szCs w:val="24"/>
        </w:rPr>
      </w:pPr>
      <w:r w:rsidRPr="0001491C">
        <w:rPr>
          <w:rFonts w:ascii="Times New Roman" w:hAnsi="Times New Roman" w:cs="Times New Roman"/>
          <w:b/>
          <w:sz w:val="24"/>
          <w:szCs w:val="24"/>
        </w:rPr>
        <w:lastRenderedPageBreak/>
        <w:t>1. Introduction</w:t>
      </w:r>
    </w:p>
    <w:p w14:paraId="4DE310D9" w14:textId="1375E3AF" w:rsidR="008953C7" w:rsidRPr="0001491C" w:rsidRDefault="008953C7" w:rsidP="001130B2">
      <w:pPr>
        <w:autoSpaceDE w:val="0"/>
        <w:autoSpaceDN w:val="0"/>
        <w:adjustRightInd w:val="0"/>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Individual retirees face two important risks: rising health care costs and longevity risk.</w:t>
      </w:r>
      <w:r w:rsidR="00F7265F">
        <w:rPr>
          <w:rFonts w:ascii="Times New Roman" w:hAnsi="Times New Roman" w:cs="Times New Roman"/>
          <w:sz w:val="24"/>
          <w:szCs w:val="24"/>
        </w:rPr>
        <w:t xml:space="preserve"> </w:t>
      </w:r>
      <w:r w:rsidRPr="0001491C">
        <w:rPr>
          <w:rFonts w:ascii="Times New Roman" w:hAnsi="Times New Roman" w:cs="Times New Roman"/>
          <w:sz w:val="24"/>
          <w:szCs w:val="24"/>
        </w:rPr>
        <w:t>For example, health care costs in OECD countries have been increasing steadily in the last few decades (Colombo et al., 2011; Shi and Zhang, 2013), and residual life expectancy at age 60 in these countries has risen by 1-2 years over the past few decades according to an International Monetary Fund report (2012). In this</w:t>
      </w:r>
      <w:r w:rsidR="008B2446">
        <w:rPr>
          <w:rFonts w:ascii="Times New Roman" w:hAnsi="Times New Roman" w:cs="Times New Roman"/>
          <w:sz w:val="24"/>
          <w:szCs w:val="24"/>
        </w:rPr>
        <w:t xml:space="preserve"> paper</w:t>
      </w:r>
      <w:r w:rsidR="001130B2">
        <w:rPr>
          <w:rFonts w:ascii="Times New Roman" w:hAnsi="Times New Roman" w:cs="Times New Roman"/>
          <w:sz w:val="24"/>
          <w:szCs w:val="24"/>
        </w:rPr>
        <w:t xml:space="preserve">, </w:t>
      </w:r>
      <w:r w:rsidR="001130B2" w:rsidRPr="0001491C">
        <w:rPr>
          <w:rFonts w:ascii="Times New Roman" w:hAnsi="Times New Roman" w:cs="Times New Roman"/>
          <w:sz w:val="24"/>
          <w:szCs w:val="24"/>
        </w:rPr>
        <w:t xml:space="preserve">we develop a dynamic multistate transition model where the transition probabilities depend on age and calendar time. </w:t>
      </w:r>
      <w:r w:rsidR="001130B2">
        <w:rPr>
          <w:rFonts w:ascii="Times New Roman" w:hAnsi="Times New Roman" w:cs="Times New Roman"/>
          <w:sz w:val="24"/>
          <w:szCs w:val="24"/>
        </w:rPr>
        <w:t xml:space="preserve">We also build </w:t>
      </w:r>
      <w:r w:rsidRPr="0001491C">
        <w:rPr>
          <w:rFonts w:ascii="Times New Roman" w:hAnsi="Times New Roman" w:cs="Times New Roman"/>
          <w:sz w:val="24"/>
          <w:szCs w:val="24"/>
        </w:rPr>
        <w:t xml:space="preserve">a life-cycle model to investigate an optimal mix of retirement products for an individual, including </w:t>
      </w:r>
      <w:r w:rsidR="008B2446">
        <w:rPr>
          <w:rFonts w:ascii="Times New Roman" w:hAnsi="Times New Roman" w:cs="Times New Roman"/>
          <w:sz w:val="24"/>
          <w:szCs w:val="24"/>
        </w:rPr>
        <w:t xml:space="preserve">annuity, </w:t>
      </w:r>
      <w:r w:rsidRPr="0001491C">
        <w:rPr>
          <w:rFonts w:ascii="Times New Roman" w:hAnsi="Times New Roman" w:cs="Times New Roman"/>
          <w:sz w:val="24"/>
          <w:szCs w:val="24"/>
        </w:rPr>
        <w:t>private long-term care</w:t>
      </w:r>
      <w:r w:rsidR="00D87DBB">
        <w:rPr>
          <w:rFonts w:ascii="Times New Roman" w:hAnsi="Times New Roman" w:cs="Times New Roman"/>
          <w:sz w:val="24"/>
          <w:szCs w:val="24"/>
        </w:rPr>
        <w:t xml:space="preserve"> (LTC)</w:t>
      </w:r>
      <w:r w:rsidR="008B2446">
        <w:rPr>
          <w:rFonts w:ascii="Times New Roman" w:hAnsi="Times New Roman" w:cs="Times New Roman"/>
          <w:sz w:val="24"/>
          <w:szCs w:val="24"/>
        </w:rPr>
        <w:t xml:space="preserve"> insurance, </w:t>
      </w:r>
      <w:r w:rsidRPr="0001491C">
        <w:rPr>
          <w:rFonts w:ascii="Times New Roman" w:hAnsi="Times New Roman" w:cs="Times New Roman"/>
          <w:sz w:val="24"/>
          <w:szCs w:val="24"/>
        </w:rPr>
        <w:t>and equity investment in addition to endowed pension income and government spon</w:t>
      </w:r>
      <w:r w:rsidR="008B2446">
        <w:rPr>
          <w:rFonts w:ascii="Times New Roman" w:hAnsi="Times New Roman" w:cs="Times New Roman"/>
          <w:sz w:val="24"/>
          <w:szCs w:val="24"/>
        </w:rPr>
        <w:t>sored LTC</w:t>
      </w:r>
      <w:r w:rsidR="0001491C">
        <w:rPr>
          <w:rFonts w:ascii="Times New Roman" w:hAnsi="Times New Roman" w:cs="Times New Roman"/>
          <w:sz w:val="24"/>
          <w:szCs w:val="24"/>
        </w:rPr>
        <w:t xml:space="preserve"> insurance.</w:t>
      </w:r>
    </w:p>
    <w:p w14:paraId="461F1098" w14:textId="6834DC46" w:rsidR="008953C7" w:rsidRDefault="008B2446" w:rsidP="00F7265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important retirement product we </w:t>
      </w:r>
      <w:r w:rsidR="008953C7" w:rsidRPr="0001491C">
        <w:rPr>
          <w:rFonts w:ascii="Times New Roman" w:hAnsi="Times New Roman" w:cs="Times New Roman"/>
          <w:sz w:val="24"/>
          <w:szCs w:val="24"/>
        </w:rPr>
        <w:t>take into account in our model is life annuity, which converts a lump sum amount (initial prem</w:t>
      </w:r>
      <w:r>
        <w:rPr>
          <w:rFonts w:ascii="Times New Roman" w:hAnsi="Times New Roman" w:cs="Times New Roman"/>
          <w:sz w:val="24"/>
          <w:szCs w:val="24"/>
        </w:rPr>
        <w:t xml:space="preserve">ium or accumulated wealth) to </w:t>
      </w:r>
      <w:r w:rsidR="008953C7" w:rsidRPr="0001491C">
        <w:rPr>
          <w:rFonts w:ascii="Times New Roman" w:hAnsi="Times New Roman" w:cs="Times New Roman"/>
          <w:sz w:val="24"/>
          <w:szCs w:val="24"/>
        </w:rPr>
        <w:t>periodic payouts over the life of investors.</w:t>
      </w:r>
      <w:r>
        <w:rPr>
          <w:rStyle w:val="FootnoteReference"/>
          <w:rFonts w:ascii="Times New Roman" w:hAnsi="Times New Roman" w:cs="Times New Roman"/>
          <w:sz w:val="24"/>
          <w:szCs w:val="24"/>
        </w:rPr>
        <w:footnoteReference w:id="1"/>
      </w:r>
      <w:r w:rsidR="008953C7" w:rsidRPr="0001491C">
        <w:rPr>
          <w:rFonts w:ascii="Times New Roman" w:hAnsi="Times New Roman" w:cs="Times New Roman"/>
          <w:sz w:val="24"/>
          <w:szCs w:val="24"/>
        </w:rPr>
        <w:t xml:space="preserve"> Longer life expectancy has been regarded as a promising outcome with the development of the medical science. Increased longevity makes individuals face a risk of outliving their wealth if without appropriate financial planning. Life annuities can play an important role in helping people handle the old-age problem. The classic rational choice theory predicts that annuity purchase is attractive </w:t>
      </w:r>
      <w:r w:rsidR="00F7265F">
        <w:rPr>
          <w:rFonts w:ascii="Times New Roman" w:hAnsi="Times New Roman" w:cs="Times New Roman"/>
          <w:sz w:val="24"/>
          <w:szCs w:val="24"/>
        </w:rPr>
        <w:t>to people (</w:t>
      </w:r>
      <w:proofErr w:type="spellStart"/>
      <w:r w:rsidR="00F7265F">
        <w:rPr>
          <w:rFonts w:ascii="Times New Roman" w:hAnsi="Times New Roman" w:cs="Times New Roman"/>
          <w:sz w:val="24"/>
          <w:szCs w:val="24"/>
        </w:rPr>
        <w:t>Yaari</w:t>
      </w:r>
      <w:proofErr w:type="spellEnd"/>
      <w:r w:rsidR="00F7265F">
        <w:rPr>
          <w:rFonts w:ascii="Times New Roman" w:hAnsi="Times New Roman" w:cs="Times New Roman"/>
          <w:sz w:val="24"/>
          <w:szCs w:val="24"/>
        </w:rPr>
        <w:t xml:space="preserve"> 1965, Davidoff </w:t>
      </w:r>
      <w:r w:rsidR="008953C7" w:rsidRPr="0001491C">
        <w:rPr>
          <w:rFonts w:ascii="Times New Roman" w:hAnsi="Times New Roman" w:cs="Times New Roman"/>
          <w:sz w:val="24"/>
          <w:szCs w:val="24"/>
        </w:rPr>
        <w:t xml:space="preserve">et al. 2005) and, in the absence of other motivations or constraints, an individual upon facing retirement should annuitize 100% of their wealth. However, this prediction is not consistent with the observation that relatively few </w:t>
      </w:r>
      <w:r w:rsidR="008953C7" w:rsidRPr="0001491C">
        <w:rPr>
          <w:rFonts w:ascii="Times New Roman" w:hAnsi="Times New Roman" w:cs="Times New Roman"/>
          <w:sz w:val="24"/>
          <w:szCs w:val="24"/>
        </w:rPr>
        <w:lastRenderedPageBreak/>
        <w:t xml:space="preserve">households facing retirement choose to annuitize a substantial portion of their wealth, i.e., the so-called “annuity puzzle”. Some literature (Kotlikoff and Summers (1981), </w:t>
      </w:r>
      <w:proofErr w:type="spellStart"/>
      <w:r w:rsidR="008953C7" w:rsidRPr="0001491C">
        <w:rPr>
          <w:rFonts w:ascii="Times New Roman" w:hAnsi="Times New Roman" w:cs="Times New Roman"/>
          <w:sz w:val="24"/>
          <w:szCs w:val="24"/>
        </w:rPr>
        <w:t>Bernheim</w:t>
      </w:r>
      <w:proofErr w:type="spellEnd"/>
      <w:r w:rsidR="008953C7" w:rsidRPr="0001491C">
        <w:rPr>
          <w:rFonts w:ascii="Times New Roman" w:hAnsi="Times New Roman" w:cs="Times New Roman"/>
          <w:sz w:val="24"/>
          <w:szCs w:val="24"/>
        </w:rPr>
        <w:t xml:space="preserve"> (1991)) argues that individuals do not annuitize wealth because of their bequest motives. In order to stimulate annuity demand, some new features have been added to traditional annuity products to minimize the bequest concern, e.g.</w:t>
      </w:r>
      <w:r>
        <w:rPr>
          <w:rFonts w:ascii="Times New Roman" w:hAnsi="Times New Roman" w:cs="Times New Roman"/>
          <w:sz w:val="24"/>
          <w:szCs w:val="24"/>
        </w:rPr>
        <w:t xml:space="preserve">, the surviving spouse being </w:t>
      </w:r>
      <w:r w:rsidR="008953C7" w:rsidRPr="0001491C">
        <w:rPr>
          <w:rFonts w:ascii="Times New Roman" w:hAnsi="Times New Roman" w:cs="Times New Roman"/>
          <w:sz w:val="24"/>
          <w:szCs w:val="24"/>
        </w:rPr>
        <w:t>provided with a term certain annuity (</w:t>
      </w:r>
      <w:proofErr w:type="spellStart"/>
      <w:r w:rsidR="008953C7" w:rsidRPr="0001491C">
        <w:rPr>
          <w:rFonts w:ascii="Times New Roman" w:hAnsi="Times New Roman" w:cs="Times New Roman"/>
          <w:sz w:val="24"/>
          <w:szCs w:val="24"/>
        </w:rPr>
        <w:t>Purcal</w:t>
      </w:r>
      <w:proofErr w:type="spellEnd"/>
      <w:r>
        <w:rPr>
          <w:rFonts w:ascii="Times New Roman" w:hAnsi="Times New Roman" w:cs="Times New Roman"/>
          <w:sz w:val="24"/>
          <w:szCs w:val="24"/>
        </w:rPr>
        <w:t xml:space="preserve"> and Piggott, 2008</w:t>
      </w:r>
      <w:r w:rsidR="0001491C">
        <w:rPr>
          <w:rFonts w:ascii="Times New Roman" w:hAnsi="Times New Roman" w:cs="Times New Roman"/>
          <w:sz w:val="24"/>
          <w:szCs w:val="24"/>
        </w:rPr>
        <w:t>).</w:t>
      </w:r>
    </w:p>
    <w:p w14:paraId="4292A32F" w14:textId="660C585D" w:rsidR="008B2446" w:rsidRPr="0001491C" w:rsidRDefault="008B2446" w:rsidP="008B244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w:t>
      </w:r>
      <w:r w:rsidRPr="0001491C">
        <w:rPr>
          <w:rFonts w:ascii="Times New Roman" w:hAnsi="Times New Roman" w:cs="Times New Roman"/>
          <w:sz w:val="24"/>
          <w:szCs w:val="24"/>
        </w:rPr>
        <w:t xml:space="preserve"> </w:t>
      </w:r>
      <w:r>
        <w:rPr>
          <w:rFonts w:ascii="Times New Roman" w:hAnsi="Times New Roman" w:cs="Times New Roman"/>
          <w:sz w:val="24"/>
          <w:szCs w:val="24"/>
        </w:rPr>
        <w:t xml:space="preserve">product we </w:t>
      </w:r>
      <w:r w:rsidRPr="0001491C">
        <w:rPr>
          <w:rFonts w:ascii="Times New Roman" w:hAnsi="Times New Roman" w:cs="Times New Roman"/>
          <w:sz w:val="24"/>
          <w:szCs w:val="24"/>
        </w:rPr>
        <w:t>consider is pr</w:t>
      </w:r>
      <w:r>
        <w:rPr>
          <w:rFonts w:ascii="Times New Roman" w:hAnsi="Times New Roman" w:cs="Times New Roman"/>
          <w:sz w:val="24"/>
          <w:szCs w:val="24"/>
        </w:rPr>
        <w:t xml:space="preserve">ivate LTC insurance. </w:t>
      </w:r>
      <w:r w:rsidRPr="0001491C">
        <w:rPr>
          <w:rFonts w:ascii="Times New Roman" w:hAnsi="Times New Roman" w:cs="Times New Roman"/>
          <w:sz w:val="24"/>
          <w:szCs w:val="24"/>
        </w:rPr>
        <w:t>In the U</w:t>
      </w:r>
      <w:r>
        <w:rPr>
          <w:rFonts w:ascii="Times New Roman" w:hAnsi="Times New Roman" w:cs="Times New Roman"/>
          <w:sz w:val="24"/>
          <w:szCs w:val="24"/>
        </w:rPr>
        <w:t>.</w:t>
      </w:r>
      <w:r w:rsidRPr="0001491C">
        <w:rPr>
          <w:rFonts w:ascii="Times New Roman" w:hAnsi="Times New Roman" w:cs="Times New Roman"/>
          <w:sz w:val="24"/>
          <w:szCs w:val="24"/>
        </w:rPr>
        <w:t>S</w:t>
      </w:r>
      <w:r>
        <w:rPr>
          <w:rFonts w:ascii="Times New Roman" w:hAnsi="Times New Roman" w:cs="Times New Roman"/>
          <w:sz w:val="24"/>
          <w:szCs w:val="24"/>
        </w:rPr>
        <w:t>.</w:t>
      </w:r>
      <w:r w:rsidRPr="0001491C">
        <w:rPr>
          <w:rFonts w:ascii="Times New Roman" w:hAnsi="Times New Roman" w:cs="Times New Roman"/>
          <w:sz w:val="24"/>
          <w:szCs w:val="24"/>
        </w:rPr>
        <w:t xml:space="preserve">, approximately two thirds of individuals currently aged 65 or older will need some </w:t>
      </w:r>
      <w:r>
        <w:rPr>
          <w:rFonts w:ascii="Times New Roman" w:hAnsi="Times New Roman" w:cs="Times New Roman"/>
          <w:sz w:val="24"/>
          <w:szCs w:val="24"/>
        </w:rPr>
        <w:t>form of LTC</w:t>
      </w:r>
      <w:r w:rsidRPr="0001491C">
        <w:rPr>
          <w:rFonts w:ascii="Times New Roman" w:hAnsi="Times New Roman" w:cs="Times New Roman"/>
          <w:sz w:val="24"/>
          <w:szCs w:val="24"/>
        </w:rPr>
        <w:t xml:space="preserve">, either at home or courtesy of a </w:t>
      </w:r>
      <w:r>
        <w:rPr>
          <w:rFonts w:ascii="Times New Roman" w:hAnsi="Times New Roman" w:cs="Times New Roman"/>
          <w:sz w:val="24"/>
          <w:szCs w:val="24"/>
        </w:rPr>
        <w:t xml:space="preserve">LTC </w:t>
      </w:r>
      <w:r w:rsidRPr="0001491C">
        <w:rPr>
          <w:rFonts w:ascii="Times New Roman" w:hAnsi="Times New Roman" w:cs="Times New Roman"/>
          <w:sz w:val="24"/>
          <w:szCs w:val="24"/>
        </w:rPr>
        <w:t>facility (Chapman,</w:t>
      </w:r>
      <w:r>
        <w:rPr>
          <w:rFonts w:ascii="Times New Roman" w:hAnsi="Times New Roman" w:cs="Times New Roman"/>
          <w:sz w:val="24"/>
          <w:szCs w:val="24"/>
        </w:rPr>
        <w:t xml:space="preserve"> </w:t>
      </w:r>
      <w:r w:rsidRPr="0001491C">
        <w:rPr>
          <w:rFonts w:ascii="Times New Roman" w:hAnsi="Times New Roman" w:cs="Times New Roman"/>
          <w:sz w:val="24"/>
          <w:szCs w:val="24"/>
        </w:rPr>
        <w:t>2012). Thus far, Medicare and Medicaid have largely provided such services. However, given funding deficiencies at both the state and federal government levels, there is an incre</w:t>
      </w:r>
      <w:r>
        <w:rPr>
          <w:rFonts w:ascii="Times New Roman" w:hAnsi="Times New Roman" w:cs="Times New Roman"/>
          <w:sz w:val="24"/>
          <w:szCs w:val="24"/>
        </w:rPr>
        <w:t xml:space="preserve">asing need to fund individuals’ LTC </w:t>
      </w:r>
      <w:r w:rsidRPr="0001491C">
        <w:rPr>
          <w:rFonts w:ascii="Times New Roman" w:hAnsi="Times New Roman" w:cs="Times New Roman"/>
          <w:sz w:val="24"/>
          <w:szCs w:val="24"/>
        </w:rPr>
        <w:t xml:space="preserve">costs through either out-of-pocket savings or private insurance plans. Although medical and technological advances may decrease disability rates and the need for associated support, the number of people who need </w:t>
      </w:r>
      <w:r>
        <w:rPr>
          <w:rFonts w:ascii="Times New Roman" w:hAnsi="Times New Roman" w:cs="Times New Roman"/>
          <w:sz w:val="24"/>
          <w:szCs w:val="24"/>
        </w:rPr>
        <w:t xml:space="preserve">LTC </w:t>
      </w:r>
      <w:r w:rsidRPr="0001491C">
        <w:rPr>
          <w:rFonts w:ascii="Times New Roman" w:hAnsi="Times New Roman" w:cs="Times New Roman"/>
          <w:sz w:val="24"/>
          <w:szCs w:val="24"/>
        </w:rPr>
        <w:t>will increase su</w:t>
      </w:r>
      <w:r>
        <w:rPr>
          <w:rFonts w:ascii="Times New Roman" w:hAnsi="Times New Roman" w:cs="Times New Roman"/>
          <w:sz w:val="24"/>
          <w:szCs w:val="24"/>
        </w:rPr>
        <w:t>bstantially in the near future.</w:t>
      </w:r>
    </w:p>
    <w:p w14:paraId="2DC0C31C" w14:textId="77777777" w:rsidR="002A6F12" w:rsidRDefault="008B2446" w:rsidP="00F7265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Closely related </w:t>
      </w:r>
      <w:r w:rsidR="008953C7" w:rsidRPr="0001491C">
        <w:rPr>
          <w:rFonts w:ascii="Times New Roman" w:hAnsi="Times New Roman" w:cs="Times New Roman"/>
          <w:sz w:val="24"/>
          <w:szCs w:val="24"/>
        </w:rPr>
        <w:t xml:space="preserve">to </w:t>
      </w:r>
      <w:r>
        <w:rPr>
          <w:rFonts w:ascii="Times New Roman" w:hAnsi="Times New Roman" w:cs="Times New Roman"/>
          <w:sz w:val="24"/>
          <w:szCs w:val="24"/>
        </w:rPr>
        <w:t xml:space="preserve">uncertainty of future </w:t>
      </w:r>
      <w:r w:rsidR="008953C7" w:rsidRPr="0001491C">
        <w:rPr>
          <w:rFonts w:ascii="Times New Roman" w:hAnsi="Times New Roman" w:cs="Times New Roman"/>
          <w:sz w:val="24"/>
          <w:szCs w:val="24"/>
        </w:rPr>
        <w:t>health cost</w:t>
      </w:r>
      <w:r>
        <w:rPr>
          <w:rFonts w:ascii="Times New Roman" w:hAnsi="Times New Roman" w:cs="Times New Roman"/>
          <w:sz w:val="24"/>
          <w:szCs w:val="24"/>
        </w:rPr>
        <w:t>s</w:t>
      </w:r>
      <w:r w:rsidR="008953C7" w:rsidRPr="0001491C">
        <w:rPr>
          <w:rFonts w:ascii="Times New Roman" w:hAnsi="Times New Roman" w:cs="Times New Roman"/>
          <w:sz w:val="24"/>
          <w:szCs w:val="24"/>
        </w:rPr>
        <w:t xml:space="preserve"> is the dynamics of individual health state transitio</w:t>
      </w:r>
      <w:r>
        <w:rPr>
          <w:rFonts w:ascii="Times New Roman" w:hAnsi="Times New Roman" w:cs="Times New Roman"/>
          <w:sz w:val="24"/>
          <w:szCs w:val="24"/>
        </w:rPr>
        <w:t xml:space="preserve">ns, which we call health shocks </w:t>
      </w:r>
      <w:r w:rsidR="008953C7" w:rsidRPr="0001491C">
        <w:rPr>
          <w:rFonts w:ascii="Times New Roman" w:hAnsi="Times New Roman" w:cs="Times New Roman"/>
          <w:sz w:val="24"/>
          <w:szCs w:val="24"/>
        </w:rPr>
        <w:t xml:space="preserve">in the sense that the longer retirees live in </w:t>
      </w:r>
      <w:r>
        <w:rPr>
          <w:rFonts w:ascii="Times New Roman" w:hAnsi="Times New Roman" w:cs="Times New Roman"/>
          <w:sz w:val="24"/>
          <w:szCs w:val="24"/>
        </w:rPr>
        <w:t xml:space="preserve">an </w:t>
      </w:r>
      <w:r w:rsidR="008953C7" w:rsidRPr="0001491C">
        <w:rPr>
          <w:rFonts w:ascii="Times New Roman" w:hAnsi="Times New Roman" w:cs="Times New Roman"/>
          <w:sz w:val="24"/>
          <w:szCs w:val="24"/>
        </w:rPr>
        <w:t>unheal</w:t>
      </w:r>
      <w:r w:rsidR="002A6F12">
        <w:rPr>
          <w:rFonts w:ascii="Times New Roman" w:hAnsi="Times New Roman" w:cs="Times New Roman"/>
          <w:sz w:val="24"/>
          <w:szCs w:val="24"/>
        </w:rPr>
        <w:t xml:space="preserve">thy state, the more likely they incur high </w:t>
      </w:r>
      <w:r w:rsidR="008953C7" w:rsidRPr="0001491C">
        <w:rPr>
          <w:rFonts w:ascii="Times New Roman" w:hAnsi="Times New Roman" w:cs="Times New Roman"/>
          <w:sz w:val="24"/>
          <w:szCs w:val="24"/>
        </w:rPr>
        <w:t>health care expenditures. There exists an inherent connection between health</w:t>
      </w:r>
      <w:r w:rsidR="002A6F12">
        <w:rPr>
          <w:rFonts w:ascii="Times New Roman" w:hAnsi="Times New Roman" w:cs="Times New Roman"/>
          <w:sz w:val="24"/>
          <w:szCs w:val="24"/>
        </w:rPr>
        <w:t xml:space="preserve"> shocks and longevity since </w:t>
      </w:r>
      <w:r w:rsidR="008953C7" w:rsidRPr="0001491C">
        <w:rPr>
          <w:rFonts w:ascii="Times New Roman" w:hAnsi="Times New Roman" w:cs="Times New Roman"/>
          <w:sz w:val="24"/>
          <w:szCs w:val="24"/>
        </w:rPr>
        <w:t>death represents</w:t>
      </w:r>
      <w:r w:rsidR="002A6F12">
        <w:rPr>
          <w:rFonts w:ascii="Times New Roman" w:hAnsi="Times New Roman" w:cs="Times New Roman"/>
          <w:sz w:val="24"/>
          <w:szCs w:val="24"/>
        </w:rPr>
        <w:t xml:space="preserve"> the end state in an individual’</w:t>
      </w:r>
      <w:r w:rsidR="008953C7" w:rsidRPr="0001491C">
        <w:rPr>
          <w:rFonts w:ascii="Times New Roman" w:hAnsi="Times New Roman" w:cs="Times New Roman"/>
          <w:sz w:val="24"/>
          <w:szCs w:val="24"/>
        </w:rPr>
        <w:t xml:space="preserve">s health state transition process. This transition process leads to a connection between the evolution of increased life expectancy (longevity risk) and whether that increased expectation is in healthy or unhealthy states (health shocks). </w:t>
      </w:r>
    </w:p>
    <w:p w14:paraId="4282F2B2" w14:textId="5F6FD83B" w:rsidR="008953C7" w:rsidRPr="0001491C" w:rsidRDefault="008953C7" w:rsidP="00F7265F">
      <w:pPr>
        <w:autoSpaceDE w:val="0"/>
        <w:autoSpaceDN w:val="0"/>
        <w:adjustRightInd w:val="0"/>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lastRenderedPageBreak/>
        <w:t>Three patterns have been character</w:t>
      </w:r>
      <w:r w:rsidR="002A6F12">
        <w:rPr>
          <w:rFonts w:ascii="Times New Roman" w:hAnsi="Times New Roman" w:cs="Times New Roman"/>
          <w:sz w:val="24"/>
          <w:szCs w:val="24"/>
        </w:rPr>
        <w:t xml:space="preserve">ized in the previous literature: compression of morbidity (Fries, </w:t>
      </w:r>
      <w:r w:rsidRPr="0001491C">
        <w:rPr>
          <w:rFonts w:ascii="Times New Roman" w:hAnsi="Times New Roman" w:cs="Times New Roman"/>
          <w:sz w:val="24"/>
          <w:szCs w:val="24"/>
        </w:rPr>
        <w:t>2005), expansion of morbidity (</w:t>
      </w:r>
      <w:proofErr w:type="spellStart"/>
      <w:r w:rsidRPr="0001491C">
        <w:rPr>
          <w:rFonts w:ascii="Times New Roman" w:hAnsi="Times New Roman" w:cs="Times New Roman"/>
          <w:sz w:val="24"/>
          <w:szCs w:val="24"/>
        </w:rPr>
        <w:t>Olshansky</w:t>
      </w:r>
      <w:proofErr w:type="spellEnd"/>
      <w:r w:rsidRPr="0001491C">
        <w:rPr>
          <w:rFonts w:ascii="Times New Roman" w:hAnsi="Times New Roman" w:cs="Times New Roman"/>
          <w:sz w:val="24"/>
          <w:szCs w:val="24"/>
        </w:rPr>
        <w:t xml:space="preserve"> et al.</w:t>
      </w:r>
      <w:r w:rsidR="002A6F12">
        <w:rPr>
          <w:rFonts w:ascii="Times New Roman" w:hAnsi="Times New Roman" w:cs="Times New Roman"/>
          <w:sz w:val="24"/>
          <w:szCs w:val="24"/>
        </w:rPr>
        <w:t>,</w:t>
      </w:r>
      <w:r w:rsidRPr="0001491C">
        <w:rPr>
          <w:rFonts w:ascii="Times New Roman" w:hAnsi="Times New Roman" w:cs="Times New Roman"/>
          <w:sz w:val="24"/>
          <w:szCs w:val="24"/>
        </w:rPr>
        <w:t xml:space="preserve"> 1991) and the so-cal</w:t>
      </w:r>
      <w:r w:rsidR="002A6F12">
        <w:rPr>
          <w:rFonts w:ascii="Times New Roman" w:hAnsi="Times New Roman" w:cs="Times New Roman"/>
          <w:sz w:val="24"/>
          <w:szCs w:val="24"/>
        </w:rPr>
        <w:t xml:space="preserve">led dynamic equilibrium (Manton, </w:t>
      </w:r>
      <w:r w:rsidRPr="0001491C">
        <w:rPr>
          <w:rFonts w:ascii="Times New Roman" w:hAnsi="Times New Roman" w:cs="Times New Roman"/>
          <w:sz w:val="24"/>
          <w:szCs w:val="24"/>
        </w:rPr>
        <w:t xml:space="preserve">1982). Compression of morbidity postulates that </w:t>
      </w:r>
      <w:r w:rsidR="002A6F12">
        <w:rPr>
          <w:rFonts w:ascii="Times New Roman" w:hAnsi="Times New Roman" w:cs="Times New Roman"/>
          <w:sz w:val="24"/>
          <w:szCs w:val="24"/>
        </w:rPr>
        <w:t xml:space="preserve">the increase in life expectancy is </w:t>
      </w:r>
      <w:r w:rsidRPr="0001491C">
        <w:rPr>
          <w:rFonts w:ascii="Times New Roman" w:hAnsi="Times New Roman" w:cs="Times New Roman"/>
          <w:sz w:val="24"/>
          <w:szCs w:val="24"/>
        </w:rPr>
        <w:t xml:space="preserve">accompanied by </w:t>
      </w:r>
      <w:r w:rsidR="002A6F12">
        <w:rPr>
          <w:rFonts w:ascii="Times New Roman" w:hAnsi="Times New Roman" w:cs="Times New Roman"/>
          <w:sz w:val="24"/>
          <w:szCs w:val="24"/>
        </w:rPr>
        <w:t>a relatively smaller increase</w:t>
      </w:r>
      <w:r w:rsidRPr="0001491C">
        <w:rPr>
          <w:rFonts w:ascii="Times New Roman" w:hAnsi="Times New Roman" w:cs="Times New Roman"/>
          <w:sz w:val="24"/>
          <w:szCs w:val="24"/>
        </w:rPr>
        <w:t xml:space="preserve"> (or even </w:t>
      </w:r>
      <w:r w:rsidR="002A6F12">
        <w:rPr>
          <w:rFonts w:ascii="Times New Roman" w:hAnsi="Times New Roman" w:cs="Times New Roman"/>
          <w:sz w:val="24"/>
          <w:szCs w:val="24"/>
        </w:rPr>
        <w:t>a decrease</w:t>
      </w:r>
      <w:r w:rsidRPr="0001491C">
        <w:rPr>
          <w:rFonts w:ascii="Times New Roman" w:hAnsi="Times New Roman" w:cs="Times New Roman"/>
          <w:sz w:val="24"/>
          <w:szCs w:val="24"/>
        </w:rPr>
        <w:t xml:space="preserve">) in unhealthy life expectancy with longevity increases contributing to increased health state life expectancy, whereas expansion of morbidity asserts </w:t>
      </w:r>
      <w:r w:rsidR="002A6F12">
        <w:rPr>
          <w:rFonts w:ascii="Times New Roman" w:hAnsi="Times New Roman" w:cs="Times New Roman"/>
          <w:sz w:val="24"/>
          <w:szCs w:val="24"/>
        </w:rPr>
        <w:t xml:space="preserve">an increase in life expectancy is </w:t>
      </w:r>
      <w:r w:rsidRPr="0001491C">
        <w:rPr>
          <w:rFonts w:ascii="Times New Roman" w:hAnsi="Times New Roman" w:cs="Times New Roman"/>
          <w:sz w:val="24"/>
          <w:szCs w:val="24"/>
        </w:rPr>
        <w:t xml:space="preserve">accompanied by </w:t>
      </w:r>
      <w:r w:rsidR="002A6F12">
        <w:rPr>
          <w:rFonts w:ascii="Times New Roman" w:hAnsi="Times New Roman" w:cs="Times New Roman"/>
          <w:sz w:val="24"/>
          <w:szCs w:val="24"/>
        </w:rPr>
        <w:t>a relatively more increase</w:t>
      </w:r>
      <w:r w:rsidRPr="0001491C">
        <w:rPr>
          <w:rFonts w:ascii="Times New Roman" w:hAnsi="Times New Roman" w:cs="Times New Roman"/>
          <w:sz w:val="24"/>
          <w:szCs w:val="24"/>
        </w:rPr>
        <w:t xml:space="preserve"> in unhealthy life expectancy. The dynamic equilibrium theory points to an overall stable relative length</w:t>
      </w:r>
      <w:r w:rsidR="0001491C">
        <w:rPr>
          <w:rFonts w:ascii="Times New Roman" w:hAnsi="Times New Roman" w:cs="Times New Roman"/>
          <w:sz w:val="24"/>
          <w:szCs w:val="24"/>
        </w:rPr>
        <w:t xml:space="preserve"> of unhealthy life expectancy. </w:t>
      </w:r>
    </w:p>
    <w:p w14:paraId="1787BB34" w14:textId="67A442D3" w:rsidR="008953C7" w:rsidRDefault="008953C7" w:rsidP="001130B2">
      <w:pPr>
        <w:autoSpaceDE w:val="0"/>
        <w:autoSpaceDN w:val="0"/>
        <w:adjustRightInd w:val="0"/>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 xml:space="preserve">There is still no consensus in the literature on which pattern truly captures individuals’ evolution of health states. On the one hand, as argued and examined by Fries (2005), successful technical innovations used in disease control may increase the age </w:t>
      </w:r>
      <w:proofErr w:type="gramStart"/>
      <w:r w:rsidRPr="0001491C">
        <w:rPr>
          <w:rFonts w:ascii="Times New Roman" w:hAnsi="Times New Roman" w:cs="Times New Roman"/>
          <w:sz w:val="24"/>
          <w:szCs w:val="24"/>
        </w:rPr>
        <w:t>occurring</w:t>
      </w:r>
      <w:proofErr w:type="gramEnd"/>
      <w:r w:rsidRPr="0001491C">
        <w:rPr>
          <w:rFonts w:ascii="Times New Roman" w:hAnsi="Times New Roman" w:cs="Times New Roman"/>
          <w:sz w:val="24"/>
          <w:szCs w:val="24"/>
        </w:rPr>
        <w:t xml:space="preserve"> some diseases, and thus compression of morbidity occurs. However, as asserted with some evidence by </w:t>
      </w:r>
      <w:proofErr w:type="spellStart"/>
      <w:r w:rsidRPr="0001491C">
        <w:rPr>
          <w:rFonts w:ascii="Times New Roman" w:hAnsi="Times New Roman" w:cs="Times New Roman"/>
          <w:sz w:val="24"/>
          <w:szCs w:val="24"/>
        </w:rPr>
        <w:t>Olshansky</w:t>
      </w:r>
      <w:proofErr w:type="spellEnd"/>
      <w:r w:rsidRPr="0001491C">
        <w:rPr>
          <w:rFonts w:ascii="Times New Roman" w:hAnsi="Times New Roman" w:cs="Times New Roman"/>
          <w:sz w:val="24"/>
          <w:szCs w:val="24"/>
        </w:rPr>
        <w:t xml:space="preserve"> et al. (1991), the net effect of successful technical innovations used in disease control has been to raise the prevalence of certain diseases and disabilities by prolonging their average duration. Standing between these two views, Manton (1982) find some evidence that the life expediency of disability or living with some diseases remains stable, although the severity of morbidity is reduced at any given age. </w:t>
      </w:r>
      <w:proofErr w:type="spellStart"/>
      <w:r w:rsidRPr="0001491C">
        <w:rPr>
          <w:rFonts w:ascii="Times New Roman" w:hAnsi="Times New Roman" w:cs="Times New Roman"/>
          <w:sz w:val="24"/>
          <w:szCs w:val="24"/>
        </w:rPr>
        <w:t>Crimmins</w:t>
      </w:r>
      <w:proofErr w:type="spellEnd"/>
      <w:r w:rsidRPr="0001491C">
        <w:rPr>
          <w:rFonts w:ascii="Times New Roman" w:hAnsi="Times New Roman" w:cs="Times New Roman"/>
          <w:sz w:val="24"/>
          <w:szCs w:val="24"/>
        </w:rPr>
        <w:t xml:space="preserve"> et al. (2009) estimate the change of life expectancy of disability of the U.S. community-dwelling population aged 70 and older from 1984 through 2000, and find that the expectancy remains almost unchanged while the total life expectancy of the population increases, consistent with the prediction of dynamic equilibrium. </w:t>
      </w:r>
      <w:proofErr w:type="spellStart"/>
      <w:r w:rsidRPr="0001491C">
        <w:rPr>
          <w:rFonts w:ascii="Times New Roman" w:hAnsi="Times New Roman" w:cs="Times New Roman"/>
          <w:sz w:val="24"/>
          <w:szCs w:val="24"/>
        </w:rPr>
        <w:t>Crimmins</w:t>
      </w:r>
      <w:proofErr w:type="spellEnd"/>
      <w:r w:rsidRPr="0001491C">
        <w:rPr>
          <w:rFonts w:ascii="Times New Roman" w:hAnsi="Times New Roman" w:cs="Times New Roman"/>
          <w:sz w:val="24"/>
          <w:szCs w:val="24"/>
        </w:rPr>
        <w:t xml:space="preserve"> and Beltran-Sanchez (2011) identify an expansion of morbidity from 1998-2008 in a </w:t>
      </w:r>
      <w:r w:rsidRPr="0001491C">
        <w:rPr>
          <w:rFonts w:ascii="Times New Roman" w:hAnsi="Times New Roman" w:cs="Times New Roman"/>
          <w:sz w:val="24"/>
          <w:szCs w:val="24"/>
        </w:rPr>
        <w:lastRenderedPageBreak/>
        <w:t xml:space="preserve">study where morbidity was defined in terms of loss of mobility functioning among the noninstitutionalized U.S. population. In contrast, Orlando (2014) reported a significant compression of morbidity in the U.S. institutionalized population aged 65+ from 1984-2004. In addition, </w:t>
      </w:r>
      <w:proofErr w:type="spellStart"/>
      <w:r w:rsidRPr="0001491C">
        <w:rPr>
          <w:rFonts w:ascii="Times New Roman" w:hAnsi="Times New Roman" w:cs="Times New Roman"/>
          <w:sz w:val="24"/>
          <w:szCs w:val="24"/>
        </w:rPr>
        <w:t>Majer</w:t>
      </w:r>
      <w:proofErr w:type="spellEnd"/>
      <w:r w:rsidRPr="0001491C">
        <w:rPr>
          <w:rFonts w:ascii="Times New Roman" w:hAnsi="Times New Roman" w:cs="Times New Roman"/>
          <w:sz w:val="24"/>
          <w:szCs w:val="24"/>
        </w:rPr>
        <w:t xml:space="preserve"> et al. (2013) estimate the trend of morbidity change of Dutch population aged 55 and older between 1989 and 2030 and find there exists the compression of morb</w:t>
      </w:r>
      <w:r w:rsidR="0001491C">
        <w:rPr>
          <w:rFonts w:ascii="Times New Roman" w:hAnsi="Times New Roman" w:cs="Times New Roman"/>
          <w:sz w:val="24"/>
          <w:szCs w:val="24"/>
        </w:rPr>
        <w:t>idity for both male and female.</w:t>
      </w:r>
    </w:p>
    <w:p w14:paraId="23A478F0" w14:textId="3E78001D" w:rsidR="001130B2" w:rsidRDefault="001130B2" w:rsidP="001130B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paper is organized as follows. In Section 2, we develop a discrete time life cycle model to investigate a retiree’s optimal consumption and portfolio choice, taking into account LTC insurance, life annuity, a risky asset and a risk-free asset. In Section 3, we build a multi-state health transition process and use the HRS data to calibrate the transition probabilities and estimate life expectancy. </w:t>
      </w:r>
      <w:r>
        <w:rPr>
          <w:rFonts w:ascii="Times New Roman" w:hAnsi="Times New Roman" w:cs="Times New Roman" w:hint="eastAsia"/>
          <w:sz w:val="24"/>
          <w:szCs w:val="24"/>
        </w:rPr>
        <w:t>In</w:t>
      </w:r>
      <w:r>
        <w:rPr>
          <w:rFonts w:ascii="Times New Roman" w:hAnsi="Times New Roman" w:cs="Times New Roman"/>
          <w:sz w:val="24"/>
          <w:szCs w:val="24"/>
        </w:rPr>
        <w:t xml:space="preserve"> Section 4, we numerically solve for the retiree’s optimization problem and present the numerical results. In Section 5, we provide conclusion remarks and propose some future research. </w:t>
      </w:r>
    </w:p>
    <w:p w14:paraId="1CA93BD2" w14:textId="77777777" w:rsidR="001130B2" w:rsidRPr="001130B2" w:rsidRDefault="001130B2" w:rsidP="001130B2">
      <w:pPr>
        <w:autoSpaceDE w:val="0"/>
        <w:autoSpaceDN w:val="0"/>
        <w:adjustRightInd w:val="0"/>
        <w:spacing w:after="0" w:line="480" w:lineRule="auto"/>
        <w:ind w:firstLine="720"/>
        <w:jc w:val="both"/>
        <w:rPr>
          <w:rFonts w:ascii="Times New Roman" w:hAnsi="Times New Roman" w:cs="Times New Roman"/>
          <w:sz w:val="24"/>
          <w:szCs w:val="24"/>
        </w:rPr>
      </w:pPr>
    </w:p>
    <w:p w14:paraId="7EB7577F" w14:textId="6EAD93B1" w:rsidR="00A1776A" w:rsidRPr="0001491C" w:rsidRDefault="00F7265F" w:rsidP="000149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A1776A" w:rsidRPr="0001491C">
        <w:rPr>
          <w:rFonts w:ascii="Times New Roman" w:hAnsi="Times New Roman" w:cs="Times New Roman"/>
          <w:b/>
          <w:sz w:val="24"/>
          <w:szCs w:val="24"/>
        </w:rPr>
        <w:t>Life-Cycle Model</w:t>
      </w:r>
    </w:p>
    <w:p w14:paraId="5AA4982C" w14:textId="366276F3" w:rsidR="009353CE" w:rsidRPr="0001491C" w:rsidRDefault="009353CE" w:rsidP="002A6F12">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 xml:space="preserve">We lay out our model in detail as follows. A retiree is endowed with pension income. For </w:t>
      </w:r>
      <w:r w:rsidR="002A6F12">
        <w:rPr>
          <w:rFonts w:ascii="Times New Roman" w:hAnsi="Times New Roman" w:cs="Times New Roman"/>
          <w:sz w:val="24"/>
          <w:szCs w:val="24"/>
        </w:rPr>
        <w:t xml:space="preserve">the sake of simplicity, we </w:t>
      </w:r>
      <w:r w:rsidRPr="0001491C">
        <w:rPr>
          <w:rFonts w:ascii="Times New Roman" w:hAnsi="Times New Roman" w:cs="Times New Roman"/>
          <w:sz w:val="24"/>
          <w:szCs w:val="24"/>
        </w:rPr>
        <w:t xml:space="preserve">assume the pension is funded through a defined benefit scheme so that the pension income is exogenous. The retiree can purchase private </w:t>
      </w:r>
      <w:r w:rsidR="002A6F12">
        <w:rPr>
          <w:rFonts w:ascii="Times New Roman" w:hAnsi="Times New Roman" w:cs="Times New Roman"/>
          <w:sz w:val="24"/>
          <w:szCs w:val="24"/>
        </w:rPr>
        <w:t xml:space="preserve">LTC </w:t>
      </w:r>
      <w:r w:rsidRPr="0001491C">
        <w:rPr>
          <w:rFonts w:ascii="Times New Roman" w:hAnsi="Times New Roman" w:cs="Times New Roman"/>
          <w:sz w:val="24"/>
          <w:szCs w:val="24"/>
        </w:rPr>
        <w:t>and annuity at her own discretion and then</w:t>
      </w:r>
      <w:r w:rsidR="000B33DD" w:rsidRPr="0001491C">
        <w:rPr>
          <w:rFonts w:ascii="Times New Roman" w:hAnsi="Times New Roman" w:cs="Times New Roman"/>
          <w:sz w:val="24"/>
          <w:szCs w:val="24"/>
        </w:rPr>
        <w:t xml:space="preserve"> </w:t>
      </w:r>
      <w:r w:rsidRPr="0001491C">
        <w:rPr>
          <w:rFonts w:ascii="Times New Roman" w:hAnsi="Times New Roman" w:cs="Times New Roman"/>
          <w:sz w:val="24"/>
          <w:szCs w:val="24"/>
        </w:rPr>
        <w:t>invest liquid wealth into a risky asset and a risk</w:t>
      </w:r>
      <w:r w:rsidR="00AB14E0" w:rsidRPr="0001491C">
        <w:rPr>
          <w:rFonts w:ascii="Times New Roman" w:hAnsi="Times New Roman" w:cs="Times New Roman"/>
          <w:sz w:val="24"/>
          <w:szCs w:val="24"/>
        </w:rPr>
        <w:t>less</w:t>
      </w:r>
      <w:r w:rsidRPr="0001491C">
        <w:rPr>
          <w:rFonts w:ascii="Times New Roman" w:hAnsi="Times New Roman" w:cs="Times New Roman"/>
          <w:sz w:val="24"/>
          <w:szCs w:val="24"/>
        </w:rPr>
        <w:t xml:space="preserve"> asset.</w:t>
      </w:r>
      <w:r w:rsidR="000B33DD" w:rsidRPr="0001491C">
        <w:rPr>
          <w:rFonts w:ascii="Times New Roman" w:hAnsi="Times New Roman" w:cs="Times New Roman"/>
          <w:sz w:val="24"/>
          <w:szCs w:val="24"/>
        </w:rPr>
        <w:t xml:space="preserve"> </w:t>
      </w:r>
    </w:p>
    <w:p w14:paraId="776EC5B2" w14:textId="0A9A7461" w:rsidR="00A20A7A" w:rsidRPr="0001491C" w:rsidRDefault="00F7265F" w:rsidP="000149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BE755E" w:rsidRPr="0001491C">
        <w:rPr>
          <w:rFonts w:ascii="Times New Roman" w:hAnsi="Times New Roman" w:cs="Times New Roman"/>
          <w:b/>
          <w:sz w:val="24"/>
          <w:szCs w:val="24"/>
        </w:rPr>
        <w:t>Utility Assumption</w:t>
      </w:r>
    </w:p>
    <w:p w14:paraId="73212CC8" w14:textId="77777777" w:rsidR="00F7265F" w:rsidRDefault="00A1776A" w:rsidP="00F7265F">
      <w:pPr>
        <w:spacing w:after="0" w:line="480" w:lineRule="auto"/>
        <w:ind w:firstLine="720"/>
        <w:jc w:val="both"/>
        <w:rPr>
          <w:rFonts w:ascii="Times New Roman" w:hAnsi="Times New Roman" w:cs="Times New Roman"/>
          <w:b/>
          <w:sz w:val="24"/>
          <w:szCs w:val="24"/>
        </w:rPr>
      </w:pPr>
      <w:r w:rsidRPr="0001491C">
        <w:rPr>
          <w:rFonts w:ascii="Times New Roman" w:hAnsi="Times New Roman" w:cs="Times New Roman"/>
          <w:sz w:val="24"/>
          <w:szCs w:val="24"/>
        </w:rPr>
        <w:t>In the model, we apply a constant relative risk aversion (CRRA) type utility which has a functional form</w:t>
      </w:r>
    </w:p>
    <w:p w14:paraId="60D78A04" w14:textId="5ABFF947" w:rsidR="00A1776A" w:rsidRPr="00F7265F" w:rsidRDefault="00FC75BF" w:rsidP="00F7265F">
      <w:pPr>
        <w:spacing w:after="0" w:line="480" w:lineRule="auto"/>
        <w:ind w:firstLine="720"/>
        <w:jc w:val="both"/>
        <w:rPr>
          <w:rFonts w:ascii="Times New Roman" w:hAnsi="Times New Roman" w:cs="Times New Roman"/>
          <w:b/>
          <w:sz w:val="24"/>
          <w:szCs w:val="24"/>
        </w:rPr>
      </w:pPr>
      <m:oMathPara>
        <m:oMath>
          <m:r>
            <w:rPr>
              <w:rFonts w:ascii="Cambria Math" w:hAnsi="Cambria Math" w:cs="Times New Roman"/>
              <w:sz w:val="24"/>
              <w:szCs w:val="24"/>
            </w:rPr>
            <w:lastRenderedPageBreak/>
            <m:t>U(c)=</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1-γ</m:t>
                          </m:r>
                        </m:sup>
                      </m:sSup>
                    </m:num>
                    <m:den>
                      <m:r>
                        <w:rPr>
                          <w:rFonts w:ascii="Cambria Math" w:hAnsi="Cambria Math" w:cs="Times New Roman"/>
                          <w:sz w:val="24"/>
                          <w:szCs w:val="24"/>
                        </w:rPr>
                        <m:t>1-γ</m:t>
                      </m:r>
                    </m:den>
                  </m:f>
                  <m:r>
                    <w:rPr>
                      <w:rFonts w:ascii="Cambria Math" w:hAnsi="Cambria Math" w:cs="Times New Roman"/>
                      <w:sz w:val="24"/>
                      <w:szCs w:val="24"/>
                    </w:rPr>
                    <m:t>,  &amp;γ&gt;0, γ≠1,</m:t>
                  </m:r>
                </m:e>
                <m:e>
                  <m:r>
                    <m:rPr>
                      <m:sty m:val="p"/>
                    </m:rPr>
                    <w:rPr>
                      <w:rFonts w:ascii="Cambria Math" w:hAnsi="Cambria Math" w:cs="Times New Roman"/>
                      <w:sz w:val="24"/>
                      <w:szCs w:val="24"/>
                    </w:rPr>
                    <m:t>ln⁡</m:t>
                  </m:r>
                  <m:r>
                    <w:rPr>
                      <w:rFonts w:ascii="Cambria Math" w:hAnsi="Cambria Math" w:cs="Times New Roman"/>
                      <w:sz w:val="24"/>
                      <w:szCs w:val="24"/>
                    </w:rPr>
                    <m:t>(c),  &amp;γ=1.</m:t>
                  </m:r>
                </m:e>
              </m:eqArr>
            </m:e>
          </m:d>
        </m:oMath>
      </m:oMathPara>
    </w:p>
    <w:p w14:paraId="47D6AFF7" w14:textId="347A9F84" w:rsidR="00A1776A" w:rsidRPr="0001491C" w:rsidRDefault="00EC5262" w:rsidP="0001491C">
      <w:pPr>
        <w:spacing w:after="0" w:line="480" w:lineRule="auto"/>
        <w:jc w:val="both"/>
        <w:rPr>
          <w:rFonts w:ascii="Times New Roman" w:hAnsi="Times New Roman" w:cs="Times New Roman"/>
          <w:sz w:val="24"/>
          <w:szCs w:val="24"/>
        </w:rPr>
      </w:pPr>
      <w:r w:rsidRPr="0001491C">
        <w:rPr>
          <w:rFonts w:ascii="Times New Roman" w:hAnsi="Times New Roman" w:cs="Times New Roman"/>
          <w:sz w:val="24"/>
          <w:szCs w:val="24"/>
        </w:rPr>
        <w:t xml:space="preserve">The retiree is risk averse with the CRRA utility type and gain utility from consumption </w:t>
      </w:r>
      <m:oMath>
        <m:r>
          <w:rPr>
            <w:rFonts w:ascii="Cambria Math" w:hAnsi="Cambria Math" w:cs="Times New Roman"/>
            <w:sz w:val="24"/>
            <w:szCs w:val="24"/>
          </w:rPr>
          <m:t>c</m:t>
        </m:r>
        <m:r>
          <m:rPr>
            <m:sty m:val="p"/>
          </m:rPr>
          <w:rPr>
            <w:rFonts w:ascii="Cambria Math" w:hAnsi="Cambria Math" w:cs="Times New Roman"/>
            <w:sz w:val="24"/>
            <w:szCs w:val="24"/>
          </w:rPr>
          <m:t xml:space="preserve">. </m:t>
        </m:r>
      </m:oMath>
      <w:r w:rsidR="009353CE" w:rsidRPr="0001491C">
        <w:rPr>
          <w:rFonts w:ascii="Times New Roman" w:hAnsi="Times New Roman" w:cs="Times New Roman"/>
          <w:sz w:val="24"/>
          <w:szCs w:val="24"/>
        </w:rPr>
        <w:t xml:space="preserve"> </w:t>
      </w:r>
      <m:oMath>
        <m:r>
          <w:rPr>
            <w:rFonts w:ascii="Cambria Math" w:hAnsi="Cambria Math" w:cs="Times New Roman"/>
            <w:sz w:val="24"/>
            <w:szCs w:val="24"/>
          </w:rPr>
          <m:t>γ</m:t>
        </m:r>
      </m:oMath>
      <w:r w:rsidR="009353CE" w:rsidRPr="0001491C">
        <w:rPr>
          <w:rFonts w:ascii="Times New Roman" w:hAnsi="Times New Roman" w:cs="Times New Roman"/>
          <w:sz w:val="24"/>
          <w:szCs w:val="24"/>
        </w:rPr>
        <w:t xml:space="preserve"> denotes the level of risk aversion.</w:t>
      </w:r>
      <w:r w:rsidRPr="0001491C">
        <w:rPr>
          <w:rFonts w:ascii="Times New Roman" w:hAnsi="Times New Roman" w:cs="Times New Roman"/>
          <w:sz w:val="24"/>
          <w:szCs w:val="24"/>
        </w:rPr>
        <w:t xml:space="preserve"> </w:t>
      </w:r>
    </w:p>
    <w:p w14:paraId="0B9451F8" w14:textId="77777777" w:rsidR="00F7265F" w:rsidRDefault="00EC5262" w:rsidP="00F7265F">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 xml:space="preserve">A household gains utility from leaving bequests. </w:t>
      </w:r>
      <w:r w:rsidR="00C537D5" w:rsidRPr="0001491C">
        <w:rPr>
          <w:rFonts w:ascii="Times New Roman" w:hAnsi="Times New Roman" w:cs="Times New Roman"/>
          <w:sz w:val="24"/>
          <w:szCs w:val="24"/>
        </w:rPr>
        <w:t xml:space="preserve">By Ai </w:t>
      </w:r>
      <w:r w:rsidR="00C537D5" w:rsidRPr="00F7265F">
        <w:rPr>
          <w:rFonts w:ascii="Times New Roman" w:hAnsi="Times New Roman" w:cs="Times New Roman"/>
          <w:sz w:val="24"/>
          <w:szCs w:val="24"/>
        </w:rPr>
        <w:t>et al.</w:t>
      </w:r>
      <w:r w:rsidR="00C537D5" w:rsidRPr="0001491C">
        <w:rPr>
          <w:rFonts w:ascii="Times New Roman" w:hAnsi="Times New Roman" w:cs="Times New Roman"/>
          <w:sz w:val="24"/>
          <w:szCs w:val="24"/>
        </w:rPr>
        <w:t xml:space="preserve"> (201</w:t>
      </w:r>
      <w:r w:rsidR="00B96756" w:rsidRPr="0001491C">
        <w:rPr>
          <w:rFonts w:ascii="Times New Roman" w:hAnsi="Times New Roman" w:cs="Times New Roman"/>
          <w:sz w:val="24"/>
          <w:szCs w:val="24"/>
        </w:rPr>
        <w:t>7</w:t>
      </w:r>
      <w:r w:rsidR="00C537D5" w:rsidRPr="0001491C">
        <w:rPr>
          <w:rFonts w:ascii="Times New Roman" w:hAnsi="Times New Roman" w:cs="Times New Roman"/>
          <w:sz w:val="24"/>
          <w:szCs w:val="24"/>
        </w:rPr>
        <w:t>)</w:t>
      </w:r>
      <w:r w:rsidR="00F47BAF" w:rsidRPr="0001491C">
        <w:rPr>
          <w:rStyle w:val="FootnoteReference"/>
          <w:rFonts w:ascii="Times New Roman" w:hAnsi="Times New Roman" w:cs="Times New Roman"/>
          <w:sz w:val="24"/>
          <w:szCs w:val="24"/>
        </w:rPr>
        <w:footnoteReference w:id="2"/>
      </w:r>
      <w:r w:rsidR="00C537D5" w:rsidRPr="0001491C">
        <w:rPr>
          <w:rFonts w:ascii="Times New Roman" w:hAnsi="Times New Roman" w:cs="Times New Roman"/>
          <w:sz w:val="24"/>
          <w:szCs w:val="24"/>
        </w:rPr>
        <w:t>, w</w:t>
      </w:r>
      <w:r w:rsidRPr="0001491C">
        <w:rPr>
          <w:rFonts w:ascii="Times New Roman" w:hAnsi="Times New Roman" w:cs="Times New Roman"/>
          <w:sz w:val="24"/>
          <w:szCs w:val="24"/>
        </w:rPr>
        <w:t>e assume the bequest</w:t>
      </w:r>
      <w:r w:rsidR="00C537D5" w:rsidRPr="0001491C">
        <w:rPr>
          <w:rFonts w:ascii="Times New Roman" w:hAnsi="Times New Roman" w:cs="Times New Roman"/>
          <w:sz w:val="24"/>
          <w:szCs w:val="24"/>
        </w:rPr>
        <w:t xml:space="preserve"> </w:t>
      </w:r>
      <w:r w:rsidRPr="0001491C">
        <w:rPr>
          <w:rFonts w:ascii="Times New Roman" w:hAnsi="Times New Roman" w:cs="Times New Roman"/>
          <w:sz w:val="24"/>
          <w:szCs w:val="24"/>
        </w:rPr>
        <w:t>utility takes the form</w:t>
      </w:r>
    </w:p>
    <w:p w14:paraId="7F83C0C1" w14:textId="7A7A2389" w:rsidR="005954EB" w:rsidRDefault="00EC5262" w:rsidP="005954EB">
      <w:pPr>
        <w:spacing w:after="0" w:line="480" w:lineRule="auto"/>
        <w:ind w:firstLine="720"/>
        <w:jc w:val="center"/>
        <w:rPr>
          <w:rFonts w:ascii="Times New Roman" w:hAnsi="Times New Roman" w:cs="Times New Roman"/>
          <w:sz w:val="24"/>
          <w:szCs w:val="24"/>
        </w:rPr>
      </w:pPr>
      <m:oMath>
        <m:r>
          <w:rPr>
            <w:rFonts w:ascii="Cambria Math" w:hAnsi="Cambria Math" w:cs="Times New Roman"/>
            <w:sz w:val="24"/>
            <w:szCs w:val="24"/>
          </w:rPr>
          <m:t>v</m:t>
        </m:r>
        <m:d>
          <m:dPr>
            <m:ctrlPr>
              <w:rPr>
                <w:rFonts w:ascii="Cambria Math" w:hAnsi="Cambria Math" w:cs="Times New Roman"/>
                <w:sz w:val="24"/>
                <w:szCs w:val="24"/>
              </w:rPr>
            </m:ctrlPr>
          </m:dPr>
          <m:e>
            <m:r>
              <w:rPr>
                <w:rFonts w:ascii="Cambria Math" w:hAnsi="Cambria Math" w:cs="Times New Roman"/>
                <w:sz w:val="24"/>
                <w:szCs w:val="24"/>
              </w:rPr>
              <m:t>B</m:t>
            </m:r>
          </m:e>
        </m:d>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η</m:t>
            </m:r>
          </m:num>
          <m:den>
            <m:r>
              <w:rPr>
                <w:rFonts w:ascii="Cambria Math" w:hAnsi="Cambria Math" w:cs="Times New Roman"/>
                <w:sz w:val="24"/>
                <w:szCs w:val="24"/>
              </w:rPr>
              <m:t>1-γ</m:t>
            </m:r>
          </m:den>
        </m:f>
        <m:sSup>
          <m:sSupPr>
            <m:ctrlPr>
              <w:rPr>
                <w:rFonts w:ascii="Cambria Math" w:hAnsi="Cambria Math" w:cs="Times New Roman"/>
                <w:i/>
                <w:sz w:val="24"/>
                <w:szCs w:val="24"/>
              </w:rPr>
            </m:ctrlPr>
          </m:sSupPr>
          <m:e>
            <m:r>
              <w:rPr>
                <w:rFonts w:ascii="Cambria Math" w:hAnsi="Cambria Math" w:cs="Times New Roman"/>
                <w:sz w:val="24"/>
                <w:szCs w:val="24"/>
              </w:rPr>
              <m:t>(φ+</m:t>
            </m:r>
            <m:f>
              <m:fPr>
                <m:ctrlPr>
                  <w:rPr>
                    <w:rFonts w:ascii="Cambria Math" w:hAnsi="Cambria Math" w:cs="Times New Roman"/>
                    <w:sz w:val="24"/>
                    <w:szCs w:val="24"/>
                  </w:rPr>
                </m:ctrlPr>
              </m:fPr>
              <m:num>
                <m:r>
                  <w:rPr>
                    <w:rFonts w:ascii="Cambria Math" w:hAnsi="Cambria Math" w:cs="Times New Roman"/>
                    <w:sz w:val="24"/>
                    <w:szCs w:val="24"/>
                  </w:rPr>
                  <m:t>B</m:t>
                </m:r>
              </m:num>
              <m:den>
                <m:r>
                  <w:rPr>
                    <w:rFonts w:ascii="Cambria Math" w:hAnsi="Cambria Math" w:cs="Times New Roman"/>
                    <w:sz w:val="24"/>
                    <w:szCs w:val="24"/>
                  </w:rPr>
                  <m:t>η</m:t>
                </m:r>
              </m:den>
            </m:f>
            <m:r>
              <w:rPr>
                <w:rFonts w:ascii="Cambria Math" w:hAnsi="Cambria Math" w:cs="Times New Roman"/>
                <w:sz w:val="24"/>
                <w:szCs w:val="24"/>
              </w:rPr>
              <m:t>)</m:t>
            </m:r>
          </m:e>
          <m:sup>
            <m:r>
              <w:rPr>
                <w:rFonts w:ascii="Cambria Math" w:hAnsi="Cambria Math" w:cs="Times New Roman"/>
                <w:sz w:val="24"/>
                <w:szCs w:val="24"/>
              </w:rPr>
              <m:t>1-γ</m:t>
            </m:r>
          </m:sup>
        </m:sSup>
      </m:oMath>
      <w:r w:rsidR="002A6F12">
        <w:rPr>
          <w:rFonts w:ascii="Times New Roman" w:hAnsi="Times New Roman" w:cs="Times New Roman"/>
          <w:sz w:val="24"/>
          <w:szCs w:val="24"/>
        </w:rPr>
        <w:t>,</w:t>
      </w:r>
    </w:p>
    <w:p w14:paraId="5D6864D6" w14:textId="4BCC8128" w:rsidR="00BF32FD" w:rsidRPr="0001491C" w:rsidRDefault="00F7265F" w:rsidP="002A6F12">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sidR="00C537D5" w:rsidRPr="0001491C">
        <w:rPr>
          <w:rFonts w:ascii="Times New Roman" w:hAnsi="Times New Roman" w:cs="Times New Roman"/>
          <w:i/>
          <w:sz w:val="24"/>
          <w:szCs w:val="24"/>
        </w:rPr>
        <w:t>B</w:t>
      </w:r>
      <w:r>
        <w:rPr>
          <w:rFonts w:ascii="Times New Roman" w:hAnsi="Times New Roman" w:cs="Times New Roman"/>
          <w:sz w:val="24"/>
          <w:szCs w:val="24"/>
        </w:rPr>
        <w:t xml:space="preserve"> is the bequest amount,</w:t>
      </w:r>
      <w:r w:rsidR="00EC5262" w:rsidRPr="0001491C">
        <w:rPr>
          <w:rFonts w:ascii="Times New Roman" w:hAnsi="Times New Roman" w:cs="Times New Roman"/>
          <w:sz w:val="24"/>
          <w:szCs w:val="24"/>
        </w:rPr>
        <w:t xml:space="preserve"> </w:t>
      </w:r>
      <m:oMath>
        <m:r>
          <w:rPr>
            <w:rFonts w:ascii="Cambria Math" w:hAnsi="Cambria Math" w:cs="Times New Roman"/>
            <w:sz w:val="24"/>
            <w:szCs w:val="24"/>
          </w:rPr>
          <m:t>γ</m:t>
        </m:r>
      </m:oMath>
      <w:r>
        <w:rPr>
          <w:rFonts w:ascii="Times New Roman" w:hAnsi="Times New Roman" w:cs="Times New Roman"/>
          <w:sz w:val="24"/>
          <w:szCs w:val="24"/>
        </w:rPr>
        <w:t xml:space="preserve"> is the </w:t>
      </w:r>
      <w:r w:rsidR="00C537D5" w:rsidRPr="0001491C">
        <w:rPr>
          <w:rFonts w:ascii="Times New Roman" w:hAnsi="Times New Roman" w:cs="Times New Roman"/>
          <w:sz w:val="24"/>
          <w:szCs w:val="24"/>
        </w:rPr>
        <w:t>r</w:t>
      </w:r>
      <w:r>
        <w:rPr>
          <w:rFonts w:ascii="Times New Roman" w:hAnsi="Times New Roman" w:cs="Times New Roman"/>
          <w:sz w:val="24"/>
          <w:szCs w:val="24"/>
        </w:rPr>
        <w:t>elative risk aversion parameter,</w:t>
      </w:r>
      <w:r w:rsidR="00C537D5" w:rsidRPr="0001491C">
        <w:rPr>
          <w:rFonts w:ascii="Times New Roman" w:hAnsi="Times New Roman" w:cs="Times New Roman"/>
          <w:sz w:val="24"/>
          <w:szCs w:val="24"/>
        </w:rPr>
        <w:t xml:space="preserve">  </w:t>
      </w:r>
      <m:oMath>
        <m:r>
          <w:rPr>
            <w:rFonts w:ascii="Cambria Math" w:hAnsi="Cambria Math" w:cs="Times New Roman"/>
            <w:sz w:val="24"/>
            <w:szCs w:val="24"/>
          </w:rPr>
          <m:t>η</m:t>
        </m:r>
        <m:r>
          <m:rPr>
            <m:sty m:val="p"/>
          </m:rPr>
          <w:rPr>
            <w:rFonts w:ascii="Cambria Math" w:hAnsi="Cambria Math" w:cs="Times New Roman"/>
            <w:sz w:val="24"/>
            <w:szCs w:val="24"/>
          </w:rPr>
          <m:t>&gt;0</m:t>
        </m:r>
      </m:oMath>
      <w:r w:rsidR="00C537D5" w:rsidRPr="0001491C">
        <w:rPr>
          <w:rFonts w:ascii="Times New Roman" w:hAnsi="Times New Roman" w:cs="Times New Roman"/>
          <w:sz w:val="24"/>
          <w:szCs w:val="24"/>
        </w:rPr>
        <w:t xml:space="preserve"> measures the </w:t>
      </w:r>
      <w:r>
        <w:rPr>
          <w:rFonts w:ascii="Times New Roman" w:hAnsi="Times New Roman" w:cs="Times New Roman"/>
          <w:sz w:val="24"/>
          <w:szCs w:val="24"/>
        </w:rPr>
        <w:t xml:space="preserve">intensity of the bequest motive, </w:t>
      </w:r>
      <w:r w:rsidR="00C537D5" w:rsidRPr="0001491C">
        <w:rPr>
          <w:rFonts w:ascii="Times New Roman" w:hAnsi="Times New Roman" w:cs="Times New Roman"/>
          <w:sz w:val="24"/>
          <w:szCs w:val="24"/>
        </w:rPr>
        <w:t>and</w:t>
      </w:r>
      <w:r>
        <w:rPr>
          <w:rFonts w:ascii="Times New Roman" w:hAnsi="Times New Roman" w:cs="Times New Roman"/>
          <w:sz w:val="24"/>
          <w:szCs w:val="24"/>
        </w:rPr>
        <w:t xml:space="preserve"> </w:t>
      </w:r>
      <m:oMath>
        <m:r>
          <w:rPr>
            <w:rFonts w:ascii="Cambria Math" w:hAnsi="Cambria Math" w:cs="Times New Roman"/>
            <w:sz w:val="24"/>
            <w:szCs w:val="24"/>
          </w:rPr>
          <m:t>φ&gt;0</m:t>
        </m:r>
      </m:oMath>
      <w:r w:rsidR="00C537D5" w:rsidRPr="0001491C">
        <w:rPr>
          <w:rFonts w:ascii="Times New Roman" w:hAnsi="Times New Roman" w:cs="Times New Roman"/>
          <w:sz w:val="24"/>
          <w:szCs w:val="24"/>
        </w:rPr>
        <w:t xml:space="preserve"> is a shift parameter treating bequests as luxury goods. </w:t>
      </w:r>
    </w:p>
    <w:p w14:paraId="08F14641" w14:textId="74A15B07" w:rsidR="00BF32FD" w:rsidRPr="0001491C" w:rsidRDefault="00057EE6" w:rsidP="0001491C">
      <w:pPr>
        <w:spacing w:after="0" w:line="480" w:lineRule="auto"/>
        <w:jc w:val="both"/>
        <w:rPr>
          <w:rFonts w:ascii="Times New Roman" w:hAnsi="Times New Roman" w:cs="Times New Roman"/>
          <w:b/>
          <w:sz w:val="24"/>
          <w:szCs w:val="24"/>
        </w:rPr>
      </w:pPr>
      <w:r w:rsidRPr="0001491C">
        <w:rPr>
          <w:rFonts w:ascii="Times New Roman" w:hAnsi="Times New Roman" w:cs="Times New Roman"/>
          <w:b/>
          <w:sz w:val="24"/>
          <w:szCs w:val="24"/>
        </w:rPr>
        <w:t>2.2</w:t>
      </w:r>
      <w:r w:rsidR="00BE53C5">
        <w:rPr>
          <w:rFonts w:ascii="Times New Roman" w:hAnsi="Times New Roman" w:cs="Times New Roman"/>
          <w:b/>
          <w:sz w:val="24"/>
          <w:szCs w:val="24"/>
        </w:rPr>
        <w:t>.</w:t>
      </w:r>
      <w:r w:rsidRPr="0001491C">
        <w:rPr>
          <w:rFonts w:ascii="Times New Roman" w:hAnsi="Times New Roman" w:cs="Times New Roman"/>
          <w:b/>
          <w:sz w:val="24"/>
          <w:szCs w:val="24"/>
        </w:rPr>
        <w:t xml:space="preserve"> </w:t>
      </w:r>
      <w:r w:rsidR="00BF32FD" w:rsidRPr="0001491C">
        <w:rPr>
          <w:rFonts w:ascii="Times New Roman" w:hAnsi="Times New Roman" w:cs="Times New Roman"/>
          <w:b/>
          <w:sz w:val="24"/>
          <w:szCs w:val="24"/>
        </w:rPr>
        <w:t xml:space="preserve">Health Dynamics </w:t>
      </w:r>
    </w:p>
    <w:p w14:paraId="2B20DD4B" w14:textId="4AFECC1E" w:rsidR="00BF32FD" w:rsidRPr="0001491C" w:rsidRDefault="00057EE6" w:rsidP="00F7265F">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 xml:space="preserve">Following </w:t>
      </w:r>
      <w:proofErr w:type="spellStart"/>
      <w:r w:rsidRPr="0001491C">
        <w:rPr>
          <w:rFonts w:ascii="Times New Roman" w:hAnsi="Times New Roman" w:cs="Times New Roman"/>
          <w:sz w:val="24"/>
          <w:szCs w:val="24"/>
        </w:rPr>
        <w:t>Koijen</w:t>
      </w:r>
      <w:proofErr w:type="spellEnd"/>
      <w:r w:rsidRPr="0001491C">
        <w:rPr>
          <w:rFonts w:ascii="Times New Roman" w:hAnsi="Times New Roman" w:cs="Times New Roman"/>
          <w:sz w:val="24"/>
          <w:szCs w:val="24"/>
        </w:rPr>
        <w:t xml:space="preserve"> et al.</w:t>
      </w:r>
      <w:r w:rsidR="008953C7" w:rsidRPr="0001491C">
        <w:rPr>
          <w:rFonts w:ascii="Times New Roman" w:hAnsi="Times New Roman" w:cs="Times New Roman"/>
          <w:i/>
          <w:sz w:val="24"/>
          <w:szCs w:val="24"/>
        </w:rPr>
        <w:t xml:space="preserve"> </w:t>
      </w:r>
      <w:r w:rsidRPr="0001491C">
        <w:rPr>
          <w:rFonts w:ascii="Times New Roman" w:hAnsi="Times New Roman" w:cs="Times New Roman"/>
          <w:sz w:val="24"/>
          <w:szCs w:val="24"/>
        </w:rPr>
        <w:t>(2016)</w:t>
      </w:r>
      <w:r w:rsidR="008953C7" w:rsidRPr="0001491C">
        <w:rPr>
          <w:rFonts w:ascii="Times New Roman" w:hAnsi="Times New Roman" w:cs="Times New Roman"/>
          <w:sz w:val="24"/>
          <w:szCs w:val="24"/>
        </w:rPr>
        <w:t xml:space="preserve">, </w:t>
      </w:r>
      <w:r w:rsidR="008538E3" w:rsidRPr="0001491C">
        <w:rPr>
          <w:rFonts w:ascii="Times New Roman" w:hAnsi="Times New Roman" w:cs="Times New Roman"/>
          <w:sz w:val="24"/>
          <w:szCs w:val="24"/>
        </w:rPr>
        <w:t>r</w:t>
      </w:r>
      <w:r w:rsidR="00BF32FD" w:rsidRPr="0001491C">
        <w:rPr>
          <w:rFonts w:ascii="Times New Roman" w:hAnsi="Times New Roman" w:cs="Times New Roman"/>
          <w:sz w:val="24"/>
          <w:szCs w:val="24"/>
        </w:rPr>
        <w:t xml:space="preserve">etirees’ health dynamics </w:t>
      </w:r>
      <w:r w:rsidRPr="0001491C">
        <w:rPr>
          <w:rFonts w:ascii="Times New Roman" w:hAnsi="Times New Roman" w:cs="Times New Roman"/>
          <w:sz w:val="24"/>
          <w:szCs w:val="24"/>
        </w:rPr>
        <w:t xml:space="preserve">is modeled </w:t>
      </w:r>
      <w:r w:rsidR="00BF32FD" w:rsidRPr="0001491C">
        <w:rPr>
          <w:rFonts w:ascii="Times New Roman" w:hAnsi="Times New Roman" w:cs="Times New Roman"/>
          <w:sz w:val="24"/>
          <w:szCs w:val="24"/>
        </w:rPr>
        <w:t xml:space="preserve">using three states: (1) good health, (2) </w:t>
      </w:r>
      <w:r w:rsidR="00CB04F0" w:rsidRPr="0001491C">
        <w:rPr>
          <w:rFonts w:ascii="Times New Roman" w:hAnsi="Times New Roman" w:cs="Times New Roman"/>
          <w:sz w:val="24"/>
          <w:szCs w:val="24"/>
        </w:rPr>
        <w:t xml:space="preserve">poor health requiring </w:t>
      </w:r>
      <w:r w:rsidR="00BE53C5">
        <w:rPr>
          <w:rFonts w:ascii="Times New Roman" w:hAnsi="Times New Roman" w:cs="Times New Roman"/>
          <w:sz w:val="24"/>
          <w:szCs w:val="24"/>
        </w:rPr>
        <w:t>some form of LTC</w:t>
      </w:r>
      <w:r w:rsidR="00BF32FD" w:rsidRPr="0001491C">
        <w:rPr>
          <w:rFonts w:ascii="Times New Roman" w:hAnsi="Times New Roman" w:cs="Times New Roman"/>
          <w:sz w:val="24"/>
          <w:szCs w:val="24"/>
        </w:rPr>
        <w:t>, and (</w:t>
      </w:r>
      <w:r w:rsidR="008538E3" w:rsidRPr="0001491C">
        <w:rPr>
          <w:rFonts w:ascii="Times New Roman" w:hAnsi="Times New Roman" w:cs="Times New Roman"/>
          <w:sz w:val="24"/>
          <w:szCs w:val="24"/>
        </w:rPr>
        <w:t>3</w:t>
      </w:r>
      <w:r w:rsidR="00BF32FD" w:rsidRPr="0001491C">
        <w:rPr>
          <w:rFonts w:ascii="Times New Roman" w:hAnsi="Times New Roman" w:cs="Times New Roman"/>
          <w:sz w:val="24"/>
          <w:szCs w:val="24"/>
        </w:rPr>
        <w:t xml:space="preserve">) death. </w:t>
      </w:r>
      <w:r w:rsidR="00CE6189" w:rsidRPr="0001491C">
        <w:rPr>
          <w:rFonts w:ascii="Times New Roman" w:hAnsi="Times New Roman" w:cs="Times New Roman"/>
          <w:sz w:val="24"/>
          <w:szCs w:val="24"/>
        </w:rPr>
        <w:t>A r</w:t>
      </w:r>
      <w:r w:rsidR="008538E3" w:rsidRPr="0001491C">
        <w:rPr>
          <w:rFonts w:ascii="Times New Roman" w:hAnsi="Times New Roman" w:cs="Times New Roman"/>
          <w:sz w:val="24"/>
          <w:szCs w:val="24"/>
        </w:rPr>
        <w:t>etiree’</w:t>
      </w:r>
      <w:r w:rsidR="00BF32FD" w:rsidRPr="0001491C">
        <w:rPr>
          <w:rFonts w:ascii="Times New Roman" w:hAnsi="Times New Roman" w:cs="Times New Roman"/>
          <w:sz w:val="24"/>
          <w:szCs w:val="24"/>
        </w:rPr>
        <w:t xml:space="preserve"> life cycle dynamics evolve across health states according to a Markov chain with an age-dependent one-period transition matrix and two-way transitions allowed between states 1 and 2. </w:t>
      </w:r>
    </w:p>
    <w:p w14:paraId="26D64A22" w14:textId="6D2E1AEB" w:rsidR="00A1776A" w:rsidRPr="0001491C" w:rsidRDefault="00057EE6" w:rsidP="0001491C">
      <w:pPr>
        <w:spacing w:after="0" w:line="480" w:lineRule="auto"/>
        <w:jc w:val="both"/>
        <w:rPr>
          <w:rFonts w:ascii="Times New Roman" w:hAnsi="Times New Roman" w:cs="Times New Roman"/>
          <w:b/>
          <w:sz w:val="24"/>
          <w:szCs w:val="24"/>
        </w:rPr>
      </w:pPr>
      <w:r w:rsidRPr="0001491C">
        <w:rPr>
          <w:rFonts w:ascii="Times New Roman" w:hAnsi="Times New Roman" w:cs="Times New Roman"/>
          <w:b/>
          <w:sz w:val="24"/>
          <w:szCs w:val="24"/>
        </w:rPr>
        <w:t>2.3</w:t>
      </w:r>
      <w:r w:rsidR="00BE53C5">
        <w:rPr>
          <w:rFonts w:ascii="Times New Roman" w:hAnsi="Times New Roman" w:cs="Times New Roman"/>
          <w:b/>
          <w:sz w:val="24"/>
          <w:szCs w:val="24"/>
        </w:rPr>
        <w:t>.</w:t>
      </w:r>
      <w:r w:rsidRPr="0001491C">
        <w:rPr>
          <w:rFonts w:ascii="Times New Roman" w:hAnsi="Times New Roman" w:cs="Times New Roman"/>
          <w:b/>
          <w:sz w:val="24"/>
          <w:szCs w:val="24"/>
        </w:rPr>
        <w:t xml:space="preserve"> </w:t>
      </w:r>
      <w:r w:rsidR="00BE755E" w:rsidRPr="0001491C">
        <w:rPr>
          <w:rFonts w:ascii="Times New Roman" w:hAnsi="Times New Roman" w:cs="Times New Roman"/>
          <w:b/>
          <w:sz w:val="24"/>
          <w:szCs w:val="24"/>
        </w:rPr>
        <w:t>Long-Term Care Insurance</w:t>
      </w:r>
      <w:r w:rsidR="00EC5262" w:rsidRPr="0001491C">
        <w:rPr>
          <w:rFonts w:ascii="Times New Roman" w:hAnsi="Times New Roman" w:cs="Times New Roman"/>
          <w:b/>
          <w:sz w:val="24"/>
          <w:szCs w:val="24"/>
        </w:rPr>
        <w:t xml:space="preserve"> </w:t>
      </w:r>
    </w:p>
    <w:p w14:paraId="47C612A5" w14:textId="64EE6792" w:rsidR="00BE53C5" w:rsidRDefault="00BE755E" w:rsidP="00F7265F">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 xml:space="preserve">Long-term care costs increase as health deteriorates and also increase with general inflation. If a constant inflation rate is assumed, the </w:t>
      </w:r>
      <w:r w:rsidR="00BE53C5">
        <w:rPr>
          <w:rFonts w:ascii="Times New Roman" w:hAnsi="Times New Roman" w:cs="Times New Roman"/>
          <w:sz w:val="24"/>
          <w:szCs w:val="24"/>
        </w:rPr>
        <w:t xml:space="preserve">LTC </w:t>
      </w:r>
      <w:r w:rsidRPr="0001491C">
        <w:rPr>
          <w:rFonts w:ascii="Times New Roman" w:hAnsi="Times New Roman" w:cs="Times New Roman"/>
          <w:sz w:val="24"/>
          <w:szCs w:val="24"/>
        </w:rPr>
        <w:t>cost for an individual who is in State</w:t>
      </w:r>
      <w:r w:rsidR="00BE53C5">
        <w:rPr>
          <w:rFonts w:ascii="Times New Roman" w:hAnsi="Times New Roman" w:cs="Times New Roman"/>
          <w:sz w:val="24"/>
          <w:szCs w:val="24"/>
        </w:rPr>
        <w:t xml:space="preserve"> </w:t>
      </w:r>
      <w:proofErr w:type="spellStart"/>
      <w:r w:rsidR="00BE53C5" w:rsidRPr="00BE53C5">
        <w:rPr>
          <w:rFonts w:ascii="Times New Roman" w:hAnsi="Times New Roman" w:cs="Times New Roman"/>
          <w:i/>
          <w:sz w:val="24"/>
          <w:szCs w:val="24"/>
        </w:rPr>
        <w:t>i</w:t>
      </w:r>
      <w:proofErr w:type="spellEnd"/>
      <w:r w:rsidR="00BE53C5" w:rsidRPr="00BE53C5">
        <w:rPr>
          <w:rFonts w:ascii="Times New Roman" w:hAnsi="Times New Roman" w:cs="Times New Roman"/>
          <w:i/>
          <w:sz w:val="24"/>
          <w:szCs w:val="24"/>
        </w:rPr>
        <w:t xml:space="preserve"> </w:t>
      </w:r>
      <w:r w:rsidR="00BE53C5">
        <w:rPr>
          <w:rFonts w:ascii="Times New Roman" w:hAnsi="Times New Roman" w:cs="Times New Roman"/>
          <w:sz w:val="24"/>
          <w:szCs w:val="24"/>
        </w:rPr>
        <w:t>(</w:t>
      </w:r>
      <w:proofErr w:type="spellStart"/>
      <w:r w:rsidR="00BE53C5" w:rsidRPr="00BE53C5">
        <w:rPr>
          <w:rFonts w:ascii="Times New Roman" w:hAnsi="Times New Roman" w:cs="Times New Roman"/>
          <w:i/>
          <w:sz w:val="24"/>
          <w:szCs w:val="24"/>
        </w:rPr>
        <w:t>i</w:t>
      </w:r>
      <w:proofErr w:type="spellEnd"/>
      <w:r w:rsidR="00BE53C5">
        <w:rPr>
          <w:rFonts w:ascii="Times New Roman" w:hAnsi="Times New Roman" w:cs="Times New Roman"/>
          <w:sz w:val="24"/>
          <w:szCs w:val="24"/>
        </w:rPr>
        <w:t>=2)</w:t>
      </w:r>
      <w:r w:rsidRPr="0001491C">
        <w:rPr>
          <w:rFonts w:ascii="Times New Roman" w:hAnsi="Times New Roman" w:cs="Times New Roman"/>
          <w:i/>
          <w:sz w:val="24"/>
          <w:szCs w:val="24"/>
        </w:rPr>
        <w:t xml:space="preserve"> </w:t>
      </w:r>
      <w:r w:rsidR="00BE53C5" w:rsidRPr="00BE53C5">
        <w:rPr>
          <w:rFonts w:ascii="Times New Roman" w:hAnsi="Times New Roman" w:cs="Times New Roman"/>
          <w:sz w:val="24"/>
          <w:szCs w:val="24"/>
        </w:rPr>
        <w:t>at</w:t>
      </w:r>
      <w:r w:rsidR="00BE53C5">
        <w:rPr>
          <w:rFonts w:ascii="Times New Roman" w:hAnsi="Times New Roman" w:cs="Times New Roman"/>
          <w:i/>
          <w:sz w:val="24"/>
          <w:szCs w:val="24"/>
        </w:rPr>
        <w:t xml:space="preserve"> </w:t>
      </w:r>
      <w:r w:rsidRPr="0001491C">
        <w:rPr>
          <w:rFonts w:ascii="Times New Roman" w:hAnsi="Times New Roman" w:cs="Times New Roman"/>
          <w:sz w:val="24"/>
          <w:szCs w:val="24"/>
        </w:rPr>
        <w:t xml:space="preserve">time </w:t>
      </w:r>
      <w:r w:rsidRPr="0001491C">
        <w:rPr>
          <w:rFonts w:ascii="Times New Roman" w:hAnsi="Times New Roman" w:cs="Times New Roman"/>
          <w:i/>
          <w:sz w:val="24"/>
          <w:szCs w:val="24"/>
        </w:rPr>
        <w:t>t</w:t>
      </w:r>
      <w:proofErr w:type="gramStart"/>
      <w:r w:rsidRPr="0001491C">
        <w:rPr>
          <w:rFonts w:ascii="Times New Roman" w:hAnsi="Times New Roman" w:cs="Times New Roman"/>
          <w:sz w:val="24"/>
          <w:szCs w:val="24"/>
        </w:rPr>
        <w:t xml:space="preserve">, </w:t>
      </w:r>
      <w:proofErr w:type="gramEnd"/>
      <m:oMath>
        <m:sSub>
          <m:sSubPr>
            <m:ctrlPr>
              <w:rPr>
                <w:rFonts w:ascii="Cambria Math" w:hAnsi="Cambria Math" w:cs="Times New Roman"/>
                <w:sz w:val="24"/>
                <w:szCs w:val="24"/>
              </w:rPr>
            </m:ctrlPr>
          </m:sSubPr>
          <m:e>
            <m:r>
              <w:rPr>
                <w:rFonts w:ascii="Cambria Math" w:hAnsi="Cambria Math" w:cs="Times New Roman"/>
                <w:sz w:val="24"/>
                <w:szCs w:val="24"/>
              </w:rPr>
              <m:t>LTC</m:t>
            </m:r>
          </m:e>
          <m:sub>
            <m:r>
              <w:rPr>
                <w:rFonts w:ascii="Cambria Math" w:hAnsi="Cambria Math" w:cs="Times New Roman"/>
                <w:sz w:val="24"/>
                <w:szCs w:val="24"/>
              </w:rPr>
              <m:t>t</m:t>
            </m:r>
          </m:sub>
        </m:sSub>
      </m:oMath>
      <w:r w:rsidR="00BE53C5">
        <w:rPr>
          <w:rFonts w:ascii="Times New Roman" w:hAnsi="Times New Roman" w:cs="Times New Roman"/>
          <w:sz w:val="24"/>
          <w:szCs w:val="24"/>
        </w:rPr>
        <w:t xml:space="preserve">, </w:t>
      </w:r>
      <w:r w:rsidR="006047B1" w:rsidRPr="0001491C">
        <w:rPr>
          <w:rFonts w:ascii="Times New Roman" w:hAnsi="Times New Roman" w:cs="Times New Roman"/>
          <w:sz w:val="24"/>
          <w:szCs w:val="24"/>
        </w:rPr>
        <w:t>can be expressed as</w:t>
      </w:r>
    </w:p>
    <w:p w14:paraId="29D0E46E" w14:textId="7849F4D5" w:rsidR="00BE53C5" w:rsidRDefault="008B0544" w:rsidP="00BE53C5">
      <w:pPr>
        <w:spacing w:after="0" w:line="480" w:lineRule="auto"/>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LTC</m:t>
            </m:r>
          </m:e>
          <m:sub>
            <m:r>
              <w:rPr>
                <w:rFonts w:ascii="Cambria Math" w:hAnsi="Cambria Math" w:cs="Times New Roman"/>
                <w:sz w:val="24"/>
                <w:szCs w:val="24"/>
              </w:rPr>
              <m:t>t</m:t>
            </m:r>
          </m:sub>
          <m:sup>
            <m:r>
              <w:rPr>
                <w:rFonts w:ascii="Cambria Math" w:hAnsi="Cambria Math" w:cs="Times New Roman"/>
                <w:sz w:val="24"/>
                <w:szCs w:val="24"/>
              </w:rPr>
              <m:t>i</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LTC</m:t>
            </m:r>
          </m:e>
          <m:sup>
            <m:r>
              <w:rPr>
                <w:rFonts w:ascii="Cambria Math" w:hAnsi="Cambria Math" w:cs="Times New Roman"/>
                <w:sz w:val="24"/>
                <w:szCs w:val="24"/>
              </w:rPr>
              <m:t>i</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ft</m:t>
            </m:r>
          </m:sup>
        </m:sSup>
      </m:oMath>
      <w:r w:rsidR="00BE53C5">
        <w:rPr>
          <w:rFonts w:ascii="Times New Roman" w:hAnsi="Times New Roman" w:cs="Times New Roman"/>
          <w:sz w:val="24"/>
          <w:szCs w:val="24"/>
        </w:rPr>
        <w:t>,</w:t>
      </w:r>
    </w:p>
    <w:p w14:paraId="05E6C38F" w14:textId="142F12ED" w:rsidR="00BE755E" w:rsidRPr="0001491C" w:rsidRDefault="00BE755E" w:rsidP="00BE53C5">
      <w:pPr>
        <w:spacing w:after="0" w:line="480" w:lineRule="auto"/>
        <w:jc w:val="both"/>
        <w:rPr>
          <w:rFonts w:ascii="Times New Roman" w:hAnsi="Times New Roman" w:cs="Times New Roman"/>
          <w:sz w:val="24"/>
          <w:szCs w:val="24"/>
        </w:rPr>
      </w:pPr>
      <w:proofErr w:type="gramStart"/>
      <w:r w:rsidRPr="0001491C">
        <w:rPr>
          <w:rFonts w:ascii="Times New Roman" w:hAnsi="Times New Roman" w:cs="Times New Roman"/>
          <w:sz w:val="24"/>
          <w:szCs w:val="24"/>
        </w:rPr>
        <w:lastRenderedPageBreak/>
        <w:t>where</w:t>
      </w:r>
      <w:proofErr w:type="gramEnd"/>
      <w:r w:rsidRPr="0001491C">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LTC</m:t>
            </m:r>
          </m:e>
          <m:sup>
            <m:r>
              <w:rPr>
                <w:rFonts w:ascii="Cambria Math" w:hAnsi="Cambria Math" w:cs="Times New Roman"/>
                <w:sz w:val="24"/>
                <w:szCs w:val="24"/>
              </w:rPr>
              <m:t>i</m:t>
            </m:r>
          </m:sup>
        </m:sSup>
      </m:oMath>
      <w:r w:rsidRPr="0001491C">
        <w:rPr>
          <w:rFonts w:ascii="Times New Roman" w:hAnsi="Times New Roman" w:cs="Times New Roman"/>
          <w:sz w:val="24"/>
          <w:szCs w:val="24"/>
        </w:rPr>
        <w:t xml:space="preserve"> is the long-term care</w:t>
      </w:r>
      <w:r w:rsidR="00A20A7A" w:rsidRPr="0001491C">
        <w:rPr>
          <w:rFonts w:ascii="Times New Roman" w:hAnsi="Times New Roman" w:cs="Times New Roman"/>
          <w:sz w:val="24"/>
          <w:szCs w:val="24"/>
        </w:rPr>
        <w:t xml:space="preserve"> </w:t>
      </w:r>
      <w:r w:rsidRPr="0001491C">
        <w:rPr>
          <w:rFonts w:ascii="Times New Roman" w:hAnsi="Times New Roman" w:cs="Times New Roman"/>
          <w:sz w:val="24"/>
          <w:szCs w:val="24"/>
        </w:rPr>
        <w:t xml:space="preserve">expense in State </w:t>
      </w:r>
      <w:proofErr w:type="spellStart"/>
      <w:r w:rsidR="00A20A7A" w:rsidRPr="0001491C">
        <w:rPr>
          <w:rFonts w:ascii="Times New Roman" w:hAnsi="Times New Roman" w:cs="Times New Roman"/>
          <w:i/>
          <w:sz w:val="24"/>
          <w:szCs w:val="24"/>
        </w:rPr>
        <w:t>i</w:t>
      </w:r>
      <w:proofErr w:type="spellEnd"/>
      <w:r w:rsidRPr="0001491C">
        <w:rPr>
          <w:rFonts w:ascii="Times New Roman" w:hAnsi="Times New Roman" w:cs="Times New Roman"/>
          <w:sz w:val="24"/>
          <w:szCs w:val="24"/>
        </w:rPr>
        <w:t xml:space="preserve"> in the base year and </w:t>
      </w:r>
      <w:r w:rsidR="00A20A7A" w:rsidRPr="0001491C">
        <w:rPr>
          <w:rFonts w:ascii="Times New Roman" w:hAnsi="Times New Roman" w:cs="Times New Roman"/>
          <w:i/>
          <w:sz w:val="24"/>
          <w:szCs w:val="24"/>
        </w:rPr>
        <w:t>f</w:t>
      </w:r>
      <w:r w:rsidR="00A20A7A" w:rsidRPr="0001491C">
        <w:rPr>
          <w:rFonts w:ascii="Times New Roman" w:hAnsi="Times New Roman" w:cs="Times New Roman"/>
          <w:sz w:val="24"/>
          <w:szCs w:val="24"/>
        </w:rPr>
        <w:t xml:space="preserve"> </w:t>
      </w:r>
      <w:r w:rsidRPr="0001491C">
        <w:rPr>
          <w:rFonts w:ascii="Times New Roman" w:hAnsi="Times New Roman" w:cs="Times New Roman"/>
          <w:sz w:val="24"/>
          <w:szCs w:val="24"/>
        </w:rPr>
        <w:t>is a constant</w:t>
      </w:r>
      <w:r w:rsidR="00A20A7A" w:rsidRPr="0001491C">
        <w:rPr>
          <w:rFonts w:ascii="Times New Roman" w:hAnsi="Times New Roman" w:cs="Times New Roman"/>
          <w:sz w:val="24"/>
          <w:szCs w:val="24"/>
        </w:rPr>
        <w:t xml:space="preserve"> </w:t>
      </w:r>
      <w:r w:rsidRPr="0001491C">
        <w:rPr>
          <w:rFonts w:ascii="Times New Roman" w:hAnsi="Times New Roman" w:cs="Times New Roman"/>
          <w:sz w:val="24"/>
          <w:szCs w:val="24"/>
        </w:rPr>
        <w:t>inflation rate.</w:t>
      </w:r>
    </w:p>
    <w:p w14:paraId="625C2C22" w14:textId="77777777" w:rsidR="009B2821" w:rsidRPr="009B2821" w:rsidRDefault="00BE755E" w:rsidP="00F7265F">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In our proposed model, onl</w:t>
      </w:r>
      <w:r w:rsidR="00F7265F">
        <w:rPr>
          <w:rFonts w:ascii="Times New Roman" w:hAnsi="Times New Roman" w:cs="Times New Roman"/>
          <w:sz w:val="24"/>
          <w:szCs w:val="24"/>
        </w:rPr>
        <w:t xml:space="preserve">y healthy individuals (in State </w:t>
      </w:r>
      <w:r w:rsidRPr="0001491C">
        <w:rPr>
          <w:rFonts w:ascii="Times New Roman" w:hAnsi="Times New Roman" w:cs="Times New Roman"/>
          <w:sz w:val="24"/>
          <w:szCs w:val="24"/>
        </w:rPr>
        <w:t>1) are</w:t>
      </w:r>
      <w:r w:rsidR="00A20A7A" w:rsidRPr="0001491C">
        <w:rPr>
          <w:rFonts w:ascii="Times New Roman" w:hAnsi="Times New Roman" w:cs="Times New Roman"/>
          <w:sz w:val="24"/>
          <w:szCs w:val="24"/>
        </w:rPr>
        <w:t xml:space="preserve"> </w:t>
      </w:r>
      <w:r w:rsidRPr="0001491C">
        <w:rPr>
          <w:rFonts w:ascii="Times New Roman" w:hAnsi="Times New Roman" w:cs="Times New Roman"/>
          <w:sz w:val="24"/>
          <w:szCs w:val="24"/>
        </w:rPr>
        <w:t xml:space="preserve">eligible for purchasing </w:t>
      </w:r>
      <w:r w:rsidR="009B2821">
        <w:rPr>
          <w:rFonts w:ascii="Times New Roman" w:hAnsi="Times New Roman" w:cs="Times New Roman"/>
          <w:sz w:val="24"/>
          <w:szCs w:val="24"/>
        </w:rPr>
        <w:t xml:space="preserve">LTC </w:t>
      </w:r>
      <w:r w:rsidR="00B85047" w:rsidRPr="0001491C">
        <w:rPr>
          <w:rFonts w:ascii="Times New Roman" w:hAnsi="Times New Roman" w:cs="Times New Roman"/>
          <w:sz w:val="24"/>
          <w:szCs w:val="24"/>
        </w:rPr>
        <w:t xml:space="preserve">insurance. Denote </w:t>
      </w:r>
      <m:oMath>
        <m:r>
          <m:rPr>
            <m:sty m:val="p"/>
          </m:rPr>
          <w:rPr>
            <w:rFonts w:ascii="Cambria Math" w:hAnsi="Cambria Math" w:cs="Times New Roman"/>
            <w:sz w:val="24"/>
            <w:szCs w:val="24"/>
          </w:rPr>
          <m:t>PI</m:t>
        </m:r>
      </m:oMath>
      <w:r w:rsidRPr="0001491C">
        <w:rPr>
          <w:rFonts w:ascii="Times New Roman" w:hAnsi="Times New Roman" w:cs="Times New Roman"/>
          <w:sz w:val="24"/>
          <w:szCs w:val="24"/>
        </w:rPr>
        <w:t xml:space="preserve"> the</w:t>
      </w:r>
      <w:r w:rsidR="00A20A7A" w:rsidRPr="0001491C">
        <w:rPr>
          <w:rFonts w:ascii="Times New Roman" w:hAnsi="Times New Roman" w:cs="Times New Roman"/>
          <w:sz w:val="24"/>
          <w:szCs w:val="24"/>
        </w:rPr>
        <w:t xml:space="preserve"> </w:t>
      </w:r>
      <w:r w:rsidRPr="0001491C">
        <w:rPr>
          <w:rFonts w:ascii="Times New Roman" w:hAnsi="Times New Roman" w:cs="Times New Roman"/>
          <w:sz w:val="24"/>
          <w:szCs w:val="24"/>
        </w:rPr>
        <w:t xml:space="preserve">percentage cover of </w:t>
      </w:r>
      <w:r w:rsidR="009B2821">
        <w:rPr>
          <w:rFonts w:ascii="Times New Roman" w:hAnsi="Times New Roman" w:cs="Times New Roman"/>
          <w:sz w:val="24"/>
          <w:szCs w:val="24"/>
        </w:rPr>
        <w:t xml:space="preserve">LTC </w:t>
      </w:r>
      <w:r w:rsidRPr="0001491C">
        <w:rPr>
          <w:rFonts w:ascii="Times New Roman" w:hAnsi="Times New Roman" w:cs="Times New Roman"/>
          <w:sz w:val="24"/>
          <w:szCs w:val="24"/>
        </w:rPr>
        <w:t>expenses purchased and</w:t>
      </w:r>
      <w:r w:rsidR="00A20A7A" w:rsidRPr="0001491C">
        <w:rPr>
          <w:rFonts w:ascii="Times New Roman" w:hAnsi="Times New Roman" w:cs="Times New Roman"/>
          <w:sz w:val="24"/>
          <w:szCs w:val="24"/>
        </w:rPr>
        <w:t xml:space="preserve"> </w:t>
      </w:r>
      <w:r w:rsidR="00B85047" w:rsidRPr="0001491C">
        <w:rPr>
          <w:rFonts w:ascii="Times New Roman" w:hAnsi="Times New Roman" w:cs="Times New Roman"/>
          <w:sz w:val="24"/>
          <w:szCs w:val="24"/>
        </w:rPr>
        <w:t xml:space="preserve">we </w:t>
      </w:r>
      <w:r w:rsidRPr="0001491C">
        <w:rPr>
          <w:rFonts w:ascii="Times New Roman" w:hAnsi="Times New Roman" w:cs="Times New Roman"/>
          <w:sz w:val="24"/>
          <w:szCs w:val="24"/>
        </w:rPr>
        <w:t xml:space="preserve">assume </w:t>
      </w:r>
      <w:r w:rsidR="009B2821">
        <w:rPr>
          <w:rFonts w:ascii="Times New Roman" w:hAnsi="Times New Roman" w:cs="Times New Roman"/>
          <w:sz w:val="24"/>
          <w:szCs w:val="24"/>
        </w:rPr>
        <w:t xml:space="preserve">the purchase of LTC insurance </w:t>
      </w:r>
      <w:r w:rsidR="00B85047" w:rsidRPr="0001491C">
        <w:rPr>
          <w:rFonts w:ascii="Times New Roman" w:hAnsi="Times New Roman" w:cs="Times New Roman"/>
          <w:sz w:val="24"/>
          <w:szCs w:val="24"/>
        </w:rPr>
        <w:t xml:space="preserve">will be available only at the beginning of the retirement (age </w:t>
      </w:r>
      <w:r w:rsidR="00BC520C" w:rsidRPr="0001491C">
        <w:rPr>
          <w:rFonts w:ascii="Times New Roman" w:hAnsi="Times New Roman" w:cs="Times New Roman"/>
          <w:i/>
          <w:sz w:val="24"/>
          <w:szCs w:val="24"/>
        </w:rPr>
        <w:t>x</w:t>
      </w:r>
      <w:r w:rsidR="00B85047" w:rsidRPr="0001491C">
        <w:rPr>
          <w:rFonts w:ascii="Times New Roman" w:hAnsi="Times New Roman" w:cs="Times New Roman"/>
          <w:sz w:val="24"/>
          <w:szCs w:val="24"/>
        </w:rPr>
        <w:t>)</w:t>
      </w:r>
      <w:r w:rsidRPr="0001491C">
        <w:rPr>
          <w:rFonts w:ascii="Times New Roman" w:hAnsi="Times New Roman" w:cs="Times New Roman"/>
          <w:sz w:val="24"/>
          <w:szCs w:val="24"/>
        </w:rPr>
        <w:t xml:space="preserve">. </w:t>
      </w:r>
      <w:r w:rsidR="002D5D23" w:rsidRPr="0001491C">
        <w:rPr>
          <w:rFonts w:ascii="Times New Roman" w:hAnsi="Times New Roman" w:cs="Times New Roman"/>
          <w:sz w:val="24"/>
          <w:szCs w:val="24"/>
        </w:rPr>
        <w:t xml:space="preserve">We </w:t>
      </w:r>
      <w:r w:rsidR="009B2821">
        <w:rPr>
          <w:rFonts w:ascii="Times New Roman" w:hAnsi="Times New Roman" w:cs="Times New Roman"/>
          <w:sz w:val="24"/>
          <w:szCs w:val="24"/>
        </w:rPr>
        <w:t xml:space="preserve">denote </w:t>
      </w:r>
      <w:r w:rsidR="002D5D23" w:rsidRPr="0001491C">
        <w:rPr>
          <w:rFonts w:ascii="Times New Roman" w:hAnsi="Times New Roman" w:cs="Times New Roman"/>
          <w:sz w:val="24"/>
          <w:szCs w:val="24"/>
        </w:rPr>
        <w:t>t</w:t>
      </w:r>
      <w:r w:rsidRPr="0001491C">
        <w:rPr>
          <w:rFonts w:ascii="Times New Roman" w:hAnsi="Times New Roman" w:cs="Times New Roman"/>
          <w:sz w:val="24"/>
          <w:szCs w:val="24"/>
        </w:rPr>
        <w:t xml:space="preserve">he actuarial present value of future </w:t>
      </w:r>
      <w:r w:rsidR="009B2821">
        <w:rPr>
          <w:rFonts w:ascii="Times New Roman" w:hAnsi="Times New Roman" w:cs="Times New Roman"/>
          <w:sz w:val="24"/>
          <w:szCs w:val="24"/>
        </w:rPr>
        <w:t xml:space="preserve">LTC </w:t>
      </w:r>
      <w:r w:rsidRPr="0001491C">
        <w:rPr>
          <w:rFonts w:ascii="Times New Roman" w:hAnsi="Times New Roman" w:cs="Times New Roman"/>
          <w:sz w:val="24"/>
          <w:szCs w:val="24"/>
        </w:rPr>
        <w:t xml:space="preserve">benefits </w:t>
      </w:r>
      <w:r w:rsidR="002D5D23" w:rsidRPr="0001491C">
        <w:rPr>
          <w:rFonts w:ascii="Times New Roman" w:hAnsi="Times New Roman" w:cs="Times New Roman"/>
          <w:sz w:val="24"/>
          <w:szCs w:val="24"/>
        </w:rPr>
        <w:t>(</w:t>
      </w:r>
      <m:oMath>
        <m:sSub>
          <m:sSubPr>
            <m:ctrlPr>
              <w:rPr>
                <w:rFonts w:ascii="Cambria Math" w:hAnsi="Cambria Math" w:cs="Times New Roman"/>
                <w:sz w:val="24"/>
                <w:szCs w:val="24"/>
              </w:rPr>
            </m:ctrlPr>
          </m:sSubPr>
          <m:e>
            <m:r>
              <w:rPr>
                <w:rFonts w:ascii="Cambria Math" w:hAnsi="Cambria Math" w:cs="Times New Roman"/>
                <w:sz w:val="24"/>
                <w:szCs w:val="24"/>
              </w:rPr>
              <m:t>APL</m:t>
            </m:r>
          </m:e>
          <m:sub>
            <m:r>
              <w:rPr>
                <w:rFonts w:ascii="Cambria Math" w:hAnsi="Cambria Math" w:cs="Times New Roman"/>
                <w:sz w:val="24"/>
                <w:szCs w:val="24"/>
              </w:rPr>
              <m:t>x</m:t>
            </m:r>
          </m:sub>
        </m:sSub>
      </m:oMath>
      <w:r w:rsidR="002D5D23" w:rsidRPr="0001491C">
        <w:rPr>
          <w:rFonts w:ascii="Times New Roman" w:hAnsi="Times New Roman" w:cs="Times New Roman"/>
          <w:sz w:val="24"/>
          <w:szCs w:val="24"/>
        </w:rPr>
        <w:t xml:space="preserve">) </w:t>
      </w:r>
      <w:r w:rsidRPr="0001491C">
        <w:rPr>
          <w:rFonts w:ascii="Times New Roman" w:hAnsi="Times New Roman" w:cs="Times New Roman"/>
          <w:sz w:val="24"/>
          <w:szCs w:val="24"/>
        </w:rPr>
        <w:t>without considering</w:t>
      </w:r>
      <w:r w:rsidR="00A20A7A" w:rsidRPr="0001491C">
        <w:rPr>
          <w:rFonts w:ascii="Times New Roman" w:hAnsi="Times New Roman" w:cs="Times New Roman"/>
          <w:sz w:val="24"/>
          <w:szCs w:val="24"/>
        </w:rPr>
        <w:t xml:space="preserve"> </w:t>
      </w:r>
      <w:r w:rsidRPr="0001491C">
        <w:rPr>
          <w:rFonts w:ascii="Times New Roman" w:hAnsi="Times New Roman" w:cs="Times New Roman"/>
          <w:sz w:val="24"/>
          <w:szCs w:val="24"/>
        </w:rPr>
        <w:t>expense and profit loadings</w:t>
      </w:r>
      <w:r w:rsidR="002A6578" w:rsidRPr="0001491C">
        <w:rPr>
          <w:rFonts w:ascii="Times New Roman" w:hAnsi="Times New Roman" w:cs="Times New Roman"/>
          <w:sz w:val="24"/>
          <w:szCs w:val="24"/>
        </w:rPr>
        <w:t xml:space="preserve"> </w:t>
      </w:r>
      <w:r w:rsidR="002D5D23" w:rsidRPr="0001491C">
        <w:rPr>
          <w:rFonts w:ascii="Times New Roman" w:hAnsi="Times New Roman" w:cs="Times New Roman"/>
          <w:sz w:val="24"/>
          <w:szCs w:val="24"/>
        </w:rPr>
        <w:t>as</w:t>
      </w:r>
    </w:p>
    <w:p w14:paraId="383F89D4" w14:textId="1018A927" w:rsidR="009B2821" w:rsidRDefault="008B0544" w:rsidP="009B2821">
      <w:pPr>
        <w:spacing w:after="0" w:line="48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APL</m:t>
            </m:r>
          </m:e>
          <m:sub>
            <m:r>
              <w:rPr>
                <w:rFonts w:ascii="Cambria Math" w:hAnsi="Cambria Math" w:cs="Times New Roman"/>
                <w:sz w:val="24"/>
                <w:szCs w:val="24"/>
              </w:rPr>
              <m:t>x</m:t>
            </m:r>
          </m:sub>
        </m:sSub>
        <m:r>
          <w:rPr>
            <w:rFonts w:ascii="Cambria Math" w:eastAsia="Cambria Math" w:hAnsi="Cambria Math" w:cs="Times New Roman"/>
            <w:sz w:val="24"/>
            <w:szCs w:val="24"/>
          </w:rPr>
          <m:t>=PI</m:t>
        </m:r>
        <m:nary>
          <m:naryPr>
            <m:chr m:val="∑"/>
            <m:grow m:val="1"/>
            <m:ctrlPr>
              <w:rPr>
                <w:rFonts w:ascii="Cambria Math" w:hAnsi="Cambria Math" w:cs="Times New Roman"/>
                <w:sz w:val="24"/>
                <w:szCs w:val="24"/>
              </w:rPr>
            </m:ctrlPr>
          </m:naryPr>
          <m:sub>
            <m:r>
              <w:rPr>
                <w:rFonts w:ascii="Cambria Math" w:eastAsia="Cambria Math" w:hAnsi="Cambria Math" w:cs="Times New Roman"/>
                <w:sz w:val="24"/>
                <w:szCs w:val="24"/>
              </w:rPr>
              <m:t>t</m:t>
            </m:r>
          </m:sub>
          <m:sup/>
          <m:e>
            <m:sSubSup>
              <m:sSubSupPr>
                <m:ctrlPr>
                  <w:rPr>
                    <w:rFonts w:ascii="Cambria Math" w:hAnsi="Cambria Math" w:cs="Times New Roman"/>
                    <w:sz w:val="24"/>
                    <w:szCs w:val="24"/>
                  </w:rPr>
                </m:ctrlPr>
              </m:sSubSupPr>
              <m:e>
                <m:sSubSup>
                  <m:sSubSupPr>
                    <m:ctrlPr>
                      <w:rPr>
                        <w:rFonts w:ascii="Cambria Math" w:hAnsi="Cambria Math" w:cs="Times New Roman"/>
                        <w:sz w:val="24"/>
                        <w:szCs w:val="24"/>
                      </w:rPr>
                    </m:ctrlPr>
                  </m:sSubSupPr>
                  <m:e>
                    <m:r>
                      <w:rPr>
                        <w:rFonts w:ascii="Cambria Math" w:hAnsi="Cambria Math" w:cs="Times New Roman"/>
                        <w:sz w:val="24"/>
                        <w:szCs w:val="24"/>
                      </w:rPr>
                      <m:t>p</m:t>
                    </m:r>
                  </m:e>
                  <m:sub>
                    <m:r>
                      <w:rPr>
                        <w:rFonts w:ascii="Cambria Math" w:hAnsi="Cambria Math" w:cs="Times New Roman"/>
                        <w:sz w:val="24"/>
                        <w:szCs w:val="24"/>
                      </w:rPr>
                      <m:t>x:x+t</m:t>
                    </m:r>
                  </m:sub>
                  <m:sup>
                    <m:r>
                      <w:rPr>
                        <w:rFonts w:ascii="Cambria Math" w:hAnsi="Cambria Math" w:cs="Times New Roman"/>
                        <w:sz w:val="24"/>
                        <w:szCs w:val="24"/>
                      </w:rPr>
                      <m:t>12</m:t>
                    </m:r>
                  </m:sup>
                </m:sSubSup>
                <m:r>
                  <w:rPr>
                    <w:rFonts w:ascii="Cambria Math" w:hAnsi="Cambria Math" w:cs="Times New Roman"/>
                    <w:sz w:val="24"/>
                    <w:szCs w:val="24"/>
                  </w:rPr>
                  <m:t>LTC</m:t>
                </m:r>
              </m:e>
              <m:sub>
                <m:r>
                  <w:rPr>
                    <w:rFonts w:ascii="Cambria Math" w:hAnsi="Cambria Math" w:cs="Times New Roman"/>
                    <w:sz w:val="24"/>
                    <w:szCs w:val="24"/>
                  </w:rPr>
                  <m:t>t</m:t>
                </m:r>
              </m:sub>
              <m:sup>
                <m:r>
                  <w:rPr>
                    <w:rFonts w:ascii="Cambria Math" w:hAnsi="Cambria Math" w:cs="Times New Roman"/>
                    <w:sz w:val="24"/>
                    <w:szCs w:val="24"/>
                  </w:rPr>
                  <m:t>i</m:t>
                </m:r>
              </m:sup>
            </m:sSubSup>
            <m:sSup>
              <m:sSupPr>
                <m:ctrlPr>
                  <w:rPr>
                    <w:rFonts w:ascii="Cambria Math" w:hAnsi="Cambria Math" w:cs="Times New Roman"/>
                    <w:sz w:val="24"/>
                    <w:szCs w:val="24"/>
                  </w:rPr>
                </m:ctrlPr>
              </m:sSupPr>
              <m:e>
                <m:r>
                  <w:rPr>
                    <w:rFonts w:ascii="Cambria Math" w:eastAsia="Cambria Math" w:hAnsi="Cambria Math" w:cs="Times New Roman"/>
                    <w:sz w:val="24"/>
                    <w:szCs w:val="24"/>
                  </w:rPr>
                  <m:t>e</m:t>
                </m:r>
              </m:e>
              <m:sup>
                <m:r>
                  <w:rPr>
                    <w:rFonts w:ascii="Cambria Math" w:hAnsi="Cambria Math" w:cs="Times New Roman"/>
                    <w:sz w:val="24"/>
                    <w:szCs w:val="24"/>
                  </w:rPr>
                  <m:t>-rt</m:t>
                </m:r>
              </m:sup>
            </m:sSup>
          </m:e>
        </m:nary>
      </m:oMath>
      <w:r w:rsidR="009B2821">
        <w:rPr>
          <w:rFonts w:ascii="Times New Roman" w:hAnsi="Times New Roman" w:cs="Times New Roman"/>
          <w:sz w:val="24"/>
          <w:szCs w:val="24"/>
        </w:rPr>
        <w:t>,</w:t>
      </w:r>
    </w:p>
    <w:p w14:paraId="00E90A30" w14:textId="549D7666" w:rsidR="00A20A7A" w:rsidRPr="0001491C" w:rsidRDefault="009B2821" w:rsidP="009B2821">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sidR="00AB14E0" w:rsidRPr="0001491C">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w:rPr>
                <w:rFonts w:ascii="Cambria Math" w:hAnsi="Cambria Math" w:cs="Times New Roman"/>
                <w:sz w:val="24"/>
                <w:szCs w:val="24"/>
              </w:rPr>
              <m:t>p</m:t>
            </m:r>
          </m:e>
          <m:sub>
            <m:r>
              <w:rPr>
                <w:rFonts w:ascii="Cambria Math" w:hAnsi="Cambria Math" w:cs="Times New Roman"/>
                <w:sz w:val="24"/>
                <w:szCs w:val="24"/>
              </w:rPr>
              <m:t>x:x+t</m:t>
            </m:r>
          </m:sub>
          <m:sup>
            <m:r>
              <w:rPr>
                <w:rFonts w:ascii="Cambria Math" w:hAnsi="Cambria Math" w:cs="Times New Roman"/>
                <w:sz w:val="24"/>
                <w:szCs w:val="24"/>
              </w:rPr>
              <m:t>ij</m:t>
            </m:r>
          </m:sup>
        </m:sSubSup>
      </m:oMath>
      <w:r w:rsidR="00AB14E0" w:rsidRPr="0001491C">
        <w:rPr>
          <w:rFonts w:ascii="Times New Roman" w:hAnsi="Times New Roman" w:cs="Times New Roman"/>
          <w:sz w:val="24"/>
          <w:szCs w:val="24"/>
        </w:rPr>
        <w:t xml:space="preserve"> as the probability from state </w:t>
      </w:r>
      <w:proofErr w:type="spellStart"/>
      <w:r w:rsidR="00AB14E0" w:rsidRPr="0001491C">
        <w:rPr>
          <w:rFonts w:ascii="Times New Roman" w:hAnsi="Times New Roman" w:cs="Times New Roman"/>
          <w:i/>
          <w:sz w:val="24"/>
          <w:szCs w:val="24"/>
        </w:rPr>
        <w:t>i</w:t>
      </w:r>
      <w:proofErr w:type="spellEnd"/>
      <w:r w:rsidR="00AB14E0" w:rsidRPr="0001491C">
        <w:rPr>
          <w:rFonts w:ascii="Times New Roman" w:hAnsi="Times New Roman" w:cs="Times New Roman"/>
          <w:i/>
          <w:sz w:val="24"/>
          <w:szCs w:val="24"/>
        </w:rPr>
        <w:t xml:space="preserve"> </w:t>
      </w:r>
      <w:r w:rsidR="00AB14E0" w:rsidRPr="0001491C">
        <w:rPr>
          <w:rFonts w:ascii="Times New Roman" w:hAnsi="Times New Roman" w:cs="Times New Roman"/>
          <w:sz w:val="24"/>
          <w:szCs w:val="24"/>
        </w:rPr>
        <w:t xml:space="preserve">to state </w:t>
      </w:r>
      <w:r w:rsidR="00AB14E0" w:rsidRPr="0001491C">
        <w:rPr>
          <w:rFonts w:ascii="Times New Roman" w:hAnsi="Times New Roman" w:cs="Times New Roman"/>
          <w:i/>
          <w:sz w:val="24"/>
          <w:szCs w:val="24"/>
        </w:rPr>
        <w:t xml:space="preserve">j </w:t>
      </w:r>
      <w:r w:rsidR="00AB14E0" w:rsidRPr="0001491C">
        <w:rPr>
          <w:rFonts w:ascii="Times New Roman" w:hAnsi="Times New Roman" w:cs="Times New Roman"/>
          <w:sz w:val="24"/>
          <w:szCs w:val="24"/>
        </w:rPr>
        <w:t xml:space="preserve">in </w:t>
      </w:r>
      <w:r w:rsidR="00AB14E0" w:rsidRPr="005954EB">
        <w:rPr>
          <w:rFonts w:ascii="Times New Roman" w:hAnsi="Times New Roman" w:cs="Times New Roman"/>
          <w:i/>
          <w:sz w:val="24"/>
          <w:szCs w:val="24"/>
        </w:rPr>
        <w:t>t</w:t>
      </w:r>
      <w:r w:rsidR="00AB14E0" w:rsidRPr="0001491C">
        <w:rPr>
          <w:rFonts w:ascii="Times New Roman" w:hAnsi="Times New Roman" w:cs="Times New Roman"/>
          <w:sz w:val="24"/>
          <w:szCs w:val="24"/>
        </w:rPr>
        <w:t xml:space="preserve"> periods.</w:t>
      </w:r>
    </w:p>
    <w:p w14:paraId="073880A0" w14:textId="4718D43B" w:rsidR="00A20A7A" w:rsidRPr="0001491C" w:rsidRDefault="005954EB" w:rsidP="000149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2.4. </w:t>
      </w:r>
      <w:r w:rsidR="00A20A7A" w:rsidRPr="0001491C">
        <w:rPr>
          <w:rFonts w:ascii="Times New Roman" w:hAnsi="Times New Roman" w:cs="Times New Roman"/>
          <w:b/>
          <w:sz w:val="24"/>
          <w:szCs w:val="24"/>
        </w:rPr>
        <w:t>Equity Investment and Life Annuities</w:t>
      </w:r>
    </w:p>
    <w:p w14:paraId="23C8471F" w14:textId="77777777" w:rsidR="005954EB" w:rsidRDefault="00A20A7A" w:rsidP="005954EB">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 xml:space="preserve">At the retirement age (age </w:t>
      </w:r>
      <w:r w:rsidR="00716348" w:rsidRPr="0001491C">
        <w:rPr>
          <w:rFonts w:ascii="Times New Roman" w:hAnsi="Times New Roman" w:cs="Times New Roman"/>
          <w:i/>
          <w:sz w:val="24"/>
          <w:szCs w:val="24"/>
        </w:rPr>
        <w:t>x</w:t>
      </w:r>
      <w:r w:rsidRPr="0001491C">
        <w:rPr>
          <w:rFonts w:ascii="Times New Roman" w:hAnsi="Times New Roman" w:cs="Times New Roman"/>
          <w:sz w:val="24"/>
          <w:szCs w:val="24"/>
        </w:rPr>
        <w:t>), the retiree can decide to put</w:t>
      </w:r>
      <w:r w:rsidR="00444F3A" w:rsidRPr="0001491C">
        <w:rPr>
          <w:rFonts w:ascii="Times New Roman" w:hAnsi="Times New Roman" w:cs="Times New Roman"/>
          <w:sz w:val="24"/>
          <w:szCs w:val="24"/>
        </w:rPr>
        <w:t xml:space="preserve"> some </w:t>
      </w:r>
      <w:r w:rsidR="00716348" w:rsidRPr="0001491C">
        <w:rPr>
          <w:rFonts w:ascii="Times New Roman" w:hAnsi="Times New Roman" w:cs="Times New Roman"/>
          <w:sz w:val="24"/>
          <w:szCs w:val="24"/>
        </w:rPr>
        <w:t>portion (</w:t>
      </w:r>
      <m:oMath>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FA</m:t>
            </m:r>
          </m:sub>
        </m:sSub>
      </m:oMath>
      <w:r w:rsidR="00716348" w:rsidRPr="0001491C">
        <w:rPr>
          <w:rFonts w:ascii="Times New Roman" w:hAnsi="Times New Roman" w:cs="Times New Roman"/>
          <w:sz w:val="24"/>
          <w:szCs w:val="24"/>
        </w:rPr>
        <w:t xml:space="preserve">) </w:t>
      </w:r>
      <w:r w:rsidR="00444F3A" w:rsidRPr="0001491C">
        <w:rPr>
          <w:rFonts w:ascii="Times New Roman" w:hAnsi="Times New Roman" w:cs="Times New Roman"/>
          <w:sz w:val="24"/>
          <w:szCs w:val="24"/>
        </w:rPr>
        <w:t>of</w:t>
      </w:r>
      <w:r w:rsidRPr="0001491C">
        <w:rPr>
          <w:rFonts w:ascii="Times New Roman" w:hAnsi="Times New Roman" w:cs="Times New Roman"/>
          <w:sz w:val="24"/>
          <w:szCs w:val="24"/>
        </w:rPr>
        <w:t xml:space="preserve"> his liquid wealth</w:t>
      </w:r>
      <w:r w:rsidR="00716348" w:rsidRPr="0001491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x</m:t>
            </m:r>
          </m:sub>
        </m:sSub>
      </m:oMath>
      <w:r w:rsidR="00716348" w:rsidRPr="0001491C">
        <w:rPr>
          <w:rFonts w:ascii="Times New Roman" w:hAnsi="Times New Roman" w:cs="Times New Roman"/>
          <w:sz w:val="24"/>
          <w:szCs w:val="24"/>
        </w:rPr>
        <w:t>)</w:t>
      </w:r>
      <w:r w:rsidRPr="0001491C">
        <w:rPr>
          <w:rFonts w:ascii="Times New Roman" w:hAnsi="Times New Roman" w:cs="Times New Roman"/>
          <w:sz w:val="24"/>
          <w:szCs w:val="24"/>
        </w:rPr>
        <w:t xml:space="preserve"> into an immediate fixed life annuity account which provides an </w:t>
      </w:r>
      <w:proofErr w:type="spellStart"/>
      <w:r w:rsidRPr="0001491C">
        <w:rPr>
          <w:rFonts w:ascii="Times New Roman" w:hAnsi="Times New Roman" w:cs="Times New Roman"/>
          <w:sz w:val="24"/>
          <w:szCs w:val="24"/>
        </w:rPr>
        <w:t>annuitization</w:t>
      </w:r>
      <w:proofErr w:type="spellEnd"/>
      <w:r w:rsidRPr="0001491C">
        <w:rPr>
          <w:rFonts w:ascii="Times New Roman" w:hAnsi="Times New Roman" w:cs="Times New Roman"/>
          <w:sz w:val="24"/>
          <w:szCs w:val="24"/>
        </w:rPr>
        <w:t xml:space="preserve"> amount </w:t>
      </w:r>
      <m:oMath>
        <m:acc>
          <m:accPr>
            <m:chr m:val="̅"/>
            <m:ctrlPr>
              <w:rPr>
                <w:rFonts w:ascii="Cambria Math" w:hAnsi="Cambria Math" w:cs="Times New Roman"/>
                <w:sz w:val="24"/>
                <w:szCs w:val="24"/>
              </w:rPr>
            </m:ctrlPr>
          </m:accPr>
          <m:e>
            <m:r>
              <w:rPr>
                <w:rFonts w:ascii="Cambria Math" w:hAnsi="Cambria Math" w:cs="Times New Roman"/>
                <w:sz w:val="24"/>
                <w:szCs w:val="24"/>
              </w:rPr>
              <m:t>c</m:t>
            </m:r>
          </m:e>
        </m:acc>
      </m:oMath>
      <w:r w:rsidRPr="0001491C">
        <w:rPr>
          <w:rFonts w:ascii="Times New Roman" w:hAnsi="Times New Roman" w:cs="Times New Roman"/>
          <w:sz w:val="24"/>
          <w:szCs w:val="24"/>
        </w:rPr>
        <w:t xml:space="preserve"> periodically.</w:t>
      </w:r>
      <w:r w:rsidR="00444F3A" w:rsidRPr="0001491C">
        <w:rPr>
          <w:rFonts w:ascii="Times New Roman" w:hAnsi="Times New Roman" w:cs="Times New Roman"/>
          <w:sz w:val="24"/>
          <w:szCs w:val="24"/>
        </w:rPr>
        <w:t xml:space="preserve"> </w:t>
      </w:r>
      <w:r w:rsidR="00716348" w:rsidRPr="0001491C">
        <w:rPr>
          <w:rFonts w:ascii="Times New Roman" w:hAnsi="Times New Roman" w:cs="Times New Roman"/>
          <w:sz w:val="24"/>
          <w:szCs w:val="24"/>
        </w:rPr>
        <w:t xml:space="preserve">Therefore, </w:t>
      </w:r>
    </w:p>
    <w:p w14:paraId="48442DFF" w14:textId="78D6A14E" w:rsidR="005954EB" w:rsidRPr="005954EB" w:rsidRDefault="008B0544" w:rsidP="005954EB">
      <w:pPr>
        <w:spacing w:after="0" w:line="480" w:lineRule="auto"/>
        <w:jc w:val="center"/>
        <w:rPr>
          <w:rFonts w:ascii="Times New Roman" w:hAnsi="Times New Roman" w:cs="Times New Roman"/>
          <w:sz w:val="24"/>
          <w:szCs w:val="24"/>
        </w:rPr>
      </w:pPr>
      <m:oMathPara>
        <m:oMath>
          <m:acc>
            <m:accPr>
              <m:chr m:val="̅"/>
              <m:ctrlPr>
                <w:rPr>
                  <w:rFonts w:ascii="Cambria Math" w:hAnsi="Cambria Math" w:cs="Times New Roman"/>
                  <w:sz w:val="24"/>
                  <w:szCs w:val="24"/>
                </w:rPr>
              </m:ctrlPr>
            </m:accPr>
            <m:e>
              <m:r>
                <w:rPr>
                  <w:rFonts w:ascii="Cambria Math" w:hAnsi="Cambria Math" w:cs="Times New Roman"/>
                  <w:sz w:val="24"/>
                  <w:szCs w:val="24"/>
                </w:rPr>
                <m:t>c</m:t>
              </m:r>
            </m:e>
          </m:acc>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sSub>
                    <m:sSubPr>
                      <m:ctrlPr>
                        <w:rPr>
                          <w:rFonts w:ascii="Cambria Math" w:hAnsi="Cambria Math" w:cs="Times New Roman"/>
                          <w:sz w:val="24"/>
                          <w:szCs w:val="24"/>
                        </w:rPr>
                      </m:ctrlPr>
                    </m:sSubPr>
                    <m:e>
                      <m:r>
                        <w:rPr>
                          <w:rFonts w:ascii="Cambria Math" w:hAnsi="Cambria Math" w:cs="Times New Roman"/>
                          <w:sz w:val="24"/>
                          <w:szCs w:val="24"/>
                        </w:rPr>
                        <m:t>ω</m:t>
                      </m:r>
                    </m:e>
                    <m:sub>
                      <m:r>
                        <w:rPr>
                          <w:rFonts w:ascii="Cambria Math" w:hAnsi="Cambria Math" w:cs="Times New Roman"/>
                          <w:sz w:val="24"/>
                          <w:szCs w:val="24"/>
                        </w:rPr>
                        <m:t>FA</m:t>
                      </m:r>
                    </m:sub>
                  </m:sSub>
                  <m:r>
                    <w:rPr>
                      <w:rFonts w:ascii="Cambria Math" w:hAnsi="Cambria Math" w:cs="Times New Roman"/>
                      <w:sz w:val="24"/>
                      <w:szCs w:val="24"/>
                    </w:rPr>
                    <m:t>a</m:t>
                  </m:r>
                </m:e>
                <m:sub>
                  <m:r>
                    <w:rPr>
                      <w:rFonts w:ascii="Cambria Math" w:hAnsi="Cambria Math" w:cs="Times New Roman"/>
                      <w:sz w:val="24"/>
                      <w:szCs w:val="24"/>
                    </w:rPr>
                    <m:t>x</m:t>
                  </m:r>
                </m:sub>
              </m:sSub>
            </m:num>
            <m:den>
              <m:nary>
                <m:naryPr>
                  <m:chr m:val="∑"/>
                  <m:limLoc m:val="subSup"/>
                  <m:ctrlPr>
                    <w:rPr>
                      <w:rFonts w:ascii="Cambria Math" w:hAnsi="Cambria Math" w:cs="Times New Roman"/>
                      <w:i/>
                      <w:sz w:val="24"/>
                      <w:szCs w:val="24"/>
                    </w:rPr>
                  </m:ctrlPr>
                </m:naryPr>
                <m:sub>
                  <m:r>
                    <w:rPr>
                      <w:rFonts w:ascii="Cambria Math" w:hAnsi="Cambria Math" w:cs="Times New Roman"/>
                      <w:sz w:val="24"/>
                      <w:szCs w:val="24"/>
                    </w:rPr>
                    <m:t>t=0</m:t>
                  </m:r>
                </m:sub>
                <m:sup>
                  <m:r>
                    <w:rPr>
                      <w:rFonts w:ascii="Cambria Math" w:hAnsi="Cambria Math" w:cs="Times New Roman"/>
                      <w:sz w:val="24"/>
                      <w:szCs w:val="24"/>
                    </w:rPr>
                    <m:t>T</m:t>
                  </m:r>
                </m:sup>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t+1</m:t>
                          </m:r>
                        </m:e>
                      </m:d>
                    </m:sup>
                  </m:sSup>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x:x+t+1</m:t>
                          </m:r>
                        </m:sub>
                        <m:sup>
                          <m:r>
                            <w:rPr>
                              <w:rFonts w:ascii="Cambria Math" w:hAnsi="Cambria Math" w:cs="Times New Roman"/>
                              <w:sz w:val="24"/>
                              <w:szCs w:val="24"/>
                            </w:rPr>
                            <m:t>i3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x:x+t</m:t>
                          </m:r>
                        </m:sub>
                        <m:sup>
                          <m:r>
                            <w:rPr>
                              <w:rFonts w:ascii="Cambria Math" w:hAnsi="Cambria Math" w:cs="Times New Roman"/>
                              <w:sz w:val="24"/>
                              <w:szCs w:val="24"/>
                            </w:rPr>
                            <m:t>i3</m:t>
                          </m:r>
                        </m:sup>
                      </m:sSubSup>
                    </m:e>
                  </m:d>
                </m:e>
              </m:nary>
            </m:den>
          </m:f>
        </m:oMath>
      </m:oMathPara>
    </w:p>
    <w:p w14:paraId="1DAB1B8C" w14:textId="271633D5" w:rsidR="0011324C" w:rsidRPr="005954EB" w:rsidRDefault="00716348" w:rsidP="009B2821">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The</w:t>
      </w:r>
      <w:r w:rsidR="00444F3A" w:rsidRPr="0001491C">
        <w:rPr>
          <w:rFonts w:ascii="Times New Roman" w:hAnsi="Times New Roman" w:cs="Times New Roman"/>
          <w:sz w:val="24"/>
          <w:szCs w:val="24"/>
        </w:rPr>
        <w:t xml:space="preserve"> remaining liquid wealth can be allocated to an external investment vehicle with two options:</w:t>
      </w:r>
      <w:r w:rsidR="0011324C" w:rsidRPr="0001491C">
        <w:rPr>
          <w:rFonts w:ascii="Times New Roman" w:hAnsi="Times New Roman" w:cs="Times New Roman"/>
          <w:sz w:val="24"/>
          <w:szCs w:val="24"/>
        </w:rPr>
        <w:t xml:space="preserve"> a risky asset and a risk</w:t>
      </w:r>
      <w:r w:rsidR="009E1EAB" w:rsidRPr="0001491C">
        <w:rPr>
          <w:rFonts w:ascii="Times New Roman" w:hAnsi="Times New Roman" w:cs="Times New Roman"/>
          <w:sz w:val="24"/>
          <w:szCs w:val="24"/>
        </w:rPr>
        <w:t>less</w:t>
      </w:r>
      <w:r w:rsidR="0011324C" w:rsidRPr="0001491C">
        <w:rPr>
          <w:rFonts w:ascii="Times New Roman" w:hAnsi="Times New Roman" w:cs="Times New Roman"/>
          <w:sz w:val="24"/>
          <w:szCs w:val="24"/>
        </w:rPr>
        <w:t xml:space="preserve"> asset. Denote </w:t>
      </w:r>
      <m:oMath>
        <m:sSub>
          <m:sSubPr>
            <m:ctrlPr>
              <w:rPr>
                <w:rFonts w:ascii="Cambria Math" w:hAnsi="Cambria Math" w:cs="Times New Roman"/>
                <w:sz w:val="24"/>
                <w:szCs w:val="24"/>
              </w:rPr>
            </m:ctrlPr>
          </m:sSubPr>
          <m:e>
            <m:r>
              <w:rPr>
                <w:rFonts w:ascii="Cambria Math" w:hAnsi="Cambria Math" w:cs="Times New Roman"/>
                <w:sz w:val="24"/>
                <w:szCs w:val="24"/>
              </w:rPr>
              <m:t>ω</m:t>
            </m:r>
          </m:e>
          <m:sub>
            <m:r>
              <w:rPr>
                <w:rFonts w:ascii="Cambria Math" w:hAnsi="Cambria Math" w:cs="Times New Roman"/>
                <w:sz w:val="24"/>
                <w:szCs w:val="24"/>
              </w:rPr>
              <m:t>t</m:t>
            </m:r>
          </m:sub>
        </m:sSub>
      </m:oMath>
      <w:r w:rsidR="00192B77" w:rsidRPr="0001491C">
        <w:rPr>
          <w:rFonts w:ascii="Times New Roman" w:hAnsi="Times New Roman" w:cs="Times New Roman"/>
          <w:sz w:val="24"/>
          <w:szCs w:val="24"/>
        </w:rPr>
        <w:t xml:space="preserve"> </w:t>
      </w:r>
      <w:r w:rsidR="0011324C" w:rsidRPr="0001491C">
        <w:rPr>
          <w:rFonts w:ascii="Times New Roman" w:hAnsi="Times New Roman" w:cs="Times New Roman"/>
          <w:sz w:val="24"/>
          <w:szCs w:val="24"/>
        </w:rPr>
        <w:t>the proportion of liquid wealth that is investe</w:t>
      </w:r>
      <w:r w:rsidR="00192B77" w:rsidRPr="0001491C">
        <w:rPr>
          <w:rFonts w:ascii="Times New Roman" w:hAnsi="Times New Roman" w:cs="Times New Roman"/>
          <w:sz w:val="24"/>
          <w:szCs w:val="24"/>
        </w:rPr>
        <w:t xml:space="preserve">d in the risky asset at time </w:t>
      </w:r>
      <w:r w:rsidR="00192B77" w:rsidRPr="0001491C">
        <w:rPr>
          <w:rFonts w:ascii="Times New Roman" w:hAnsi="Times New Roman" w:cs="Times New Roman"/>
          <w:i/>
          <w:sz w:val="24"/>
          <w:szCs w:val="24"/>
        </w:rPr>
        <w:t>t</w:t>
      </w:r>
      <w:r w:rsidR="0011324C" w:rsidRPr="0001491C">
        <w:rPr>
          <w:rFonts w:ascii="Times New Roman" w:hAnsi="Times New Roman" w:cs="Times New Roman"/>
          <w:sz w:val="24"/>
          <w:szCs w:val="24"/>
        </w:rPr>
        <w:t xml:space="preserve">. Then the proportion of liquid wealth invested </w:t>
      </w:r>
      <w:r w:rsidR="00FC562D" w:rsidRPr="0001491C">
        <w:rPr>
          <w:rFonts w:ascii="Times New Roman" w:hAnsi="Times New Roman" w:cs="Times New Roman"/>
          <w:sz w:val="24"/>
          <w:szCs w:val="24"/>
        </w:rPr>
        <w:t xml:space="preserve">in </w:t>
      </w:r>
      <w:r w:rsidR="0011324C" w:rsidRPr="0001491C">
        <w:rPr>
          <w:rFonts w:ascii="Times New Roman" w:hAnsi="Times New Roman" w:cs="Times New Roman"/>
          <w:sz w:val="24"/>
          <w:szCs w:val="24"/>
        </w:rPr>
        <w:t>the risk</w:t>
      </w:r>
      <w:r w:rsidR="009E1EAB" w:rsidRPr="0001491C">
        <w:rPr>
          <w:rFonts w:ascii="Times New Roman" w:hAnsi="Times New Roman" w:cs="Times New Roman"/>
          <w:sz w:val="24"/>
          <w:szCs w:val="24"/>
        </w:rPr>
        <w:t>less</w:t>
      </w:r>
      <w:r w:rsidR="0011324C" w:rsidRPr="0001491C">
        <w:rPr>
          <w:rFonts w:ascii="Times New Roman" w:hAnsi="Times New Roman" w:cs="Times New Roman"/>
          <w:sz w:val="24"/>
          <w:szCs w:val="24"/>
        </w:rPr>
        <w:t xml:space="preserve"> asset </w:t>
      </w:r>
      <w:proofErr w:type="gramStart"/>
      <w:r w:rsidR="0011324C" w:rsidRPr="0001491C">
        <w:rPr>
          <w:rFonts w:ascii="Times New Roman" w:hAnsi="Times New Roman" w:cs="Times New Roman"/>
          <w:sz w:val="24"/>
          <w:szCs w:val="24"/>
        </w:rPr>
        <w:t xml:space="preserve">is </w:t>
      </w:r>
      <w:proofErr w:type="gramEnd"/>
      <m:oMath>
        <m:r>
          <m:rPr>
            <m:sty m:val="p"/>
          </m:rP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ω</m:t>
            </m:r>
          </m:e>
          <m:sub>
            <m:r>
              <w:rPr>
                <w:rFonts w:ascii="Cambria Math" w:hAnsi="Cambria Math" w:cs="Times New Roman"/>
                <w:sz w:val="24"/>
                <w:szCs w:val="24"/>
              </w:rPr>
              <m:t>t</m:t>
            </m:r>
          </m:sub>
        </m:sSub>
      </m:oMath>
      <w:r w:rsidR="0011324C" w:rsidRPr="0001491C">
        <w:rPr>
          <w:rFonts w:ascii="Times New Roman" w:hAnsi="Times New Roman" w:cs="Times New Roman"/>
          <w:sz w:val="24"/>
          <w:szCs w:val="24"/>
        </w:rPr>
        <w:t xml:space="preserve">. </w:t>
      </w:r>
      <w:r w:rsidR="009B2821">
        <w:rPr>
          <w:rFonts w:ascii="Times New Roman" w:hAnsi="Times New Roman" w:cs="Times New Roman"/>
          <w:sz w:val="24"/>
          <w:szCs w:val="24"/>
        </w:rPr>
        <w:t>The retiree can allocate her</w:t>
      </w:r>
      <w:r w:rsidR="001A51A3" w:rsidRPr="0001491C">
        <w:rPr>
          <w:rFonts w:ascii="Times New Roman" w:hAnsi="Times New Roman" w:cs="Times New Roman"/>
          <w:sz w:val="24"/>
          <w:szCs w:val="24"/>
        </w:rPr>
        <w:t xml:space="preserve"> wealth freely between the risky and riskless accounts periodically to maximize the </w:t>
      </w:r>
      <w:r w:rsidR="0041458F" w:rsidRPr="0001491C">
        <w:rPr>
          <w:rFonts w:ascii="Times New Roman" w:hAnsi="Times New Roman" w:cs="Times New Roman"/>
          <w:sz w:val="24"/>
          <w:szCs w:val="24"/>
        </w:rPr>
        <w:t xml:space="preserve">household’s utility level. </w:t>
      </w:r>
      <w:r w:rsidR="0011324C" w:rsidRPr="0001491C">
        <w:rPr>
          <w:rFonts w:ascii="Times New Roman" w:hAnsi="Times New Roman" w:cs="Times New Roman"/>
          <w:sz w:val="24"/>
          <w:szCs w:val="24"/>
        </w:rPr>
        <w:t>We further assume</w:t>
      </w:r>
      <w:r w:rsidR="00FC562D" w:rsidRPr="0001491C">
        <w:rPr>
          <w:rFonts w:ascii="Times New Roman" w:hAnsi="Times New Roman" w:cs="Times New Roman"/>
          <w:sz w:val="24"/>
          <w:szCs w:val="24"/>
        </w:rPr>
        <w:t xml:space="preserve"> the riskless </w:t>
      </w:r>
      <w:r w:rsidR="009E1EAB" w:rsidRPr="0001491C">
        <w:rPr>
          <w:rFonts w:ascii="Times New Roman" w:hAnsi="Times New Roman" w:cs="Times New Roman"/>
          <w:sz w:val="24"/>
          <w:szCs w:val="24"/>
        </w:rPr>
        <w:t>asset grows at a risk</w:t>
      </w:r>
      <w:r w:rsidR="00FC562D" w:rsidRPr="0001491C">
        <w:rPr>
          <w:rFonts w:ascii="Times New Roman" w:hAnsi="Times New Roman" w:cs="Times New Roman"/>
          <w:sz w:val="24"/>
          <w:szCs w:val="24"/>
        </w:rPr>
        <w:t xml:space="preserve"> free</w:t>
      </w:r>
      <w:r w:rsidR="009E1EAB" w:rsidRPr="0001491C">
        <w:rPr>
          <w:rFonts w:ascii="Times New Roman" w:hAnsi="Times New Roman" w:cs="Times New Roman"/>
          <w:sz w:val="24"/>
          <w:szCs w:val="24"/>
        </w:rPr>
        <w:t xml:space="preserve"> rate </w:t>
      </w:r>
      <w:r w:rsidR="009E1EAB" w:rsidRPr="0001491C">
        <w:rPr>
          <w:rFonts w:ascii="Times New Roman" w:hAnsi="Times New Roman" w:cs="Times New Roman"/>
          <w:i/>
          <w:sz w:val="24"/>
          <w:szCs w:val="24"/>
        </w:rPr>
        <w:t>r</w:t>
      </w:r>
      <w:r w:rsidR="009E1EAB" w:rsidRPr="0001491C">
        <w:rPr>
          <w:rFonts w:ascii="Times New Roman" w:hAnsi="Times New Roman" w:cs="Times New Roman"/>
          <w:sz w:val="24"/>
          <w:szCs w:val="24"/>
        </w:rPr>
        <w:t xml:space="preserve"> and</w:t>
      </w:r>
      <w:r w:rsidR="0011324C" w:rsidRPr="0001491C">
        <w:rPr>
          <w:rFonts w:ascii="Times New Roman" w:hAnsi="Times New Roman" w:cs="Times New Roman"/>
          <w:sz w:val="24"/>
          <w:szCs w:val="24"/>
        </w:rPr>
        <w:t xml:space="preserve"> the risky asset price follows a Geometric Brownian motion. Therefore </w:t>
      </w:r>
      <w:r w:rsidR="00192B77" w:rsidRPr="0001491C">
        <w:rPr>
          <w:rFonts w:ascii="Times New Roman" w:hAnsi="Times New Roman" w:cs="Times New Roman"/>
          <w:sz w:val="24"/>
          <w:szCs w:val="24"/>
        </w:rPr>
        <w:t>the return on the risky asset</w:t>
      </w:r>
      <w:proofErr w:type="gramStart"/>
      <w:r w:rsidR="00192B77" w:rsidRPr="0001491C">
        <w:rPr>
          <w:rFonts w:ascii="Times New Roman" w:hAnsi="Times New Roman" w:cs="Times New Roman"/>
          <w:sz w:val="24"/>
          <w:szCs w:val="24"/>
        </w:rPr>
        <w:t xml:space="preserve">, </w:t>
      </w:r>
      <w:proofErr w:type="gramEnd"/>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oMath>
      <w:r w:rsidR="0011324C" w:rsidRPr="0001491C">
        <w:rPr>
          <w:rFonts w:ascii="Times New Roman" w:hAnsi="Times New Roman" w:cs="Times New Roman"/>
          <w:sz w:val="24"/>
          <w:szCs w:val="24"/>
        </w:rPr>
        <w:t xml:space="preserve">, is normally distributed with mean </w:t>
      </w:r>
      <m:oMath>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R</m:t>
            </m:r>
          </m:sub>
        </m:sSub>
        <m:r>
          <w:rPr>
            <w:rFonts w:ascii="Cambria Math" w:hAnsi="Cambria Math" w:cs="Times New Roman"/>
            <w:sz w:val="24"/>
            <w:szCs w:val="24"/>
          </w:rPr>
          <m:t xml:space="preserve"> </m:t>
        </m:r>
      </m:oMath>
      <w:r w:rsidR="0011324C" w:rsidRPr="0001491C">
        <w:rPr>
          <w:rFonts w:ascii="Times New Roman" w:hAnsi="Times New Roman" w:cs="Times New Roman"/>
          <w:sz w:val="24"/>
          <w:szCs w:val="24"/>
        </w:rPr>
        <w:t xml:space="preserve">and standard deviation </w:t>
      </w:r>
      <m:oMath>
        <m:sSub>
          <m:sSubPr>
            <m:ctrlPr>
              <w:rPr>
                <w:rFonts w:ascii="Cambria Math" w:hAnsi="Cambria Math" w:cs="Times New Roman"/>
                <w:sz w:val="24"/>
                <w:szCs w:val="24"/>
              </w:rPr>
            </m:ctrlPr>
          </m:sSubPr>
          <m:e>
            <m:r>
              <w:rPr>
                <w:rFonts w:ascii="Cambria Math" w:hAnsi="Cambria Math" w:cs="Times New Roman"/>
                <w:sz w:val="24"/>
                <w:szCs w:val="24"/>
              </w:rPr>
              <m:t>σ</m:t>
            </m:r>
          </m:e>
          <m:sub>
            <m:r>
              <w:rPr>
                <w:rFonts w:ascii="Cambria Math" w:hAnsi="Cambria Math" w:cs="Times New Roman"/>
                <w:sz w:val="24"/>
                <w:szCs w:val="24"/>
              </w:rPr>
              <m:t>R</m:t>
            </m:r>
          </m:sub>
        </m:sSub>
      </m:oMath>
      <w:r w:rsidR="0011324C" w:rsidRPr="0001491C">
        <w:rPr>
          <w:rFonts w:ascii="Times New Roman" w:hAnsi="Times New Roman" w:cs="Times New Roman"/>
          <w:sz w:val="24"/>
          <w:szCs w:val="24"/>
        </w:rPr>
        <w:t>, i.e.,</w:t>
      </w:r>
      <w:r w:rsidR="00192B77" w:rsidRPr="0001491C">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sz w:val="24"/>
            <w:szCs w:val="24"/>
          </w:rPr>
          <m:t>~N(</m:t>
        </m:r>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R</m:t>
            </m:r>
          </m:sub>
        </m:sSub>
        <m: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w:rPr>
                <w:rFonts w:ascii="Cambria Math" w:hAnsi="Cambria Math" w:cs="Times New Roman"/>
                <w:sz w:val="24"/>
                <w:szCs w:val="24"/>
              </w:rPr>
              <m:t>R</m:t>
            </m:r>
          </m:sub>
          <m:sup>
            <m:r>
              <w:rPr>
                <w:rFonts w:ascii="Cambria Math" w:hAnsi="Cambria Math" w:cs="Times New Roman"/>
                <w:sz w:val="24"/>
                <w:szCs w:val="24"/>
              </w:rPr>
              <m:t>2</m:t>
            </m:r>
          </m:sup>
        </m:sSubSup>
        <m:r>
          <w:rPr>
            <w:rFonts w:ascii="Cambria Math" w:hAnsi="Cambria Math" w:cs="Times New Roman"/>
            <w:sz w:val="24"/>
            <w:szCs w:val="24"/>
          </w:rPr>
          <m:t>)</m:t>
        </m:r>
      </m:oMath>
      <w:r w:rsidR="0011324C" w:rsidRPr="0001491C">
        <w:rPr>
          <w:rFonts w:ascii="Times New Roman" w:hAnsi="Times New Roman" w:cs="Times New Roman"/>
          <w:sz w:val="24"/>
          <w:szCs w:val="24"/>
        </w:rPr>
        <w:t>.</w:t>
      </w:r>
      <w:r w:rsidR="009E1EAB" w:rsidRPr="0001491C">
        <w:rPr>
          <w:rFonts w:ascii="Times New Roman" w:hAnsi="Times New Roman" w:cs="Times New Roman"/>
          <w:sz w:val="24"/>
          <w:szCs w:val="24"/>
        </w:rPr>
        <w:t xml:space="preserve"> </w:t>
      </w:r>
    </w:p>
    <w:p w14:paraId="484C8949" w14:textId="7EF31C92" w:rsidR="00444F3A" w:rsidRPr="0001491C" w:rsidRDefault="005954EB" w:rsidP="000149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2.5. </w:t>
      </w:r>
      <w:r w:rsidR="00372CC7" w:rsidRPr="0001491C">
        <w:rPr>
          <w:rFonts w:ascii="Times New Roman" w:hAnsi="Times New Roman" w:cs="Times New Roman"/>
          <w:b/>
          <w:sz w:val="24"/>
          <w:szCs w:val="24"/>
        </w:rPr>
        <w:t>Optimization Problem (Objective Function)</w:t>
      </w:r>
    </w:p>
    <w:p w14:paraId="3B3B994A" w14:textId="77777777" w:rsidR="00A20A7A" w:rsidRPr="0001491C" w:rsidRDefault="00372CC7" w:rsidP="005954EB">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 xml:space="preserve">Based on the above setting, the utility maximization problem of an </w:t>
      </w:r>
      <w:r w:rsidRPr="0001491C">
        <w:rPr>
          <w:rFonts w:ascii="Times New Roman" w:hAnsi="Times New Roman" w:cs="Times New Roman"/>
          <w:i/>
          <w:sz w:val="24"/>
          <w:szCs w:val="24"/>
        </w:rPr>
        <w:t>x</w:t>
      </w:r>
      <w:r w:rsidRPr="0001491C">
        <w:rPr>
          <w:rFonts w:ascii="Times New Roman" w:hAnsi="Times New Roman" w:cs="Times New Roman"/>
          <w:sz w:val="24"/>
          <w:szCs w:val="24"/>
        </w:rPr>
        <w:t>-year-old individual currently in State 1 can be described in the following equation:</w:t>
      </w:r>
    </w:p>
    <w:p w14:paraId="4E72D42B" w14:textId="26425EE6" w:rsidR="00C041D9" w:rsidRPr="0001491C" w:rsidRDefault="008B0544" w:rsidP="0001491C">
      <w:pPr>
        <w:spacing w:after="0" w:line="480" w:lineRule="auto"/>
        <w:jc w:val="both"/>
        <w:rPr>
          <w:rFonts w:ascii="Times New Roman" w:hAnsi="Times New Roman" w:cs="Times New Roman"/>
          <w:sz w:val="24"/>
          <w:szCs w:val="24"/>
        </w:rPr>
      </w:pPr>
      <m:oMathPara>
        <m:oMath>
          <m:func>
            <m:funcPr>
              <m:ctrlPr>
                <w:rPr>
                  <w:rFonts w:ascii="Cambria Math" w:hAnsi="Cambria Math" w:cs="Times New Roman"/>
                  <w:sz w:val="24"/>
                  <w:szCs w:val="24"/>
                </w:rPr>
              </m:ctrlPr>
            </m:funcPr>
            <m:fName>
              <m:limLow>
                <m:limLowPr>
                  <m:ctrlPr>
                    <w:rPr>
                      <w:rFonts w:ascii="Cambria Math" w:hAnsi="Cambria Math" w:cs="Times New Roman"/>
                      <w:sz w:val="24"/>
                      <w:szCs w:val="24"/>
                    </w:rPr>
                  </m:ctrlPr>
                </m:limLowPr>
                <m:e>
                  <m:r>
                    <m:rPr>
                      <m:sty m:val="p"/>
                    </m:rPr>
                    <w:rPr>
                      <w:rFonts w:ascii="Cambria Math" w:hAnsi="Cambria Math" w:cs="Times New Roman"/>
                      <w:sz w:val="24"/>
                      <w:szCs w:val="24"/>
                    </w:rPr>
                    <m:t>max</m:t>
                  </m:r>
                </m:e>
                <m:lim>
                  <m:sSubSup>
                    <m:sSubSupPr>
                      <m:ctrlPr>
                        <w:rPr>
                          <w:rFonts w:ascii="Cambria Math" w:hAnsi="Cambria Math" w:cs="Times New Roman"/>
                          <w:i/>
                          <w:sz w:val="24"/>
                          <w:szCs w:val="24"/>
                        </w:rPr>
                      </m:ctrlPr>
                    </m:sSub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t</m:t>
                          </m:r>
                        </m:sub>
                      </m:sSub>
                      <m:r>
                        <w:rPr>
                          <w:rFonts w:ascii="Cambria Math" w:hAnsi="Cambria Math" w:cs="Times New Roman"/>
                          <w:sz w:val="24"/>
                          <w:szCs w:val="24"/>
                        </w:rPr>
                        <m:t>)</m:t>
                      </m:r>
                    </m:e>
                    <m:sub>
                      <m:r>
                        <w:rPr>
                          <w:rFonts w:ascii="Cambria Math" w:hAnsi="Cambria Math" w:cs="Times New Roman"/>
                          <w:sz w:val="24"/>
                          <w:szCs w:val="24"/>
                        </w:rPr>
                        <m:t>t=0</m:t>
                      </m:r>
                    </m:sub>
                    <m:sup>
                      <m:r>
                        <w:rPr>
                          <w:rFonts w:ascii="Cambria Math" w:hAnsi="Cambria Math" w:cs="Times New Roman"/>
                          <w:sz w:val="24"/>
                          <w:szCs w:val="24"/>
                        </w:rPr>
                        <m:t>T-1</m:t>
                      </m:r>
                    </m:sup>
                  </m:sSubSup>
                </m:lim>
              </m:limLow>
            </m:fName>
            <m:e>
              <m:d>
                <m:dPr>
                  <m:begChr m:val="{"/>
                  <m:endChr m:val="}"/>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t=0</m:t>
                      </m:r>
                    </m:sub>
                    <m:sup>
                      <m:r>
                        <w:rPr>
                          <w:rFonts w:ascii="Cambria Math" w:hAnsi="Cambria Math" w:cs="Times New Roman"/>
                          <w:sz w:val="24"/>
                          <w:szCs w:val="24"/>
                        </w:rPr>
                        <m:t>T-1</m:t>
                      </m:r>
                    </m:sup>
                    <m:e>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t</m:t>
                          </m:r>
                        </m:sup>
                      </m:sSup>
                      <m:r>
                        <w:rPr>
                          <w:rFonts w:ascii="Cambria Math" w:hAnsi="Cambria Math" w:cs="Times New Roman"/>
                          <w:sz w:val="24"/>
                          <w:szCs w:val="24"/>
                        </w:rPr>
                        <m:t>E</m:t>
                      </m:r>
                      <m:d>
                        <m:dPr>
                          <m:begChr m:val="["/>
                          <m:endChr m:val="]"/>
                          <m:ctrlPr>
                            <w:rPr>
                              <w:rFonts w:ascii="Cambria Math" w:hAnsi="Cambria Math" w:cs="Times New Roman"/>
                              <w:i/>
                              <w:sz w:val="24"/>
                              <w:szCs w:val="24"/>
                            </w:rPr>
                          </m:ctrlPr>
                        </m:dPr>
                        <m:e>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j≠3</m:t>
                              </m:r>
                            </m:sub>
                            <m:sup/>
                            <m:e>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x:x+t</m:t>
                                  </m:r>
                                </m:sub>
                                <m:sup>
                                  <m:r>
                                    <w:rPr>
                                      <w:rFonts w:ascii="Cambria Math" w:hAnsi="Cambria Math" w:cs="Times New Roman"/>
                                      <w:sz w:val="24"/>
                                      <w:szCs w:val="24"/>
                                    </w:rPr>
                                    <m:t>ij</m:t>
                                  </m:r>
                                </m:sup>
                              </m:sSubSup>
                              <m:r>
                                <w:rPr>
                                  <w:rFonts w:ascii="Cambria Math" w:hAnsi="Cambria Math" w:cs="Times New Roman"/>
                                  <w:sz w:val="24"/>
                                  <w:szCs w:val="24"/>
                                </w:rPr>
                                <m:t>U</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e>
                              </m:d>
                              <m:r>
                                <w:rPr>
                                  <w:rFonts w:ascii="Cambria Math" w:hAnsi="Cambria Math" w:cs="Times New Roman"/>
                                  <w:sz w:val="24"/>
                                  <w:szCs w:val="24"/>
                                </w:rPr>
                                <m:t>+</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x:x+t</m:t>
                                      </m:r>
                                    </m:sub>
                                    <m:sup>
                                      <m:r>
                                        <w:rPr>
                                          <w:rFonts w:ascii="Cambria Math" w:hAnsi="Cambria Math" w:cs="Times New Roman"/>
                                          <w:sz w:val="24"/>
                                          <w:szCs w:val="24"/>
                                        </w:rPr>
                                        <m:t>i3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x:x+t+1</m:t>
                                      </m:r>
                                    </m:sub>
                                    <m:sup>
                                      <m:r>
                                        <w:rPr>
                                          <w:rFonts w:ascii="Cambria Math" w:hAnsi="Cambria Math" w:cs="Times New Roman"/>
                                          <w:sz w:val="24"/>
                                          <w:szCs w:val="24"/>
                                        </w:rPr>
                                        <m:t>i3</m:t>
                                      </m:r>
                                    </m:sup>
                                  </m:sSubSup>
                                </m:e>
                              </m:d>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e>
                          </m:nary>
                        </m:e>
                      </m:d>
                    </m:e>
                  </m:nary>
                </m:e>
              </m:d>
              <m:r>
                <w:rPr>
                  <w:rFonts w:ascii="Cambria Math" w:hAnsi="Cambria Math" w:cs="Times New Roman"/>
                  <w:sz w:val="24"/>
                  <w:szCs w:val="24"/>
                </w:rPr>
                <m:t>,</m:t>
              </m:r>
            </m:e>
          </m:func>
        </m:oMath>
      </m:oMathPara>
    </w:p>
    <w:p w14:paraId="258366B0" w14:textId="2DDB9029" w:rsidR="00BC520C" w:rsidRPr="0001491C" w:rsidRDefault="00260CB4" w:rsidP="0001491C">
      <w:pPr>
        <w:spacing w:after="0" w:line="480" w:lineRule="auto"/>
        <w:jc w:val="both"/>
        <w:rPr>
          <w:rFonts w:ascii="Times New Roman" w:hAnsi="Times New Roman" w:cs="Times New Roman"/>
          <w:sz w:val="24"/>
          <w:szCs w:val="24"/>
        </w:rPr>
      </w:pPr>
      <w:proofErr w:type="gramStart"/>
      <w:r w:rsidRPr="0001491C">
        <w:rPr>
          <w:rFonts w:ascii="Times New Roman" w:hAnsi="Times New Roman" w:cs="Times New Roman"/>
          <w:sz w:val="24"/>
          <w:szCs w:val="24"/>
        </w:rPr>
        <w:t>w</w:t>
      </w:r>
      <w:r w:rsidR="0041458F" w:rsidRPr="0001491C">
        <w:rPr>
          <w:rFonts w:ascii="Times New Roman" w:hAnsi="Times New Roman" w:cs="Times New Roman"/>
          <w:sz w:val="24"/>
          <w:szCs w:val="24"/>
        </w:rPr>
        <w:t>here</w:t>
      </w:r>
      <w:proofErr w:type="gramEnd"/>
      <w:r w:rsidRPr="0001491C">
        <w:rPr>
          <w:rFonts w:ascii="Times New Roman" w:hAnsi="Times New Roman" w:cs="Times New Roman"/>
          <w:sz w:val="24"/>
          <w:szCs w:val="24"/>
        </w:rPr>
        <w:t xml:space="preserve"> </w:t>
      </w:r>
      <m:oMath>
        <m:r>
          <w:rPr>
            <w:rFonts w:ascii="Cambria Math" w:hAnsi="Cambria Math" w:cs="Times New Roman"/>
            <w:sz w:val="24"/>
            <w:szCs w:val="24"/>
          </w:rPr>
          <m:t>α</m:t>
        </m:r>
      </m:oMath>
      <w:r w:rsidRPr="0001491C">
        <w:rPr>
          <w:rFonts w:ascii="Times New Roman" w:hAnsi="Times New Roman" w:cs="Times New Roman"/>
          <w:sz w:val="24"/>
          <w:szCs w:val="24"/>
        </w:rPr>
        <w:t xml:space="preserve"> is the subjective discount parameter and </w:t>
      </w:r>
      <m:oMath>
        <m:sSub>
          <m:sSubPr>
            <m:ctrlPr>
              <w:rPr>
                <w:rFonts w:ascii="Cambria Math" w:hAnsi="Cambria Math" w:cs="Times New Roman"/>
                <w:sz w:val="24"/>
                <w:szCs w:val="24"/>
              </w:rPr>
            </m:ctrlPr>
          </m:sSubPr>
          <m:e>
            <m:r>
              <w:rPr>
                <w:rFonts w:ascii="Cambria Math" w:hAnsi="Cambria Math" w:cs="Times New Roman"/>
                <w:sz w:val="24"/>
                <w:szCs w:val="24"/>
              </w:rPr>
              <m:t>O</m:t>
            </m:r>
          </m:e>
          <m:sub>
            <m:r>
              <w:rPr>
                <w:rFonts w:ascii="Cambria Math" w:hAnsi="Cambria Math" w:cs="Times New Roman"/>
                <w:sz w:val="24"/>
                <w:szCs w:val="24"/>
              </w:rPr>
              <m:t>t</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ω</m:t>
                </m:r>
              </m:e>
              <m:sub>
                <m:r>
                  <w:rPr>
                    <w:rFonts w:ascii="Cambria Math" w:hAnsi="Cambria Math" w:cs="Times New Roman"/>
                    <w:sz w:val="24"/>
                    <w:szCs w:val="24"/>
                  </w:rPr>
                  <m:t>FA</m:t>
                </m:r>
              </m:sub>
            </m:sSub>
            <m: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PI,</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 ω</m:t>
                </m:r>
              </m:e>
              <m:sub>
                <m:r>
                  <w:rPr>
                    <w:rFonts w:ascii="Cambria Math" w:hAnsi="Cambria Math" w:cs="Times New Roman"/>
                    <w:sz w:val="24"/>
                    <w:szCs w:val="24"/>
                  </w:rPr>
                  <m:t>t</m:t>
                </m:r>
              </m:sub>
            </m:sSub>
          </m:e>
        </m:d>
      </m:oMath>
      <w:r w:rsidR="005913E5" w:rsidRPr="0001491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FA</m:t>
            </m:r>
          </m:sub>
        </m:sSub>
      </m:oMath>
      <w:r w:rsidR="005913E5" w:rsidRPr="0001491C">
        <w:rPr>
          <w:rFonts w:ascii="Times New Roman" w:hAnsi="Times New Roman" w:cs="Times New Roman"/>
          <w:sz w:val="24"/>
          <w:szCs w:val="24"/>
        </w:rPr>
        <w:t xml:space="preserve"> </w:t>
      </w:r>
      <w:proofErr w:type="gramStart"/>
      <w:r w:rsidR="005913E5" w:rsidRPr="0001491C">
        <w:rPr>
          <w:rFonts w:ascii="Times New Roman" w:hAnsi="Times New Roman" w:cs="Times New Roman"/>
          <w:sz w:val="24"/>
          <w:szCs w:val="24"/>
        </w:rPr>
        <w:t>and</w:t>
      </w:r>
      <w:proofErr w:type="gramEnd"/>
      <w:r w:rsidR="005913E5" w:rsidRPr="0001491C">
        <w:rPr>
          <w:rFonts w:ascii="Times New Roman" w:hAnsi="Times New Roman" w:cs="Times New Roman"/>
          <w:sz w:val="24"/>
          <w:szCs w:val="24"/>
        </w:rPr>
        <w:t xml:space="preserve"> </w:t>
      </w:r>
      <m:oMath>
        <m:r>
          <w:rPr>
            <w:rFonts w:ascii="Cambria Math" w:hAnsi="Cambria Math" w:cs="Times New Roman"/>
            <w:sz w:val="24"/>
            <w:szCs w:val="24"/>
          </w:rPr>
          <m:t>PI</m:t>
        </m:r>
      </m:oMath>
      <w:r w:rsidR="005913E5" w:rsidRPr="0001491C">
        <w:rPr>
          <w:rFonts w:ascii="Times New Roman" w:hAnsi="Times New Roman" w:cs="Times New Roman"/>
          <w:sz w:val="24"/>
          <w:szCs w:val="24"/>
        </w:rPr>
        <w:t xml:space="preserve"> are determined </w:t>
      </w:r>
      <w:r w:rsidR="002F09C2" w:rsidRPr="0001491C">
        <w:rPr>
          <w:rFonts w:ascii="Times New Roman" w:hAnsi="Times New Roman" w:cs="Times New Roman"/>
          <w:sz w:val="24"/>
          <w:szCs w:val="24"/>
        </w:rPr>
        <w:t xml:space="preserve">at </w:t>
      </w:r>
      <m:oMath>
        <m:r>
          <w:rPr>
            <w:rFonts w:ascii="Cambria Math" w:hAnsi="Cambria Math" w:cs="Times New Roman"/>
            <w:sz w:val="24"/>
            <w:szCs w:val="24"/>
          </w:rPr>
          <m:t>t</m:t>
        </m:r>
        <m:r>
          <m:rPr>
            <m:sty m:val="p"/>
          </m:rPr>
          <w:rPr>
            <w:rFonts w:ascii="Cambria Math" w:hAnsi="Cambria Math" w:cs="Times New Roman"/>
            <w:sz w:val="24"/>
            <w:szCs w:val="24"/>
          </w:rPr>
          <m:t>=0</m:t>
        </m:r>
      </m:oMath>
      <w:r w:rsidR="008230BA" w:rsidRPr="0001491C">
        <w:rPr>
          <w:rFonts w:ascii="Times New Roman" w:hAnsi="Times New Roman" w:cs="Times New Roman"/>
          <w:sz w:val="24"/>
          <w:szCs w:val="24"/>
        </w:rPr>
        <w:t xml:space="preserve">, which means the retiree will pay the premium for the </w:t>
      </w:r>
      <w:r w:rsidR="009B2821">
        <w:rPr>
          <w:rFonts w:ascii="Times New Roman" w:hAnsi="Times New Roman" w:cs="Times New Roman"/>
          <w:sz w:val="24"/>
          <w:szCs w:val="24"/>
        </w:rPr>
        <w:t xml:space="preserve">LTC </w:t>
      </w:r>
      <w:r w:rsidR="008230BA" w:rsidRPr="0001491C">
        <w:rPr>
          <w:rFonts w:ascii="Times New Roman" w:hAnsi="Times New Roman" w:cs="Times New Roman"/>
          <w:sz w:val="24"/>
          <w:szCs w:val="24"/>
        </w:rPr>
        <w:t xml:space="preserve">cost and put in money in the immediate fixed life annuities at </w:t>
      </w:r>
      <m:oMath>
        <m:r>
          <w:rPr>
            <w:rFonts w:ascii="Cambria Math" w:hAnsi="Cambria Math" w:cs="Times New Roman"/>
            <w:sz w:val="24"/>
            <w:szCs w:val="24"/>
          </w:rPr>
          <m:t>t</m:t>
        </m:r>
        <m:r>
          <m:rPr>
            <m:sty m:val="p"/>
          </m:rPr>
          <w:rPr>
            <w:rFonts w:ascii="Cambria Math" w:hAnsi="Cambria Math" w:cs="Times New Roman"/>
            <w:sz w:val="24"/>
            <w:szCs w:val="24"/>
          </w:rPr>
          <m:t>=0</m:t>
        </m:r>
      </m:oMath>
      <w:r w:rsidR="00BC520C" w:rsidRPr="0001491C">
        <w:rPr>
          <w:rFonts w:ascii="Times New Roman" w:hAnsi="Times New Roman" w:cs="Times New Roman"/>
          <w:sz w:val="24"/>
          <w:szCs w:val="24"/>
        </w:rPr>
        <w:t xml:space="preserve"> and the liquid wealth level will be deducted correspondingly by </w:t>
      </w:r>
      <m:oMath>
        <m:sSub>
          <m:sSubPr>
            <m:ctrlPr>
              <w:rPr>
                <w:rFonts w:ascii="Cambria Math" w:hAnsi="Cambria Math" w:cs="Times New Roman"/>
                <w:sz w:val="24"/>
                <w:szCs w:val="24"/>
              </w:rPr>
            </m:ctrlPr>
          </m:sSubPr>
          <m:e>
            <m:r>
              <w:rPr>
                <w:rFonts w:ascii="Cambria Math" w:hAnsi="Cambria Math" w:cs="Times New Roman"/>
                <w:sz w:val="24"/>
                <w:szCs w:val="24"/>
              </w:rPr>
              <m:t>ω</m:t>
            </m:r>
          </m:e>
          <m:sub>
            <m:r>
              <w:rPr>
                <w:rFonts w:ascii="Cambria Math" w:hAnsi="Cambria Math" w:cs="Times New Roman"/>
                <w:sz w:val="24"/>
                <w:szCs w:val="24"/>
              </w:rPr>
              <m:t>FA</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APL</m:t>
            </m:r>
          </m:e>
          <m:sub>
            <m:r>
              <w:rPr>
                <w:rFonts w:ascii="Cambria Math" w:hAnsi="Cambria Math" w:cs="Times New Roman"/>
                <w:sz w:val="24"/>
                <w:szCs w:val="24"/>
              </w:rPr>
              <m:t>x</m:t>
            </m:r>
          </m:sub>
        </m:sSub>
      </m:oMath>
      <w:r w:rsidR="00BC520C" w:rsidRPr="0001491C">
        <w:rPr>
          <w:rFonts w:ascii="Times New Roman" w:hAnsi="Times New Roman" w:cs="Times New Roman"/>
          <w:sz w:val="24"/>
          <w:szCs w:val="24"/>
        </w:rPr>
        <w:t>.</w:t>
      </w:r>
    </w:p>
    <w:p w14:paraId="73BA9679" w14:textId="1D72A0E0" w:rsidR="005954EB" w:rsidRDefault="005954EB" w:rsidP="005954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8230BA" w:rsidRPr="0001491C">
        <w:rPr>
          <w:rFonts w:ascii="Times New Roman" w:hAnsi="Times New Roman" w:cs="Times New Roman"/>
          <w:sz w:val="24"/>
          <w:szCs w:val="24"/>
        </w:rPr>
        <w:t>onsumption</w:t>
      </w:r>
      <w:r>
        <w:rPr>
          <w:rFonts w:ascii="Times New Roman" w:hAnsi="Times New Roman" w:cs="Times New Roman"/>
          <w:sz w:val="24"/>
          <w:szCs w:val="24"/>
        </w:rPr>
        <w:t xml:space="preserve"> at time </w:t>
      </w:r>
      <w:r w:rsidRPr="005954EB">
        <w:rPr>
          <w:rFonts w:ascii="Times New Roman" w:hAnsi="Times New Roman" w:cs="Times New Roman"/>
          <w:i/>
          <w:sz w:val="24"/>
          <w:szCs w:val="24"/>
        </w:rPr>
        <w:t>t</w:t>
      </w:r>
      <w:r>
        <w:rPr>
          <w:rFonts w:ascii="Times New Roman" w:hAnsi="Times New Roman" w:cs="Times New Roman"/>
          <w:sz w:val="24"/>
          <w:szCs w:val="24"/>
        </w:rPr>
        <w:t xml:space="preserve"> is given by the following equation</w:t>
      </w:r>
    </w:p>
    <w:p w14:paraId="3DCEA56D" w14:textId="2963E16A" w:rsidR="005954EB" w:rsidRDefault="008B0544" w:rsidP="005954EB">
      <w:pPr>
        <w:spacing w:after="0" w:line="48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w:rPr>
                <w:rFonts w:ascii="Cambria Math" w:hAnsi="Cambria Math" w:cs="Times New Roman"/>
                <w:sz w:val="24"/>
                <w:szCs w:val="24"/>
              </w:rPr>
              <m:t>c</m:t>
            </m:r>
          </m:e>
        </m:acc>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y</m:t>
            </m:r>
          </m:e>
          <m:sub>
            <m:r>
              <w:rPr>
                <w:rFonts w:ascii="Cambria Math" w:hAnsi="Cambria Math" w:cs="Times New Roman"/>
                <w:sz w:val="24"/>
                <w:szCs w:val="24"/>
              </w:rPr>
              <m:t>t</m:t>
            </m:r>
          </m:sub>
          <m:sup>
            <m:r>
              <w:rPr>
                <w:rFonts w:ascii="Cambria Math" w:hAnsi="Cambria Math" w:cs="Times New Roman"/>
                <w:sz w:val="24"/>
                <w:szCs w:val="24"/>
              </w:rPr>
              <m:t>i</m:t>
            </m:r>
          </m:sup>
        </m:sSub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1-</m:t>
            </m:r>
            <m:r>
              <w:rPr>
                <w:rFonts w:ascii="Cambria Math" w:hAnsi="Cambria Math" w:cs="Times New Roman"/>
                <w:sz w:val="24"/>
                <w:szCs w:val="24"/>
              </w:rPr>
              <m:t>PI</m:t>
            </m:r>
          </m:e>
        </m:d>
        <m:sSubSup>
          <m:sSubSupPr>
            <m:ctrlPr>
              <w:rPr>
                <w:rFonts w:ascii="Cambria Math" w:hAnsi="Cambria Math" w:cs="Times New Roman"/>
                <w:sz w:val="24"/>
                <w:szCs w:val="24"/>
              </w:rPr>
            </m:ctrlPr>
          </m:sSubSupPr>
          <m:e>
            <m:r>
              <w:rPr>
                <w:rFonts w:ascii="Cambria Math" w:hAnsi="Cambria Math" w:cs="Times New Roman"/>
                <w:sz w:val="24"/>
                <w:szCs w:val="24"/>
              </w:rPr>
              <m:t>LTC</m:t>
            </m:r>
          </m:e>
          <m:sub>
            <m:r>
              <w:rPr>
                <w:rFonts w:ascii="Cambria Math" w:hAnsi="Cambria Math" w:cs="Times New Roman"/>
                <w:sz w:val="24"/>
                <w:szCs w:val="24"/>
              </w:rPr>
              <m:t>t</m:t>
            </m:r>
          </m:sub>
          <m:sup>
            <m:r>
              <w:rPr>
                <w:rFonts w:ascii="Cambria Math" w:hAnsi="Cambria Math" w:cs="Times New Roman"/>
                <w:sz w:val="24"/>
                <w:szCs w:val="24"/>
              </w:rPr>
              <m:t>i</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w:r w:rsidR="005954EB">
        <w:rPr>
          <w:rFonts w:ascii="Times New Roman" w:hAnsi="Times New Roman" w:cs="Times New Roman"/>
          <w:sz w:val="24"/>
          <w:szCs w:val="24"/>
        </w:rPr>
        <w:t xml:space="preserve">, </w:t>
      </w:r>
    </w:p>
    <w:p w14:paraId="3D073665" w14:textId="198E90EB" w:rsidR="0041458F" w:rsidRPr="0001491C" w:rsidRDefault="005954EB" w:rsidP="009B2821">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means consumption at time </w:t>
      </w:r>
      <w:r w:rsidRPr="005954EB">
        <w:rPr>
          <w:rFonts w:ascii="Times New Roman" w:hAnsi="Times New Roman" w:cs="Times New Roman"/>
          <w:i/>
          <w:sz w:val="24"/>
          <w:szCs w:val="24"/>
        </w:rPr>
        <w:t>t</w:t>
      </w:r>
      <w:r>
        <w:rPr>
          <w:rFonts w:ascii="Times New Roman" w:hAnsi="Times New Roman" w:cs="Times New Roman"/>
          <w:sz w:val="24"/>
          <w:szCs w:val="24"/>
        </w:rPr>
        <w:t xml:space="preserve"> </w:t>
      </w:r>
      <w:r w:rsidR="005F0EB0" w:rsidRPr="0001491C">
        <w:rPr>
          <w:rFonts w:ascii="Times New Roman" w:hAnsi="Times New Roman" w:cs="Times New Roman"/>
          <w:sz w:val="24"/>
          <w:szCs w:val="24"/>
        </w:rPr>
        <w:t>equals pension income (</w:t>
      </w:r>
      <m:oMath>
        <m:sSubSup>
          <m:sSubSupPr>
            <m:ctrlPr>
              <w:rPr>
                <w:rFonts w:ascii="Cambria Math" w:hAnsi="Cambria Math" w:cs="Times New Roman"/>
                <w:sz w:val="24"/>
                <w:szCs w:val="24"/>
              </w:rPr>
            </m:ctrlPr>
          </m:sSubSupPr>
          <m:e>
            <m:r>
              <w:rPr>
                <w:rFonts w:ascii="Cambria Math" w:hAnsi="Cambria Math" w:cs="Times New Roman"/>
                <w:sz w:val="24"/>
                <w:szCs w:val="24"/>
              </w:rPr>
              <m:t>y</m:t>
            </m:r>
          </m:e>
          <m:sub>
            <m:r>
              <w:rPr>
                <w:rFonts w:ascii="Cambria Math" w:hAnsi="Cambria Math" w:cs="Times New Roman"/>
                <w:sz w:val="24"/>
                <w:szCs w:val="24"/>
              </w:rPr>
              <m:t>t</m:t>
            </m:r>
          </m:sub>
          <m:sup>
            <m:r>
              <w:rPr>
                <w:rFonts w:ascii="Cambria Math" w:hAnsi="Cambria Math" w:cs="Times New Roman"/>
                <w:sz w:val="24"/>
                <w:szCs w:val="24"/>
              </w:rPr>
              <m:t>i</m:t>
            </m:r>
          </m:sup>
        </m:sSubSup>
      </m:oMath>
      <w:r w:rsidR="00AB14E0" w:rsidRPr="0001491C">
        <w:rPr>
          <w:rFonts w:ascii="Times New Roman" w:hAnsi="Times New Roman" w:cs="Times New Roman"/>
          <w:sz w:val="24"/>
          <w:szCs w:val="24"/>
        </w:rPr>
        <w:t xml:space="preserve">, pension income at state </w:t>
      </w:r>
      <w:proofErr w:type="spellStart"/>
      <w:r w:rsidR="00AB14E0" w:rsidRPr="0001491C">
        <w:rPr>
          <w:rFonts w:ascii="Times New Roman" w:hAnsi="Times New Roman" w:cs="Times New Roman"/>
          <w:i/>
          <w:sz w:val="24"/>
          <w:szCs w:val="24"/>
        </w:rPr>
        <w:t>i</w:t>
      </w:r>
      <w:proofErr w:type="spellEnd"/>
      <w:r w:rsidR="00AB14E0" w:rsidRPr="0001491C">
        <w:rPr>
          <w:rFonts w:ascii="Times New Roman" w:hAnsi="Times New Roman" w:cs="Times New Roman"/>
          <w:sz w:val="24"/>
          <w:szCs w:val="24"/>
        </w:rPr>
        <w:t xml:space="preserve"> during period </w:t>
      </w:r>
      <w:r w:rsidR="00AB14E0" w:rsidRPr="0001491C">
        <w:rPr>
          <w:rFonts w:ascii="Times New Roman" w:hAnsi="Times New Roman" w:cs="Times New Roman"/>
          <w:i/>
          <w:sz w:val="24"/>
          <w:szCs w:val="24"/>
        </w:rPr>
        <w:t>t</w:t>
      </w:r>
      <w:r w:rsidR="005F0EB0" w:rsidRPr="0001491C">
        <w:rPr>
          <w:rFonts w:ascii="Times New Roman" w:hAnsi="Times New Roman" w:cs="Times New Roman"/>
          <w:sz w:val="24"/>
          <w:szCs w:val="24"/>
        </w:rPr>
        <w:t>) plus periodic fixed annuity benefit (</w:t>
      </w:r>
      <m:oMath>
        <m:acc>
          <m:accPr>
            <m:chr m:val="̅"/>
            <m:ctrlPr>
              <w:rPr>
                <w:rFonts w:ascii="Cambria Math" w:hAnsi="Cambria Math" w:cs="Times New Roman"/>
                <w:i/>
                <w:sz w:val="24"/>
                <w:szCs w:val="24"/>
              </w:rPr>
            </m:ctrlPr>
          </m:accPr>
          <m:e>
            <m:r>
              <w:rPr>
                <w:rFonts w:ascii="Cambria Math" w:hAnsi="Cambria Math" w:cs="Times New Roman"/>
                <w:sz w:val="24"/>
                <w:szCs w:val="24"/>
              </w:rPr>
              <m:t>c</m:t>
            </m:r>
          </m:e>
        </m:acc>
      </m:oMath>
      <w:r w:rsidR="005F0EB0" w:rsidRPr="0001491C">
        <w:rPr>
          <w:rFonts w:ascii="Times New Roman" w:hAnsi="Times New Roman" w:cs="Times New Roman"/>
          <w:sz w:val="24"/>
          <w:szCs w:val="24"/>
        </w:rPr>
        <w:t>) m</w:t>
      </w:r>
      <w:proofErr w:type="spellStart"/>
      <w:r w:rsidR="00D73A6A" w:rsidRPr="0001491C">
        <w:rPr>
          <w:rFonts w:ascii="Times New Roman" w:hAnsi="Times New Roman" w:cs="Times New Roman"/>
          <w:sz w:val="24"/>
          <w:szCs w:val="24"/>
        </w:rPr>
        <w:t>inus</w:t>
      </w:r>
      <w:proofErr w:type="spellEnd"/>
      <w:r w:rsidR="00D73A6A" w:rsidRPr="0001491C">
        <w:rPr>
          <w:rFonts w:ascii="Times New Roman" w:hAnsi="Times New Roman" w:cs="Times New Roman"/>
          <w:sz w:val="24"/>
          <w:szCs w:val="24"/>
        </w:rPr>
        <w:t xml:space="preserve"> out-of-pocket </w:t>
      </w:r>
      <w:r w:rsidR="009B2821">
        <w:rPr>
          <w:rFonts w:ascii="Times New Roman" w:hAnsi="Times New Roman" w:cs="Times New Roman"/>
          <w:sz w:val="24"/>
          <w:szCs w:val="24"/>
        </w:rPr>
        <w:t xml:space="preserve">LTC </w:t>
      </w:r>
      <w:r w:rsidR="00D73A6A" w:rsidRPr="0001491C">
        <w:rPr>
          <w:rFonts w:ascii="Times New Roman" w:hAnsi="Times New Roman" w:cs="Times New Roman"/>
          <w:sz w:val="24"/>
          <w:szCs w:val="24"/>
        </w:rPr>
        <w:t xml:space="preserve">cost </w:t>
      </w:r>
      <w:r w:rsidR="005F0EB0" w:rsidRPr="0001491C">
        <w:rPr>
          <w:rFonts w:ascii="Times New Roman" w:hAnsi="Times New Roman" w:cs="Times New Roman"/>
          <w:sz w:val="24"/>
          <w:szCs w:val="24"/>
        </w:rPr>
        <w:t>(</w:t>
      </w:r>
      <m:oMath>
        <m:d>
          <m:dPr>
            <m:ctrlPr>
              <w:rPr>
                <w:rFonts w:ascii="Cambria Math" w:hAnsi="Cambria Math" w:cs="Times New Roman"/>
                <w:sz w:val="24"/>
                <w:szCs w:val="24"/>
              </w:rPr>
            </m:ctrlPr>
          </m:dPr>
          <m:e>
            <m:r>
              <m:rPr>
                <m:sty m:val="p"/>
              </m:rPr>
              <w:rPr>
                <w:rFonts w:ascii="Cambria Math" w:hAnsi="Cambria Math" w:cs="Times New Roman"/>
                <w:sz w:val="24"/>
                <w:szCs w:val="24"/>
              </w:rPr>
              <m:t>1-</m:t>
            </m:r>
            <m:r>
              <w:rPr>
                <w:rFonts w:ascii="Cambria Math" w:hAnsi="Cambria Math" w:cs="Times New Roman"/>
                <w:sz w:val="24"/>
                <w:szCs w:val="24"/>
              </w:rPr>
              <m:t>PI</m:t>
            </m:r>
          </m:e>
        </m:d>
        <m:sSubSup>
          <m:sSubSupPr>
            <m:ctrlPr>
              <w:rPr>
                <w:rFonts w:ascii="Cambria Math" w:hAnsi="Cambria Math" w:cs="Times New Roman"/>
                <w:sz w:val="24"/>
                <w:szCs w:val="24"/>
              </w:rPr>
            </m:ctrlPr>
          </m:sSubSupPr>
          <m:e>
            <m:r>
              <w:rPr>
                <w:rFonts w:ascii="Cambria Math" w:hAnsi="Cambria Math" w:cs="Times New Roman"/>
                <w:sz w:val="24"/>
                <w:szCs w:val="24"/>
              </w:rPr>
              <m:t>LTC</m:t>
            </m:r>
          </m:e>
          <m:sub>
            <m:r>
              <w:rPr>
                <w:rFonts w:ascii="Cambria Math" w:hAnsi="Cambria Math" w:cs="Times New Roman"/>
                <w:sz w:val="24"/>
                <w:szCs w:val="24"/>
              </w:rPr>
              <m:t>t</m:t>
            </m:r>
          </m:sub>
          <m:sup>
            <m:r>
              <w:rPr>
                <w:rFonts w:ascii="Cambria Math" w:hAnsi="Cambria Math" w:cs="Times New Roman"/>
                <w:sz w:val="24"/>
                <w:szCs w:val="24"/>
              </w:rPr>
              <m:t>i</m:t>
            </m:r>
          </m:sup>
        </m:sSubSup>
      </m:oMath>
      <w:r w:rsidR="005F0EB0" w:rsidRPr="0001491C">
        <w:rPr>
          <w:rFonts w:ascii="Times New Roman" w:hAnsi="Times New Roman" w:cs="Times New Roman"/>
          <w:sz w:val="24"/>
          <w:szCs w:val="24"/>
        </w:rPr>
        <w:t>) and periodic savings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w:r w:rsidR="005F0EB0" w:rsidRPr="0001491C">
        <w:rPr>
          <w:rFonts w:ascii="Times New Roman" w:hAnsi="Times New Roman" w:cs="Times New Roman"/>
          <w:sz w:val="24"/>
          <w:szCs w:val="24"/>
        </w:rPr>
        <w:t xml:space="preserve">). If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w:r w:rsidR="005F0EB0" w:rsidRPr="0001491C">
        <w:rPr>
          <w:rFonts w:ascii="Times New Roman" w:hAnsi="Times New Roman" w:cs="Times New Roman"/>
          <w:sz w:val="24"/>
          <w:szCs w:val="24"/>
        </w:rPr>
        <w:t xml:space="preserve"> is positive, the money will be put into the external investment vehicle and the retir</w:t>
      </w:r>
      <w:proofErr w:type="spellStart"/>
      <w:r w:rsidR="005F0EB0" w:rsidRPr="0001491C">
        <w:rPr>
          <w:rFonts w:ascii="Times New Roman" w:hAnsi="Times New Roman" w:cs="Times New Roman"/>
          <w:sz w:val="24"/>
          <w:szCs w:val="24"/>
        </w:rPr>
        <w:t>ee</w:t>
      </w:r>
      <w:proofErr w:type="spellEnd"/>
      <w:r w:rsidR="005F0EB0" w:rsidRPr="0001491C">
        <w:rPr>
          <w:rFonts w:ascii="Times New Roman" w:hAnsi="Times New Roman" w:cs="Times New Roman"/>
          <w:sz w:val="24"/>
          <w:szCs w:val="24"/>
        </w:rPr>
        <w:t xml:space="preserve"> will optimally allocate it between risky and riskless subaccounts. If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w:r w:rsidR="005F0EB0" w:rsidRPr="0001491C">
        <w:rPr>
          <w:rFonts w:ascii="Times New Roman" w:hAnsi="Times New Roman" w:cs="Times New Roman"/>
          <w:sz w:val="24"/>
          <w:szCs w:val="24"/>
        </w:rPr>
        <w:t xml:space="preserve"> is negative, the money will be withdrawn from the external investment vehicle.</w:t>
      </w:r>
    </w:p>
    <w:p w14:paraId="58BE8CF8" w14:textId="69083721" w:rsidR="00027D84" w:rsidRPr="0001491C" w:rsidRDefault="005954EB" w:rsidP="000149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2.6. </w:t>
      </w:r>
      <w:r w:rsidR="00A1776A" w:rsidRPr="0001491C">
        <w:rPr>
          <w:rFonts w:ascii="Times New Roman" w:hAnsi="Times New Roman" w:cs="Times New Roman"/>
          <w:b/>
          <w:sz w:val="24"/>
          <w:szCs w:val="24"/>
        </w:rPr>
        <w:t>Two-stage Bellman Equation</w:t>
      </w:r>
    </w:p>
    <w:p w14:paraId="2132DC7D" w14:textId="0D5A4A83" w:rsidR="002F09C2" w:rsidRPr="0001491C" w:rsidRDefault="005913E5" w:rsidP="005954EB">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 xml:space="preserve">We apply dynamic programming to derive the optimal time-varying consumption choice and allocations of portfolios during retirement. </w:t>
      </w:r>
      <w:r w:rsidR="00372CC7" w:rsidRPr="0001491C">
        <w:rPr>
          <w:rFonts w:ascii="Times New Roman" w:hAnsi="Times New Roman" w:cs="Times New Roman"/>
          <w:sz w:val="24"/>
          <w:szCs w:val="24"/>
        </w:rPr>
        <w:t xml:space="preserve">Following Gao and Ulm (2012), all state variables are denoted as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w:rPr>
                <w:rFonts w:ascii="Cambria Math" w:hAnsi="Cambria Math" w:cs="Times New Roman"/>
                <w:sz w:val="24"/>
                <w:szCs w:val="24"/>
              </w:rPr>
              <m:t>t-</m:t>
            </m:r>
          </m:sub>
        </m:sSub>
      </m:oMath>
      <w:r w:rsidR="00372CC7" w:rsidRPr="0001491C">
        <w:rPr>
          <w:rFonts w:ascii="Times New Roman" w:hAnsi="Times New Roman" w:cs="Times New Roman"/>
          <w:sz w:val="24"/>
          <w:szCs w:val="24"/>
        </w:rPr>
        <w:t xml:space="preserve"> </w:t>
      </w:r>
      <w:proofErr w:type="gramStart"/>
      <w:r w:rsidR="00CB3CE0" w:rsidRPr="0001491C">
        <w:rPr>
          <w:rFonts w:ascii="Times New Roman" w:hAnsi="Times New Roman" w:cs="Times New Roman"/>
          <w:sz w:val="24"/>
          <w:szCs w:val="24"/>
        </w:rPr>
        <w:t xml:space="preserve">and </w:t>
      </w:r>
      <w:proofErr w:type="gramEnd"/>
      <m:oMath>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w:rPr>
                <w:rFonts w:ascii="Cambria Math" w:hAnsi="Cambria Math" w:cs="Times New Roman"/>
                <w:sz w:val="24"/>
                <w:szCs w:val="24"/>
              </w:rPr>
              <m:t>t+</m:t>
            </m:r>
          </m:sub>
        </m:sSub>
      </m:oMath>
      <w:r w:rsidR="00CB3CE0" w:rsidRPr="0001491C">
        <w:rPr>
          <w:rFonts w:ascii="Times New Roman" w:hAnsi="Times New Roman" w:cs="Times New Roman"/>
          <w:sz w:val="24"/>
          <w:szCs w:val="24"/>
        </w:rPr>
        <w:t xml:space="preserve">, </w:t>
      </w:r>
      <w:r w:rsidR="00372CC7" w:rsidRPr="0001491C">
        <w:rPr>
          <w:rFonts w:ascii="Times New Roman" w:hAnsi="Times New Roman" w:cs="Times New Roman"/>
          <w:sz w:val="24"/>
          <w:szCs w:val="24"/>
        </w:rPr>
        <w:t>i.e.</w:t>
      </w:r>
      <w:r w:rsidR="009B2821">
        <w:rPr>
          <w:rFonts w:ascii="Times New Roman" w:hAnsi="Times New Roman" w:cs="Times New Roman"/>
          <w:sz w:val="24"/>
          <w:szCs w:val="24"/>
        </w:rPr>
        <w:t>,</w:t>
      </w:r>
      <w:r w:rsidR="00372CC7" w:rsidRPr="0001491C">
        <w:rPr>
          <w:rFonts w:ascii="Times New Roman" w:hAnsi="Times New Roman" w:cs="Times New Roman"/>
          <w:sz w:val="24"/>
          <w:szCs w:val="24"/>
        </w:rPr>
        <w:t xml:space="preserve"> the value immediately before and after the transactions at a discrete time </w:t>
      </w:r>
      <w:r w:rsidR="00CB3CE0" w:rsidRPr="0001491C">
        <w:rPr>
          <w:rFonts w:ascii="Times New Roman" w:hAnsi="Times New Roman" w:cs="Times New Roman"/>
          <w:i/>
          <w:sz w:val="24"/>
          <w:szCs w:val="24"/>
        </w:rPr>
        <w:t>t</w:t>
      </w:r>
      <w:r w:rsidR="00372CC7" w:rsidRPr="0001491C">
        <w:rPr>
          <w:rFonts w:ascii="Times New Roman" w:hAnsi="Times New Roman" w:cs="Times New Roman"/>
          <w:sz w:val="24"/>
          <w:szCs w:val="24"/>
        </w:rPr>
        <w:t>, respectively. The r</w:t>
      </w:r>
      <w:r w:rsidR="00CB3CE0" w:rsidRPr="0001491C">
        <w:rPr>
          <w:rFonts w:ascii="Times New Roman" w:hAnsi="Times New Roman" w:cs="Times New Roman"/>
          <w:sz w:val="24"/>
          <w:szCs w:val="24"/>
        </w:rPr>
        <w:t>etiree</w:t>
      </w:r>
      <w:r w:rsidR="00372CC7" w:rsidRPr="0001491C">
        <w:rPr>
          <w:rFonts w:ascii="Times New Roman" w:hAnsi="Times New Roman" w:cs="Times New Roman"/>
          <w:sz w:val="24"/>
          <w:szCs w:val="24"/>
        </w:rPr>
        <w:t xml:space="preserve"> receives </w:t>
      </w:r>
      <w:r w:rsidR="00CB3CE0" w:rsidRPr="0001491C">
        <w:rPr>
          <w:rFonts w:ascii="Times New Roman" w:hAnsi="Times New Roman" w:cs="Times New Roman"/>
          <w:sz w:val="24"/>
          <w:szCs w:val="24"/>
        </w:rPr>
        <w:t>pension</w:t>
      </w:r>
      <w:r w:rsidR="00372CC7" w:rsidRPr="0001491C">
        <w:rPr>
          <w:rFonts w:ascii="Times New Roman" w:hAnsi="Times New Roman" w:cs="Times New Roman"/>
          <w:sz w:val="24"/>
          <w:szCs w:val="24"/>
        </w:rPr>
        <w:t xml:space="preserve"> income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w:rPr>
                <w:rFonts w:ascii="Cambria Math" w:hAnsi="Cambria Math" w:cs="Times New Roman"/>
                <w:sz w:val="24"/>
                <w:szCs w:val="24"/>
              </w:rPr>
              <m:t>t</m:t>
            </m:r>
          </m:sub>
        </m:sSub>
      </m:oMath>
      <w:r w:rsidR="00CB3CE0" w:rsidRPr="0001491C">
        <w:rPr>
          <w:rFonts w:ascii="Times New Roman" w:hAnsi="Times New Roman" w:cs="Times New Roman"/>
          <w:sz w:val="24"/>
          <w:szCs w:val="24"/>
        </w:rPr>
        <w:t xml:space="preserve"> </w:t>
      </w:r>
      <w:r w:rsidR="00372CC7" w:rsidRPr="0001491C">
        <w:rPr>
          <w:rFonts w:ascii="Times New Roman" w:hAnsi="Times New Roman" w:cs="Times New Roman"/>
          <w:sz w:val="24"/>
          <w:szCs w:val="24"/>
        </w:rPr>
        <w:t xml:space="preserve"> </w:t>
      </w:r>
      <w:proofErr w:type="gramStart"/>
      <w:r w:rsidR="00372CC7" w:rsidRPr="0001491C">
        <w:rPr>
          <w:rFonts w:ascii="Times New Roman" w:hAnsi="Times New Roman" w:cs="Times New Roman"/>
          <w:sz w:val="24"/>
          <w:szCs w:val="24"/>
        </w:rPr>
        <w:t xml:space="preserve">at </w:t>
      </w:r>
      <w:proofErr w:type="gramEnd"/>
      <m:oMath>
        <m:sSup>
          <m:sSupPr>
            <m:ctrlPr>
              <w:rPr>
                <w:rFonts w:ascii="Cambria Math" w:hAnsi="Cambria Math" w:cs="Times New Roman"/>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oMath>
      <w:r w:rsidR="00372CC7" w:rsidRPr="0001491C">
        <w:rPr>
          <w:rFonts w:ascii="Times New Roman" w:hAnsi="Times New Roman" w:cs="Times New Roman"/>
          <w:sz w:val="24"/>
          <w:szCs w:val="24"/>
        </w:rPr>
        <w:t xml:space="preserve">. Still at </w:t>
      </w:r>
      <w:proofErr w:type="gramStart"/>
      <w:r w:rsidR="00372CC7" w:rsidRPr="0001491C">
        <w:rPr>
          <w:rFonts w:ascii="Times New Roman" w:hAnsi="Times New Roman" w:cs="Times New Roman"/>
          <w:sz w:val="24"/>
          <w:szCs w:val="24"/>
        </w:rPr>
        <w:t xml:space="preserve">time </w:t>
      </w:r>
      <w:proofErr w:type="gramEnd"/>
      <m:oMath>
        <m:sSup>
          <m:sSupPr>
            <m:ctrlPr>
              <w:rPr>
                <w:rFonts w:ascii="Cambria Math" w:hAnsi="Cambria Math" w:cs="Times New Roman"/>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oMath>
      <w:r w:rsidR="00372CC7" w:rsidRPr="0001491C">
        <w:rPr>
          <w:rFonts w:ascii="Times New Roman" w:hAnsi="Times New Roman" w:cs="Times New Roman"/>
          <w:sz w:val="24"/>
          <w:szCs w:val="24"/>
        </w:rPr>
        <w:t xml:space="preserve">, consumption and </w:t>
      </w:r>
      <w:r w:rsidR="00CB3CE0" w:rsidRPr="0001491C">
        <w:rPr>
          <w:rFonts w:ascii="Times New Roman" w:hAnsi="Times New Roman" w:cs="Times New Roman"/>
          <w:sz w:val="24"/>
          <w:szCs w:val="24"/>
        </w:rPr>
        <w:t>long term care cost payment</w:t>
      </w:r>
      <w:r w:rsidR="00372CC7" w:rsidRPr="0001491C">
        <w:rPr>
          <w:rFonts w:ascii="Times New Roman" w:hAnsi="Times New Roman" w:cs="Times New Roman"/>
          <w:sz w:val="24"/>
          <w:szCs w:val="24"/>
        </w:rPr>
        <w:t xml:space="preserve"> are made. </w:t>
      </w:r>
      <w:r w:rsidRPr="0001491C">
        <w:rPr>
          <w:rFonts w:ascii="Times New Roman" w:hAnsi="Times New Roman" w:cs="Times New Roman"/>
          <w:sz w:val="24"/>
          <w:szCs w:val="24"/>
        </w:rPr>
        <w:t xml:space="preserve">If the </w:t>
      </w:r>
      <w:r w:rsidRPr="0001491C">
        <w:rPr>
          <w:rFonts w:ascii="Times New Roman" w:hAnsi="Times New Roman" w:cs="Times New Roman"/>
          <w:sz w:val="24"/>
          <w:szCs w:val="24"/>
        </w:rPr>
        <w:lastRenderedPageBreak/>
        <w:t>retiree does not die, t</w:t>
      </w:r>
      <w:r w:rsidR="00372CC7" w:rsidRPr="0001491C">
        <w:rPr>
          <w:rFonts w:ascii="Times New Roman" w:hAnsi="Times New Roman" w:cs="Times New Roman"/>
          <w:sz w:val="24"/>
          <w:szCs w:val="24"/>
        </w:rPr>
        <w:t xml:space="preserve">hen the </w:t>
      </w:r>
      <w:r w:rsidR="00CB3CE0" w:rsidRPr="0001491C">
        <w:rPr>
          <w:rFonts w:ascii="Times New Roman" w:hAnsi="Times New Roman" w:cs="Times New Roman"/>
          <w:sz w:val="24"/>
          <w:szCs w:val="24"/>
        </w:rPr>
        <w:t>retiree</w:t>
      </w:r>
      <w:r w:rsidR="00372CC7" w:rsidRPr="0001491C">
        <w:rPr>
          <w:rFonts w:ascii="Times New Roman" w:hAnsi="Times New Roman" w:cs="Times New Roman"/>
          <w:sz w:val="24"/>
          <w:szCs w:val="24"/>
        </w:rPr>
        <w:t xml:space="preserve"> determines the investment allocation decision between the fixed and the variable subaccounts </w:t>
      </w:r>
      <w:proofErr w:type="gramStart"/>
      <w:r w:rsidR="00372CC7" w:rsidRPr="0001491C">
        <w:rPr>
          <w:rFonts w:ascii="Times New Roman" w:hAnsi="Times New Roman" w:cs="Times New Roman"/>
          <w:sz w:val="24"/>
          <w:szCs w:val="24"/>
        </w:rPr>
        <w:t>at</w:t>
      </w:r>
      <w:r w:rsidR="00CB3CE0" w:rsidRPr="0001491C">
        <w:rPr>
          <w:rFonts w:ascii="Times New Roman" w:hAnsi="Times New Roman" w:cs="Times New Roman"/>
          <w:sz w:val="24"/>
          <w:szCs w:val="24"/>
        </w:rPr>
        <w:t xml:space="preserve"> </w:t>
      </w:r>
      <w:proofErr w:type="gramEnd"/>
      <m:oMath>
        <m:sSup>
          <m:sSupPr>
            <m:ctrlPr>
              <w:rPr>
                <w:rFonts w:ascii="Cambria Math" w:hAnsi="Cambria Math" w:cs="Times New Roman"/>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oMath>
      <w:r w:rsidR="00372CC7" w:rsidRPr="0001491C">
        <w:rPr>
          <w:rFonts w:ascii="Times New Roman" w:hAnsi="Times New Roman" w:cs="Times New Roman"/>
          <w:sz w:val="24"/>
          <w:szCs w:val="24"/>
        </w:rPr>
        <w:t xml:space="preserve">, which is still at time </w:t>
      </w:r>
      <w:r w:rsidR="00CB3CE0" w:rsidRPr="0001491C">
        <w:rPr>
          <w:rFonts w:ascii="Times New Roman" w:hAnsi="Times New Roman" w:cs="Times New Roman"/>
          <w:i/>
          <w:sz w:val="24"/>
          <w:szCs w:val="24"/>
        </w:rPr>
        <w:t>t</w:t>
      </w:r>
      <w:r w:rsidR="00372CC7" w:rsidRPr="0001491C">
        <w:rPr>
          <w:rFonts w:ascii="Times New Roman" w:hAnsi="Times New Roman" w:cs="Times New Roman"/>
          <w:sz w:val="24"/>
          <w:szCs w:val="24"/>
        </w:rPr>
        <w:t xml:space="preserve"> but after he obtains </w:t>
      </w:r>
      <w:r w:rsidR="00CB3CE0" w:rsidRPr="0001491C">
        <w:rPr>
          <w:rFonts w:ascii="Times New Roman" w:hAnsi="Times New Roman" w:cs="Times New Roman"/>
          <w:sz w:val="24"/>
          <w:szCs w:val="24"/>
        </w:rPr>
        <w:t xml:space="preserve">pension </w:t>
      </w:r>
      <w:r w:rsidR="00372CC7" w:rsidRPr="0001491C">
        <w:rPr>
          <w:rFonts w:ascii="Times New Roman" w:hAnsi="Times New Roman" w:cs="Times New Roman"/>
          <w:sz w:val="24"/>
          <w:szCs w:val="24"/>
        </w:rPr>
        <w:t>income, makes decisions regarding consumption and</w:t>
      </w:r>
      <w:r w:rsidR="00D73A6A" w:rsidRPr="0001491C">
        <w:rPr>
          <w:rFonts w:ascii="Times New Roman" w:hAnsi="Times New Roman" w:cs="Times New Roman"/>
          <w:sz w:val="24"/>
          <w:szCs w:val="24"/>
        </w:rPr>
        <w:t xml:space="preserve"> long-</w:t>
      </w:r>
      <w:r w:rsidR="00CB3CE0" w:rsidRPr="0001491C">
        <w:rPr>
          <w:rFonts w:ascii="Times New Roman" w:hAnsi="Times New Roman" w:cs="Times New Roman"/>
          <w:sz w:val="24"/>
          <w:szCs w:val="24"/>
        </w:rPr>
        <w:t>term care payment</w:t>
      </w:r>
      <w:r w:rsidR="00372CC7" w:rsidRPr="0001491C">
        <w:rPr>
          <w:rFonts w:ascii="Times New Roman" w:hAnsi="Times New Roman" w:cs="Times New Roman"/>
          <w:sz w:val="24"/>
          <w:szCs w:val="24"/>
        </w:rPr>
        <w:t>. We also assume that the beneficiary receives the inheritance (value in the</w:t>
      </w:r>
      <w:r w:rsidR="00CB3CE0" w:rsidRPr="0001491C">
        <w:rPr>
          <w:rFonts w:ascii="Times New Roman" w:hAnsi="Times New Roman" w:cs="Times New Roman"/>
          <w:sz w:val="24"/>
          <w:szCs w:val="24"/>
        </w:rPr>
        <w:t xml:space="preserve"> external investment vehicle</w:t>
      </w:r>
      <w:r w:rsidR="00372CC7" w:rsidRPr="0001491C">
        <w:rPr>
          <w:rFonts w:ascii="Times New Roman" w:hAnsi="Times New Roman" w:cs="Times New Roman"/>
          <w:sz w:val="24"/>
          <w:szCs w:val="24"/>
        </w:rPr>
        <w:t xml:space="preserve">) immediately at </w:t>
      </w:r>
      <m:oMath>
        <m:sSup>
          <m:sSupPr>
            <m:ctrlPr>
              <w:rPr>
                <w:rFonts w:ascii="Cambria Math" w:hAnsi="Cambria Math" w:cs="Times New Roman"/>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oMath>
      <w:r w:rsidR="00085E90" w:rsidRPr="0001491C">
        <w:rPr>
          <w:rFonts w:ascii="Times New Roman" w:hAnsi="Times New Roman" w:cs="Times New Roman"/>
          <w:sz w:val="24"/>
          <w:szCs w:val="24"/>
        </w:rPr>
        <w:t xml:space="preserve"> </w:t>
      </w:r>
      <w:r w:rsidR="00372CC7" w:rsidRPr="0001491C">
        <w:rPr>
          <w:rFonts w:ascii="Times New Roman" w:hAnsi="Times New Roman" w:cs="Times New Roman"/>
          <w:sz w:val="24"/>
          <w:szCs w:val="24"/>
        </w:rPr>
        <w:t xml:space="preserve">just after the </w:t>
      </w:r>
      <w:r w:rsidR="00F11ACE" w:rsidRPr="0001491C">
        <w:rPr>
          <w:rFonts w:ascii="Times New Roman" w:hAnsi="Times New Roman" w:cs="Times New Roman"/>
          <w:sz w:val="24"/>
          <w:szCs w:val="24"/>
        </w:rPr>
        <w:t>retiree</w:t>
      </w:r>
      <w:r w:rsidR="00372CC7" w:rsidRPr="0001491C">
        <w:rPr>
          <w:rFonts w:ascii="Times New Roman" w:hAnsi="Times New Roman" w:cs="Times New Roman"/>
          <w:sz w:val="24"/>
          <w:szCs w:val="24"/>
        </w:rPr>
        <w:t xml:space="preserve"> dies. </w:t>
      </w:r>
      <w:r w:rsidR="002F09C2" w:rsidRPr="0001491C">
        <w:rPr>
          <w:rFonts w:ascii="Times New Roman" w:hAnsi="Times New Roman" w:cs="Times New Roman"/>
          <w:sz w:val="24"/>
          <w:szCs w:val="24"/>
        </w:rPr>
        <w:t>Therefore w</w:t>
      </w:r>
      <w:r w:rsidR="00372CC7" w:rsidRPr="0001491C">
        <w:rPr>
          <w:rFonts w:ascii="Times New Roman" w:hAnsi="Times New Roman" w:cs="Times New Roman"/>
          <w:sz w:val="24"/>
          <w:szCs w:val="24"/>
        </w:rPr>
        <w:t xml:space="preserve">e write the Bellman equation </w:t>
      </w:r>
      <w:r w:rsidR="002F09C2" w:rsidRPr="0001491C">
        <w:rPr>
          <w:rFonts w:ascii="Times New Roman" w:hAnsi="Times New Roman" w:cs="Times New Roman"/>
          <w:sz w:val="24"/>
          <w:szCs w:val="24"/>
        </w:rPr>
        <w:t xml:space="preserve">in two </w:t>
      </w:r>
      <w:r w:rsidR="00372CC7" w:rsidRPr="0001491C">
        <w:rPr>
          <w:rFonts w:ascii="Times New Roman" w:hAnsi="Times New Roman" w:cs="Times New Roman"/>
          <w:sz w:val="24"/>
          <w:szCs w:val="24"/>
        </w:rPr>
        <w:t>stage</w:t>
      </w:r>
      <w:r w:rsidR="002F09C2" w:rsidRPr="0001491C">
        <w:rPr>
          <w:rFonts w:ascii="Times New Roman" w:hAnsi="Times New Roman" w:cs="Times New Roman"/>
          <w:sz w:val="24"/>
          <w:szCs w:val="24"/>
        </w:rPr>
        <w:t>s</w:t>
      </w:r>
      <w:r w:rsidR="00372CC7" w:rsidRPr="0001491C">
        <w:rPr>
          <w:rFonts w:ascii="Times New Roman" w:hAnsi="Times New Roman" w:cs="Times New Roman"/>
          <w:sz w:val="24"/>
          <w:szCs w:val="24"/>
        </w:rPr>
        <w:t xml:space="preserve">. </w:t>
      </w:r>
    </w:p>
    <w:p w14:paraId="37416B72" w14:textId="77777777" w:rsidR="00372CC7" w:rsidRPr="0001491C" w:rsidRDefault="00372CC7" w:rsidP="005954EB">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 xml:space="preserve">From </w:t>
      </w:r>
      <m:oMath>
        <m:sSup>
          <m:sSupPr>
            <m:ctrlPr>
              <w:rPr>
                <w:rFonts w:ascii="Cambria Math" w:hAnsi="Cambria Math" w:cs="Times New Roman"/>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oMath>
      <w:r w:rsidR="00085E90" w:rsidRPr="0001491C">
        <w:rPr>
          <w:rFonts w:ascii="Times New Roman" w:hAnsi="Times New Roman" w:cs="Times New Roman"/>
          <w:sz w:val="24"/>
          <w:szCs w:val="24"/>
        </w:rPr>
        <w:t xml:space="preserve"> </w:t>
      </w:r>
      <w:r w:rsidRPr="0001491C">
        <w:rPr>
          <w:rFonts w:ascii="Times New Roman" w:hAnsi="Times New Roman" w:cs="Times New Roman"/>
          <w:sz w:val="24"/>
          <w:szCs w:val="24"/>
        </w:rPr>
        <w:t xml:space="preserve">to  </w:t>
      </w:r>
      <m:oMath>
        <m:sSup>
          <m:sSupPr>
            <m:ctrlPr>
              <w:rPr>
                <w:rFonts w:ascii="Cambria Math" w:hAnsi="Cambria Math" w:cs="Times New Roman"/>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oMath>
      <w:r w:rsidR="00085E90" w:rsidRPr="0001491C">
        <w:rPr>
          <w:rFonts w:ascii="Times New Roman" w:hAnsi="Times New Roman" w:cs="Times New Roman"/>
          <w:sz w:val="24"/>
          <w:szCs w:val="24"/>
        </w:rPr>
        <w:t xml:space="preserve"> </w:t>
      </w:r>
      <w:r w:rsidRPr="0001491C">
        <w:rPr>
          <w:rFonts w:ascii="Times New Roman" w:hAnsi="Times New Roman" w:cs="Times New Roman"/>
          <w:sz w:val="24"/>
          <w:szCs w:val="24"/>
        </w:rPr>
        <w:t xml:space="preserve">(i.e. the first stage), the </w:t>
      </w:r>
      <w:r w:rsidR="00F11ACE" w:rsidRPr="0001491C">
        <w:rPr>
          <w:rFonts w:ascii="Times New Roman" w:hAnsi="Times New Roman" w:cs="Times New Roman"/>
          <w:sz w:val="24"/>
          <w:szCs w:val="24"/>
        </w:rPr>
        <w:t>retiree</w:t>
      </w:r>
      <w:r w:rsidRPr="0001491C">
        <w:rPr>
          <w:rFonts w:ascii="Times New Roman" w:hAnsi="Times New Roman" w:cs="Times New Roman"/>
          <w:sz w:val="24"/>
          <w:szCs w:val="24"/>
        </w:rPr>
        <w:t xml:space="preserve"> consumes and gets the utility. If the </w:t>
      </w:r>
      <w:r w:rsidR="00356A80" w:rsidRPr="0001491C">
        <w:rPr>
          <w:rFonts w:ascii="Times New Roman" w:hAnsi="Times New Roman" w:cs="Times New Roman"/>
          <w:sz w:val="24"/>
          <w:szCs w:val="24"/>
        </w:rPr>
        <w:t>retiree</w:t>
      </w:r>
      <w:r w:rsidRPr="0001491C">
        <w:rPr>
          <w:rFonts w:ascii="Times New Roman" w:hAnsi="Times New Roman" w:cs="Times New Roman"/>
          <w:sz w:val="24"/>
          <w:szCs w:val="24"/>
        </w:rPr>
        <w:t xml:space="preserve"> dies, at </w:t>
      </w:r>
      <m:oMath>
        <m:sSup>
          <m:sSupPr>
            <m:ctrlPr>
              <w:rPr>
                <w:rFonts w:ascii="Cambria Math" w:hAnsi="Cambria Math" w:cs="Times New Roman"/>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oMath>
      <w:r w:rsidRPr="0001491C">
        <w:rPr>
          <w:rFonts w:ascii="Times New Roman" w:hAnsi="Times New Roman" w:cs="Times New Roman"/>
          <w:sz w:val="24"/>
          <w:szCs w:val="24"/>
        </w:rPr>
        <w:t xml:space="preserve"> his beneficiary will receive </w:t>
      </w:r>
      <w:r w:rsidR="00085E90" w:rsidRPr="0001491C">
        <w:rPr>
          <w:rFonts w:ascii="Times New Roman" w:hAnsi="Times New Roman" w:cs="Times New Roman"/>
          <w:sz w:val="24"/>
          <w:szCs w:val="24"/>
        </w:rPr>
        <w:t>bequest amount</w:t>
      </w:r>
      <w:r w:rsidRPr="0001491C">
        <w:rPr>
          <w:rFonts w:ascii="Times New Roman" w:hAnsi="Times New Roman" w:cs="Times New Roman"/>
          <w:sz w:val="24"/>
          <w:szCs w:val="24"/>
        </w:rPr>
        <w:t xml:space="preserve">. Therefore, the first stage </w:t>
      </w:r>
      <w:r w:rsidR="00CB3CE0" w:rsidRPr="0001491C">
        <w:rPr>
          <w:rFonts w:ascii="Times New Roman" w:hAnsi="Times New Roman" w:cs="Times New Roman"/>
          <w:sz w:val="24"/>
          <w:szCs w:val="24"/>
        </w:rPr>
        <w:t>equation</w:t>
      </w:r>
      <w:r w:rsidRPr="0001491C">
        <w:rPr>
          <w:rFonts w:ascii="Times New Roman" w:hAnsi="Times New Roman" w:cs="Times New Roman"/>
          <w:sz w:val="24"/>
          <w:szCs w:val="24"/>
        </w:rPr>
        <w:t xml:space="preserve"> is as follows,</w:t>
      </w:r>
    </w:p>
    <w:p w14:paraId="63C3CB8E" w14:textId="77777777" w:rsidR="002F09C2" w:rsidRPr="0001491C" w:rsidRDefault="008B0544" w:rsidP="0001491C">
      <w:pPr>
        <w:spacing w:after="0" w:line="480" w:lineRule="auto"/>
        <w:jc w:val="both"/>
        <w:rPr>
          <w:rFonts w:ascii="Times New Roman" w:hAnsi="Times New Roman" w:cs="Times New Roman"/>
          <w:sz w:val="24"/>
          <w:szCs w:val="24"/>
        </w:rPr>
      </w:pPr>
      <m:oMathPara>
        <m:oMath>
          <m:func>
            <m:funcPr>
              <m:ctrlPr>
                <w:rPr>
                  <w:rFonts w:ascii="Cambria Math" w:hAnsi="Cambria Math" w:cs="Times New Roman"/>
                  <w:sz w:val="24"/>
                  <w:szCs w:val="24"/>
                </w:rPr>
              </m:ctrlPr>
            </m:funcPr>
            <m:fName>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e>
              </m:d>
              <m:r>
                <w:rPr>
                  <w:rFonts w:ascii="Cambria Math" w:hAnsi="Cambria Math" w:cs="Times New Roman"/>
                  <w:sz w:val="24"/>
                  <w:szCs w:val="24"/>
                </w:rPr>
                <m:t>=</m:t>
              </m:r>
              <m:limLow>
                <m:limLowPr>
                  <m:ctrlPr>
                    <w:rPr>
                      <w:rFonts w:ascii="Cambria Math" w:hAnsi="Cambria Math" w:cs="Times New Roman"/>
                      <w:sz w:val="24"/>
                      <w:szCs w:val="24"/>
                    </w:rPr>
                  </m:ctrlPr>
                </m:limLowPr>
                <m:e>
                  <m:r>
                    <m:rPr>
                      <m:sty m:val="p"/>
                    </m:rPr>
                    <w:rPr>
                      <w:rFonts w:ascii="Cambria Math" w:hAnsi="Cambria Math" w:cs="Times New Roman"/>
                      <w:sz w:val="24"/>
                      <w:szCs w:val="24"/>
                    </w:rPr>
                    <m:t>max</m:t>
                  </m:r>
                </m:e>
                <m:lim>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t-</m:t>
                      </m:r>
                    </m:sub>
                  </m:sSub>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t</m:t>
                      </m:r>
                    </m:sup>
                  </m:sSup>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U</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x:x+t</m:t>
                          </m:r>
                        </m:sub>
                        <m:sup>
                          <m:r>
                            <w:rPr>
                              <w:rFonts w:ascii="Cambria Math" w:hAnsi="Cambria Math" w:cs="Times New Roman"/>
                              <w:sz w:val="24"/>
                              <w:szCs w:val="24"/>
                            </w:rPr>
                            <m:t>i3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x:x+t+1</m:t>
                          </m:r>
                        </m:sub>
                        <m:sup>
                          <m:r>
                            <w:rPr>
                              <w:rFonts w:ascii="Cambria Math" w:hAnsi="Cambria Math" w:cs="Times New Roman"/>
                              <w:sz w:val="24"/>
                              <w:szCs w:val="24"/>
                            </w:rPr>
                            <m:t>i3</m:t>
                          </m:r>
                        </m:sup>
                      </m:sSubSup>
                      <m:r>
                        <w:rPr>
                          <w:rFonts w:ascii="Cambria Math" w:hAnsi="Cambria Math" w:cs="Times New Roman"/>
                          <w:sz w:val="24"/>
                          <w:szCs w:val="24"/>
                        </w:rPr>
                        <m:t>)v</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t</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1-p</m:t>
                          </m:r>
                        </m:e>
                        <m:sub>
                          <m:r>
                            <w:rPr>
                              <w:rFonts w:ascii="Cambria Math" w:hAnsi="Cambria Math" w:cs="Times New Roman"/>
                              <w:sz w:val="24"/>
                              <w:szCs w:val="24"/>
                            </w:rPr>
                            <m:t>x:x+t</m:t>
                          </m:r>
                        </m:sub>
                        <m:sup>
                          <m:r>
                            <w:rPr>
                              <w:rFonts w:ascii="Cambria Math" w:hAnsi="Cambria Math" w:cs="Times New Roman"/>
                              <w:sz w:val="24"/>
                              <w:szCs w:val="24"/>
                            </w:rPr>
                            <m:t>i3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x:x+t+1</m:t>
                          </m:r>
                        </m:sub>
                        <m:sup>
                          <m:r>
                            <w:rPr>
                              <w:rFonts w:ascii="Cambria Math" w:hAnsi="Cambria Math" w:cs="Times New Roman"/>
                              <w:sz w:val="24"/>
                              <w:szCs w:val="24"/>
                            </w:rPr>
                            <m:t>i3</m:t>
                          </m:r>
                        </m:sup>
                      </m:sSubSup>
                      <m:r>
                        <w:rPr>
                          <w:rFonts w:ascii="Cambria Math" w:hAnsi="Cambria Math" w:cs="Times New Roman"/>
                          <w:sz w:val="24"/>
                          <w:szCs w:val="24"/>
                        </w:rPr>
                        <m:t>)V(</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e>
                  </m:d>
                </m:e>
              </m:d>
              <m:r>
                <w:rPr>
                  <w:rFonts w:ascii="Cambria Math" w:hAnsi="Cambria Math" w:cs="Times New Roman"/>
                  <w:sz w:val="24"/>
                  <w:szCs w:val="24"/>
                </w:rPr>
                <m:t>,</m:t>
              </m:r>
            </m:e>
          </m:func>
        </m:oMath>
      </m:oMathPara>
    </w:p>
    <w:p w14:paraId="6964E9F0" w14:textId="77777777" w:rsidR="00372CC7" w:rsidRPr="0001491C" w:rsidRDefault="00244B0C" w:rsidP="0001491C">
      <w:pPr>
        <w:spacing w:after="0" w:line="480" w:lineRule="auto"/>
        <w:jc w:val="both"/>
        <w:rPr>
          <w:rFonts w:ascii="Times New Roman" w:hAnsi="Times New Roman" w:cs="Times New Roman"/>
          <w:sz w:val="24"/>
          <w:szCs w:val="24"/>
        </w:rPr>
      </w:pPr>
      <w:proofErr w:type="gramStart"/>
      <w:r w:rsidRPr="0001491C">
        <w:rPr>
          <w:rFonts w:ascii="Times New Roman" w:hAnsi="Times New Roman" w:cs="Times New Roman"/>
          <w:sz w:val="24"/>
          <w:szCs w:val="24"/>
        </w:rPr>
        <w:t>w</w:t>
      </w:r>
      <w:r w:rsidR="00A21D96" w:rsidRPr="0001491C">
        <w:rPr>
          <w:rFonts w:ascii="Times New Roman" w:hAnsi="Times New Roman" w:cs="Times New Roman"/>
          <w:sz w:val="24"/>
          <w:szCs w:val="24"/>
        </w:rPr>
        <w:t>here</w:t>
      </w:r>
      <w:proofErr w:type="gramEnd"/>
      <w:r w:rsidRPr="0001491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oMath>
      <w:r w:rsidRPr="0001491C">
        <w:rPr>
          <w:rFonts w:ascii="Times New Roman" w:eastAsia="PMingLiU" w:hAnsi="Times New Roman" w:cs="Times New Roman"/>
          <w:sz w:val="24"/>
          <w:szCs w:val="24"/>
          <w:lang w:eastAsia="zh-HK"/>
        </w:rPr>
        <w:t xml:space="preserve"> is the initial wealth level;</w:t>
      </w:r>
      <w:r w:rsidRPr="0001491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ω</m:t>
                </m:r>
              </m:e>
              <m:sub>
                <m:r>
                  <w:rPr>
                    <w:rFonts w:ascii="Cambria Math" w:hAnsi="Cambria Math" w:cs="Times New Roman"/>
                    <w:sz w:val="24"/>
                    <w:szCs w:val="24"/>
                  </w:rPr>
                  <m:t>FA</m:t>
                </m:r>
              </m:sub>
            </m:sSub>
          </m:e>
        </m:d>
        <m:r>
          <w:rPr>
            <w:rFonts w:ascii="Cambria Math" w:hAnsi="Cambria Math" w:cs="Times New Roman"/>
            <w:sz w:val="24"/>
            <w:szCs w:val="24"/>
          </w:rPr>
          <m:t>-APL</m:t>
        </m:r>
      </m:oMath>
      <w:r w:rsidRPr="0001491C">
        <w:rPr>
          <w:rFonts w:ascii="Times New Roman" w:eastAsia="PMingLiU" w:hAnsi="Times New Roman" w:cs="Times New Roman"/>
          <w:sz w:val="24"/>
          <w:szCs w:val="24"/>
          <w:lang w:eastAsia="zh-HK"/>
        </w:rPr>
        <w:t>;</w:t>
      </w:r>
      <w:r w:rsidRPr="0001491C">
        <w:rPr>
          <w:rFonts w:ascii="Times New Roman" w:hAnsi="Times New Roman" w:cs="Times New Roman"/>
          <w:sz w:val="24"/>
          <w:szCs w:val="24"/>
        </w:rPr>
        <w:t xml:space="preserve"> </w:t>
      </w:r>
      <w:r w:rsidR="00A21D96" w:rsidRPr="0001491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oMath>
      <w:r w:rsidRPr="0001491C">
        <w:rPr>
          <w:rFonts w:ascii="Times New Roman" w:hAnsi="Times New Roman" w:cs="Times New Roman"/>
          <w:sz w:val="24"/>
          <w:szCs w:val="24"/>
        </w:rPr>
        <w:t>,</w:t>
      </w:r>
      <w:r w:rsidR="00A21D96" w:rsidRPr="0001491C">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O</m:t>
            </m:r>
          </m:e>
          <m:sub>
            <m:r>
              <w:rPr>
                <w:rFonts w:ascii="Cambria Math" w:hAnsi="Cambria Math" w:cs="Times New Roman"/>
                <w:sz w:val="24"/>
                <w:szCs w:val="24"/>
              </w:rPr>
              <m:t>t-</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e>
        </m:d>
      </m:oMath>
      <w:r w:rsidR="00A21D96" w:rsidRPr="0001491C">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O</m:t>
            </m:r>
          </m:e>
          <m:sub>
            <m:r>
              <w:rPr>
                <w:rFonts w:ascii="Cambria Math" w:hAnsi="Cambria Math" w:cs="Times New Roman"/>
                <w:sz w:val="24"/>
                <w:szCs w:val="24"/>
              </w:rPr>
              <m:t>0-</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ω</m:t>
                </m:r>
              </m:e>
              <m:sub>
                <m:r>
                  <w:rPr>
                    <w:rFonts w:ascii="Cambria Math" w:hAnsi="Cambria Math" w:cs="Times New Roman"/>
                    <w:sz w:val="24"/>
                    <w:szCs w:val="24"/>
                  </w:rPr>
                  <m:t>FA</m:t>
                </m:r>
              </m:sub>
            </m:sSub>
            <m:r>
              <w:rPr>
                <w:rFonts w:ascii="Cambria Math" w:hAnsi="Cambria Math" w:cs="Times New Roman"/>
                <w:sz w:val="24"/>
                <w:szCs w:val="24"/>
              </w:rPr>
              <m:t>,PI</m:t>
            </m:r>
          </m:e>
        </m:d>
      </m:oMath>
      <w:r w:rsidR="00A21D96" w:rsidRPr="0001491C">
        <w:rPr>
          <w:rFonts w:ascii="Times New Roman" w:hAnsi="Times New Roman" w:cs="Times New Roman"/>
          <w:sz w:val="24"/>
          <w:szCs w:val="24"/>
        </w:rPr>
        <w:t>.</w:t>
      </w:r>
      <w:r w:rsidR="008230BA" w:rsidRPr="0001491C">
        <w:rPr>
          <w:rFonts w:ascii="Times New Roman" w:hAnsi="Times New Roman" w:cs="Times New Roman"/>
          <w:sz w:val="24"/>
          <w:szCs w:val="24"/>
        </w:rPr>
        <w:t xml:space="preserve"> </w:t>
      </w:r>
    </w:p>
    <w:p w14:paraId="56FAC392" w14:textId="7D7DAF71" w:rsidR="00437131" w:rsidRPr="0001491C" w:rsidRDefault="00A21D96" w:rsidP="005954EB">
      <w:pPr>
        <w:autoSpaceDE w:val="0"/>
        <w:autoSpaceDN w:val="0"/>
        <w:adjustRightInd w:val="0"/>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 xml:space="preserve">From </w:t>
      </w:r>
      <m:oMath>
        <m:sSup>
          <m:sSupPr>
            <m:ctrlPr>
              <w:rPr>
                <w:rFonts w:ascii="Cambria Math" w:hAnsi="Cambria Math" w:cs="Times New Roman"/>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oMath>
      <w:r w:rsidRPr="0001491C">
        <w:rPr>
          <w:rFonts w:ascii="Times New Roman" w:hAnsi="Times New Roman" w:cs="Times New Roman"/>
          <w:sz w:val="24"/>
          <w:szCs w:val="24"/>
        </w:rPr>
        <w:t xml:space="preserve"> to  </w:t>
      </w:r>
      <m:oMath>
        <m:sSup>
          <m:sSupPr>
            <m:ctrlPr>
              <w:rPr>
                <w:rFonts w:ascii="Cambria Math" w:hAnsi="Cambria Math" w:cs="Times New Roman"/>
                <w:sz w:val="24"/>
                <w:szCs w:val="24"/>
              </w:rPr>
            </m:ctrlPr>
          </m:sSupPr>
          <m:e>
            <m:r>
              <w:rPr>
                <w:rFonts w:ascii="Cambria Math" w:hAnsi="Cambria Math" w:cs="Times New Roman"/>
                <w:sz w:val="24"/>
                <w:szCs w:val="24"/>
              </w:rPr>
              <m:t>t+1</m:t>
            </m:r>
          </m:e>
          <m:sup>
            <m:r>
              <w:rPr>
                <w:rFonts w:ascii="Cambria Math" w:hAnsi="Cambria Math" w:cs="Times New Roman"/>
                <w:sz w:val="24"/>
                <w:szCs w:val="24"/>
              </w:rPr>
              <m:t>-</m:t>
            </m:r>
          </m:sup>
        </m:sSup>
      </m:oMath>
      <w:r w:rsidRPr="0001491C">
        <w:rPr>
          <w:rFonts w:ascii="Times New Roman" w:hAnsi="Times New Roman" w:cs="Times New Roman"/>
          <w:sz w:val="24"/>
          <w:szCs w:val="24"/>
        </w:rPr>
        <w:t xml:space="preserve"> (i.e. the second stage), the retiree maximizes the value function from optimally </w:t>
      </w:r>
      <w:r w:rsidR="00437131" w:rsidRPr="0001491C">
        <w:rPr>
          <w:rFonts w:ascii="Times New Roman" w:hAnsi="Times New Roman" w:cs="Times New Roman"/>
          <w:sz w:val="24"/>
          <w:szCs w:val="24"/>
        </w:rPr>
        <w:t xml:space="preserve">allocating between the two subaccounts. Therefore, </w:t>
      </w:r>
      <m:oMath>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e>
        </m:d>
      </m:oMath>
      <w:r w:rsidR="00437131" w:rsidRPr="0001491C">
        <w:rPr>
          <w:rFonts w:ascii="Times New Roman" w:hAnsi="Times New Roman" w:cs="Times New Roman"/>
          <w:sz w:val="24"/>
          <w:szCs w:val="24"/>
        </w:rPr>
        <w:t xml:space="preserve"> is the expected discounted value </w:t>
      </w:r>
      <w:proofErr w:type="gramStart"/>
      <w:r w:rsidR="00437131" w:rsidRPr="0001491C">
        <w:rPr>
          <w:rFonts w:ascii="Times New Roman" w:hAnsi="Times New Roman" w:cs="Times New Roman"/>
          <w:sz w:val="24"/>
          <w:szCs w:val="24"/>
        </w:rPr>
        <w:t xml:space="preserve">of </w:t>
      </w:r>
      <w:proofErr w:type="gramEnd"/>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t+1</m:t>
                    </m:r>
                  </m:e>
                  <m:sup>
                    <m:r>
                      <w:rPr>
                        <w:rFonts w:ascii="Cambria Math" w:hAnsi="Cambria Math" w:cs="Times New Roman"/>
                        <w:sz w:val="24"/>
                        <w:szCs w:val="24"/>
                      </w:rPr>
                      <m:t>-</m:t>
                    </m:r>
                  </m:sup>
                </m:sSup>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a</m:t>
                    </m:r>
                  </m:e>
                  <m:sub>
                    <m:sSup>
                      <m:sSupPr>
                        <m:ctrlPr>
                          <w:rPr>
                            <w:rFonts w:ascii="Cambria Math" w:hAnsi="Cambria Math" w:cs="Times New Roman"/>
                            <w:i/>
                            <w:sz w:val="24"/>
                            <w:szCs w:val="24"/>
                          </w:rPr>
                        </m:ctrlPr>
                      </m:sSupPr>
                      <m:e>
                        <m:r>
                          <w:rPr>
                            <w:rFonts w:ascii="Cambria Math" w:hAnsi="Cambria Math" w:cs="Times New Roman"/>
                            <w:sz w:val="24"/>
                            <w:szCs w:val="24"/>
                          </w:rPr>
                          <m:t>t+1</m:t>
                        </m:r>
                      </m:e>
                      <m:sup>
                        <m:r>
                          <w:rPr>
                            <w:rFonts w:ascii="Cambria Math" w:hAnsi="Cambria Math" w:cs="Times New Roman"/>
                            <w:sz w:val="24"/>
                            <w:szCs w:val="24"/>
                          </w:rPr>
                          <m:t>-</m:t>
                        </m:r>
                      </m:sup>
                    </m:sSup>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e>
        </m:d>
      </m:oMath>
      <w:r w:rsidR="00437131" w:rsidRPr="0001491C">
        <w:rPr>
          <w:rFonts w:ascii="Times New Roman" w:hAnsi="Times New Roman" w:cs="Times New Roman"/>
          <w:sz w:val="24"/>
          <w:szCs w:val="24"/>
        </w:rPr>
        <w:t xml:space="preserve">. </w:t>
      </w:r>
    </w:p>
    <w:p w14:paraId="6D2D8F7A" w14:textId="77777777" w:rsidR="00437131" w:rsidRPr="0001491C" w:rsidRDefault="008B0544" w:rsidP="0001491C">
      <w:pPr>
        <w:spacing w:after="0" w:line="480" w:lineRule="auto"/>
        <w:jc w:val="both"/>
        <w:rPr>
          <w:rFonts w:ascii="Times New Roman" w:hAnsi="Times New Roman" w:cs="Times New Roman"/>
          <w:sz w:val="24"/>
          <w:szCs w:val="24"/>
        </w:rPr>
      </w:pPr>
      <m:oMathPara>
        <m:oMath>
          <m:func>
            <m:funcPr>
              <m:ctrlPr>
                <w:rPr>
                  <w:rFonts w:ascii="Cambria Math" w:hAnsi="Cambria Math" w:cs="Times New Roman"/>
                  <w:sz w:val="24"/>
                  <w:szCs w:val="24"/>
                </w:rPr>
              </m:ctrlPr>
            </m:funcPr>
            <m:fName>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e>
              </m:d>
              <m:r>
                <w:rPr>
                  <w:rFonts w:ascii="Cambria Math" w:hAnsi="Cambria Math" w:cs="Times New Roman"/>
                  <w:sz w:val="24"/>
                  <w:szCs w:val="24"/>
                </w:rPr>
                <m:t>=</m:t>
              </m:r>
              <m:limLow>
                <m:limLowPr>
                  <m:ctrlPr>
                    <w:rPr>
                      <w:rFonts w:ascii="Cambria Math" w:hAnsi="Cambria Math" w:cs="Times New Roman"/>
                      <w:sz w:val="24"/>
                      <w:szCs w:val="24"/>
                    </w:rPr>
                  </m:ctrlPr>
                </m:limLowPr>
                <m:e>
                  <m:r>
                    <m:rPr>
                      <m:sty m:val="p"/>
                    </m:rPr>
                    <w:rPr>
                      <w:rFonts w:ascii="Cambria Math" w:hAnsi="Cambria Math" w:cs="Times New Roman"/>
                      <w:sz w:val="24"/>
                      <w:szCs w:val="24"/>
                    </w:rPr>
                    <m:t>max</m:t>
                  </m:r>
                </m:e>
                <m:lim>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t+</m:t>
                      </m:r>
                    </m:sub>
                  </m:sSub>
                </m:lim>
              </m:limLow>
            </m:fName>
            <m:e>
              <m:d>
                <m:dPr>
                  <m:begChr m:val="{"/>
                  <m:endChr m:val="}"/>
                  <m:ctrlPr>
                    <w:rPr>
                      <w:rFonts w:ascii="Cambria Math" w:hAnsi="Cambria Math" w:cs="Times New Roman"/>
                      <w:i/>
                      <w:sz w:val="24"/>
                      <w:szCs w:val="24"/>
                    </w:rPr>
                  </m:ctrlPr>
                </m:dPr>
                <m:e>
                  <m:r>
                    <w:rPr>
                      <w:rFonts w:ascii="Cambria Math" w:hAnsi="Cambria Math" w:cs="Times New Roman"/>
                      <w:sz w:val="24"/>
                      <w:szCs w:val="24"/>
                    </w:rPr>
                    <m:t>αE</m:t>
                  </m:r>
                  <m:d>
                    <m:dPr>
                      <m:begChr m:val="["/>
                      <m:endChr m:val="]"/>
                      <m:ctrlPr>
                        <w:rPr>
                          <w:rFonts w:ascii="Cambria Math" w:hAnsi="Cambria Math" w:cs="Times New Roman"/>
                          <w:i/>
                          <w:sz w:val="24"/>
                          <w:szCs w:val="24"/>
                        </w:rPr>
                      </m:ctrlPr>
                    </m:dPr>
                    <m:e>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t+1</m:t>
                              </m:r>
                            </m:e>
                            <m:sup>
                              <m:r>
                                <w:rPr>
                                  <w:rFonts w:ascii="Cambria Math" w:hAnsi="Cambria Math" w:cs="Times New Roman"/>
                                  <w:sz w:val="24"/>
                                  <w:szCs w:val="24"/>
                                </w:rPr>
                                <m:t>-</m:t>
                              </m:r>
                            </m:sup>
                          </m:sSup>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a</m:t>
                              </m:r>
                            </m:e>
                            <m:sub>
                              <m:sSup>
                                <m:sSupPr>
                                  <m:ctrlPr>
                                    <w:rPr>
                                      <w:rFonts w:ascii="Cambria Math" w:hAnsi="Cambria Math" w:cs="Times New Roman"/>
                                      <w:i/>
                                      <w:sz w:val="24"/>
                                      <w:szCs w:val="24"/>
                                    </w:rPr>
                                  </m:ctrlPr>
                                </m:sSupPr>
                                <m:e>
                                  <m:r>
                                    <w:rPr>
                                      <w:rFonts w:ascii="Cambria Math" w:hAnsi="Cambria Math" w:cs="Times New Roman"/>
                                      <w:sz w:val="24"/>
                                      <w:szCs w:val="24"/>
                                    </w:rPr>
                                    <m:t>t+1</m:t>
                                  </m:r>
                                </m:e>
                                <m:sup>
                                  <m:r>
                                    <w:rPr>
                                      <w:rFonts w:ascii="Cambria Math" w:hAnsi="Cambria Math" w:cs="Times New Roman"/>
                                      <w:sz w:val="24"/>
                                      <w:szCs w:val="24"/>
                                    </w:rPr>
                                    <m:t>-</m:t>
                                  </m:r>
                                </m:sup>
                              </m:sSup>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e>
                  </m:d>
                </m:e>
              </m:d>
              <m:r>
                <w:rPr>
                  <w:rFonts w:ascii="Cambria Math" w:hAnsi="Cambria Math" w:cs="Times New Roman"/>
                  <w:sz w:val="24"/>
                  <w:szCs w:val="24"/>
                </w:rPr>
                <m:t>,</m:t>
              </m:r>
            </m:e>
          </m:func>
        </m:oMath>
      </m:oMathPara>
    </w:p>
    <w:p w14:paraId="723184D4" w14:textId="77777777" w:rsidR="005954EB" w:rsidRDefault="00437131" w:rsidP="0001491C">
      <w:pPr>
        <w:spacing w:after="0" w:line="480" w:lineRule="auto"/>
        <w:jc w:val="both"/>
        <w:rPr>
          <w:rFonts w:ascii="Times New Roman" w:hAnsi="Times New Roman" w:cs="Times New Roman"/>
          <w:sz w:val="24"/>
          <w:szCs w:val="24"/>
        </w:rPr>
      </w:pPr>
      <w:proofErr w:type="gramStart"/>
      <w:r w:rsidRPr="0001491C">
        <w:rPr>
          <w:rFonts w:ascii="Times New Roman" w:hAnsi="Times New Roman" w:cs="Times New Roman"/>
          <w:sz w:val="24"/>
          <w:szCs w:val="24"/>
        </w:rPr>
        <w:t>where</w:t>
      </w:r>
      <w:proofErr w:type="gramEnd"/>
      <w:r w:rsidRPr="0001491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t+</m:t>
            </m:r>
          </m:sub>
        </m:sSub>
      </m:oMath>
      <w:r w:rsidRPr="0001491C">
        <w:rPr>
          <w:rFonts w:ascii="Times New Roman" w:hAnsi="Times New Roman" w:cs="Times New Roman"/>
          <w:sz w:val="24"/>
          <w:szCs w:val="24"/>
        </w:rPr>
        <w:t>={</w:t>
      </w:r>
      <m:oMath>
        <m:sSub>
          <m:sSubPr>
            <m:ctrlPr>
              <w:rPr>
                <w:rFonts w:ascii="Cambria Math" w:hAnsi="Cambria Math" w:cs="Times New Roman"/>
                <w:sz w:val="24"/>
                <w:szCs w:val="24"/>
              </w:rPr>
            </m:ctrlPr>
          </m:sSubPr>
          <m:e>
            <m:r>
              <w:rPr>
                <w:rFonts w:ascii="Cambria Math" w:hAnsi="Cambria Math" w:cs="Times New Roman"/>
                <w:sz w:val="24"/>
                <w:szCs w:val="24"/>
              </w:rPr>
              <m:t>ω</m:t>
            </m:r>
          </m:e>
          <m:sub>
            <m:r>
              <w:rPr>
                <w:rFonts w:ascii="Cambria Math" w:hAnsi="Cambria Math" w:cs="Times New Roman"/>
                <w:sz w:val="24"/>
                <w:szCs w:val="24"/>
              </w:rPr>
              <m:t>t</m:t>
            </m:r>
          </m:sub>
        </m:sSub>
      </m:oMath>
      <w:r w:rsidRPr="0001491C">
        <w:rPr>
          <w:rFonts w:ascii="Times New Roman" w:hAnsi="Times New Roman" w:cs="Times New Roman"/>
          <w:sz w:val="24"/>
          <w:szCs w:val="24"/>
        </w:rPr>
        <w:t>}.</w:t>
      </w:r>
      <w:r w:rsidR="00FD0A9F" w:rsidRPr="0001491C">
        <w:rPr>
          <w:rFonts w:ascii="Times New Roman" w:hAnsi="Times New Roman" w:cs="Times New Roman"/>
          <w:sz w:val="24"/>
          <w:szCs w:val="24"/>
        </w:rPr>
        <w:t xml:space="preserve"> </w:t>
      </w:r>
    </w:p>
    <w:p w14:paraId="07E63A8D" w14:textId="70C1BA44" w:rsidR="00372CC7" w:rsidRPr="0001491C" w:rsidRDefault="00FD0A9F" w:rsidP="005954EB">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 xml:space="preserve">In the allocation process, we apply a trinomial lattice with </w:t>
      </w:r>
      <w:r w:rsidR="00D73A6A" w:rsidRPr="0001491C">
        <w:rPr>
          <w:rFonts w:ascii="Times New Roman" w:hAnsi="Times New Roman" w:cs="Times New Roman"/>
          <w:sz w:val="24"/>
          <w:szCs w:val="24"/>
        </w:rPr>
        <w:t>probabilities</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u</m:t>
            </m:r>
          </m:sub>
        </m:sSub>
      </m:oMath>
      <w:r w:rsidRPr="0001491C">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m</m:t>
            </m:r>
          </m:sub>
        </m:sSub>
      </m:oMath>
      <w:r w:rsidRPr="0001491C">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sub>
        </m:sSub>
      </m:oMath>
      <w:r w:rsidRPr="0001491C">
        <w:rPr>
          <w:rFonts w:ascii="Times New Roman" w:hAnsi="Times New Roman" w:cs="Times New Roman"/>
          <w:sz w:val="24"/>
          <w:szCs w:val="24"/>
        </w:rPr>
        <w:t xml:space="preserve"> as defined in </w:t>
      </w:r>
      <w:proofErr w:type="gramStart"/>
      <w:r w:rsidRPr="0001491C">
        <w:rPr>
          <w:rFonts w:ascii="Times New Roman" w:hAnsi="Times New Roman" w:cs="Times New Roman"/>
          <w:sz w:val="24"/>
          <w:szCs w:val="24"/>
        </w:rPr>
        <w:t>Gao</w:t>
      </w:r>
      <w:proofErr w:type="gramEnd"/>
      <w:r w:rsidRPr="0001491C">
        <w:rPr>
          <w:rFonts w:ascii="Times New Roman" w:hAnsi="Times New Roman" w:cs="Times New Roman"/>
          <w:sz w:val="24"/>
          <w:szCs w:val="24"/>
        </w:rPr>
        <w:t xml:space="preserve"> and Ulm (2012) as follows, </w:t>
      </w:r>
    </w:p>
    <w:p w14:paraId="66E881C3" w14:textId="77777777" w:rsidR="005954EB" w:rsidRPr="005954EB" w:rsidRDefault="008B0544" w:rsidP="005954EB">
      <w:pPr>
        <w:spacing w:after="0" w:line="480" w:lineRule="auto"/>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u</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r>
                <w:rPr>
                  <w:rFonts w:ascii="Cambria Math" w:hAnsi="Cambria Math" w:cs="Times New Roman"/>
                  <w:sz w:val="24"/>
                  <w:szCs w:val="24"/>
                </w:rPr>
                <m:t>ω+</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3</m:t>
                  </m:r>
                </m:sub>
              </m:sSub>
            </m:num>
            <m:den>
              <m:d>
                <m:dPr>
                  <m:ctrlPr>
                    <w:rPr>
                      <w:rFonts w:ascii="Cambria Math" w:hAnsi="Cambria Math" w:cs="Times New Roman"/>
                      <w:i/>
                      <w:sz w:val="24"/>
                      <w:szCs w:val="24"/>
                    </w:rPr>
                  </m:ctrlPr>
                </m:dPr>
                <m:e>
                  <m:r>
                    <w:rPr>
                      <w:rFonts w:ascii="Cambria Math" w:hAnsi="Cambria Math" w:cs="Times New Roman"/>
                      <w:sz w:val="24"/>
                      <w:szCs w:val="24"/>
                    </w:rPr>
                    <m:t>u-1</m:t>
                  </m:r>
                </m:e>
              </m:d>
              <m:d>
                <m:dPr>
                  <m:ctrlPr>
                    <w:rPr>
                      <w:rFonts w:ascii="Cambria Math" w:hAnsi="Cambria Math" w:cs="Times New Roman"/>
                      <w:i/>
                      <w:sz w:val="24"/>
                      <w:szCs w:val="24"/>
                    </w:rPr>
                  </m:ctrlPr>
                </m:dPr>
                <m:e>
                  <m:r>
                    <w:rPr>
                      <w:rFonts w:ascii="Cambria Math" w:hAnsi="Cambria Math" w:cs="Times New Roman"/>
                      <w:sz w:val="24"/>
                      <w:szCs w:val="24"/>
                    </w:rPr>
                    <m:t>u-d</m:t>
                  </m:r>
                </m:e>
              </m:d>
            </m:den>
          </m:f>
        </m:oMath>
      </m:oMathPara>
    </w:p>
    <w:p w14:paraId="35537D0D" w14:textId="77777777" w:rsidR="005954EB" w:rsidRPr="005954EB" w:rsidRDefault="008B0544" w:rsidP="005954EB">
      <w:pPr>
        <w:spacing w:after="0" w:line="480" w:lineRule="auto"/>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sub>
          </m:sSub>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ω</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r>
                <w:rPr>
                  <w:rFonts w:ascii="Cambria Math" w:hAnsi="Cambria Math" w:cs="Times New Roman"/>
                  <w:sz w:val="24"/>
                  <w:szCs w:val="24"/>
                </w:rPr>
                <m:t>-1</m:t>
              </m:r>
            </m:num>
            <m:den>
              <m:d>
                <m:dPr>
                  <m:ctrlPr>
                    <w:rPr>
                      <w:rFonts w:ascii="Cambria Math" w:hAnsi="Cambria Math" w:cs="Times New Roman"/>
                      <w:i/>
                      <w:sz w:val="24"/>
                      <w:szCs w:val="24"/>
                    </w:rPr>
                  </m:ctrlPr>
                </m:dPr>
                <m:e>
                  <m:r>
                    <w:rPr>
                      <w:rFonts w:ascii="Cambria Math" w:hAnsi="Cambria Math" w:cs="Times New Roman"/>
                      <w:sz w:val="24"/>
                      <w:szCs w:val="24"/>
                    </w:rPr>
                    <m:t>u-1</m:t>
                  </m:r>
                </m:e>
              </m:d>
              <m:d>
                <m:dPr>
                  <m:ctrlPr>
                    <w:rPr>
                      <w:rFonts w:ascii="Cambria Math" w:hAnsi="Cambria Math" w:cs="Times New Roman"/>
                      <w:i/>
                      <w:sz w:val="24"/>
                      <w:szCs w:val="24"/>
                    </w:rPr>
                  </m:ctrlPr>
                </m:dPr>
                <m:e>
                  <m:r>
                    <w:rPr>
                      <w:rFonts w:ascii="Cambria Math" w:hAnsi="Cambria Math" w:cs="Times New Roman"/>
                      <w:sz w:val="24"/>
                      <w:szCs w:val="24"/>
                    </w:rPr>
                    <m:t>u-d</m:t>
                  </m:r>
                </m:e>
              </m:d>
            </m:den>
          </m:f>
          <m: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r>
                <w:rPr>
                  <w:rFonts w:ascii="Cambria Math" w:hAnsi="Cambria Math" w:cs="Times New Roman"/>
                  <w:sz w:val="24"/>
                  <w:szCs w:val="24"/>
                </w:rPr>
                <m:t>ω+</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3</m:t>
                  </m:r>
                </m:sub>
              </m:sSub>
            </m:num>
            <m:den>
              <m:d>
                <m:dPr>
                  <m:ctrlPr>
                    <w:rPr>
                      <w:rFonts w:ascii="Cambria Math" w:hAnsi="Cambria Math" w:cs="Times New Roman"/>
                      <w:i/>
                      <w:sz w:val="24"/>
                      <w:szCs w:val="24"/>
                    </w:rPr>
                  </m:ctrlPr>
                </m:dPr>
                <m:e>
                  <m:r>
                    <w:rPr>
                      <w:rFonts w:ascii="Cambria Math" w:hAnsi="Cambria Math" w:cs="Times New Roman"/>
                      <w:sz w:val="24"/>
                      <w:szCs w:val="24"/>
                    </w:rPr>
                    <m:t>d-1</m:t>
                  </m:r>
                </m:e>
              </m:d>
              <m:d>
                <m:dPr>
                  <m:ctrlPr>
                    <w:rPr>
                      <w:rFonts w:ascii="Cambria Math" w:hAnsi="Cambria Math" w:cs="Times New Roman"/>
                      <w:i/>
                      <w:sz w:val="24"/>
                      <w:szCs w:val="24"/>
                    </w:rPr>
                  </m:ctrlPr>
                </m:dPr>
                <m:e>
                  <m:r>
                    <w:rPr>
                      <w:rFonts w:ascii="Cambria Math" w:hAnsi="Cambria Math" w:cs="Times New Roman"/>
                      <w:sz w:val="24"/>
                      <w:szCs w:val="24"/>
                    </w:rPr>
                    <m:t>u-d</m:t>
                  </m:r>
                </m:e>
              </m:d>
            </m:den>
          </m:f>
        </m:oMath>
      </m:oMathPara>
    </w:p>
    <w:p w14:paraId="2660F72F" w14:textId="00483366" w:rsidR="00FD0A9F" w:rsidRPr="005954EB" w:rsidRDefault="008B0544" w:rsidP="005954EB">
      <w:pPr>
        <w:spacing w:after="0" w:line="48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m</m:t>
            </m:r>
          </m:sub>
        </m:sSub>
        <m: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u</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sub>
        </m:sSub>
      </m:oMath>
      <w:r w:rsidR="00FD0A9F" w:rsidRPr="0001491C">
        <w:rPr>
          <w:rFonts w:ascii="Times New Roman" w:hAnsi="Times New Roman" w:cs="Times New Roman"/>
          <w:sz w:val="24"/>
          <w:szCs w:val="24"/>
        </w:rPr>
        <w:t>,</w:t>
      </w:r>
    </w:p>
    <w:p w14:paraId="296B81C8" w14:textId="797D3B4C" w:rsidR="00FD0A9F" w:rsidRPr="0001491C" w:rsidRDefault="005954EB" w:rsidP="0001491C">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FD0A9F" w:rsidRPr="0001491C">
        <w:rPr>
          <w:rFonts w:ascii="Times New Roman" w:hAnsi="Times New Roman" w:cs="Times New Roman"/>
          <w:sz w:val="24"/>
          <w:szCs w:val="24"/>
        </w:rPr>
        <w:t>here</w:t>
      </w:r>
      <w:proofErr w:type="gramEnd"/>
    </w:p>
    <w:p w14:paraId="1C5EA0E3" w14:textId="77777777" w:rsidR="00120350" w:rsidRPr="0001491C" w:rsidRDefault="00B54375" w:rsidP="0001491C">
      <w:pPr>
        <w:spacing w:after="0" w:line="480" w:lineRule="auto"/>
        <w:jc w:val="both"/>
        <w:rPr>
          <w:rFonts w:ascii="Times New Roman" w:hAnsi="Times New Roman" w:cs="Times New Roman"/>
          <w:sz w:val="24"/>
          <w:szCs w:val="24"/>
        </w:rPr>
      </w:pPr>
      <m:oMath>
        <m:r>
          <w:rPr>
            <w:rFonts w:ascii="Cambria Math" w:hAnsi="Cambria Math" w:cs="Times New Roman"/>
            <w:sz w:val="24"/>
            <w:szCs w:val="24"/>
          </w:rPr>
          <m:t>u</m:t>
        </m:r>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σ</m:t>
            </m:r>
            <m:rad>
              <m:radPr>
                <m:degHide m:val="1"/>
                <m:ctrlPr>
                  <w:rPr>
                    <w:rFonts w:ascii="Cambria Math" w:hAnsi="Cambria Math" w:cs="Times New Roman"/>
                    <w:i/>
                    <w:sz w:val="24"/>
                    <w:szCs w:val="24"/>
                  </w:rPr>
                </m:ctrlPr>
              </m:radPr>
              <m:deg/>
              <m:e>
                <m:r>
                  <w:rPr>
                    <w:rFonts w:ascii="Cambria Math" w:hAnsi="Cambria Math" w:cs="Times New Roman"/>
                    <w:sz w:val="24"/>
                    <w:szCs w:val="24"/>
                  </w:rPr>
                  <m:t>3∆t</m:t>
                </m:r>
              </m:e>
            </m:rad>
          </m:sup>
        </m:sSup>
      </m:oMath>
      <w:r w:rsidR="00120350" w:rsidRPr="0001491C">
        <w:rPr>
          <w:rFonts w:ascii="Times New Roman" w:hAnsi="Times New Roman" w:cs="Times New Roman"/>
          <w:sz w:val="24"/>
          <w:szCs w:val="24"/>
        </w:rPr>
        <w:t>,</w:t>
      </w:r>
    </w:p>
    <w:p w14:paraId="754EE606" w14:textId="77777777" w:rsidR="00FD0A9F" w:rsidRPr="0001491C" w:rsidRDefault="00B54375" w:rsidP="0001491C">
      <w:pPr>
        <w:spacing w:after="0" w:line="480" w:lineRule="auto"/>
        <w:jc w:val="both"/>
        <w:rPr>
          <w:rFonts w:ascii="Times New Roman" w:hAnsi="Times New Roman" w:cs="Times New Roman"/>
          <w:sz w:val="24"/>
          <w:szCs w:val="24"/>
        </w:rPr>
      </w:pPr>
      <m:oMath>
        <m:r>
          <w:rPr>
            <w:rFonts w:ascii="Cambria Math" w:hAnsi="Cambria Math" w:cs="Times New Roman"/>
            <w:sz w:val="24"/>
            <w:szCs w:val="24"/>
          </w:rPr>
          <m:t>d</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1</m:t>
            </m:r>
          </m:num>
          <m:den>
            <m:r>
              <w:rPr>
                <w:rFonts w:ascii="Cambria Math" w:hAnsi="Cambria Math" w:cs="Times New Roman"/>
                <w:sz w:val="24"/>
                <w:szCs w:val="24"/>
              </w:rPr>
              <m:t>u</m:t>
            </m:r>
          </m:den>
        </m:f>
      </m:oMath>
      <w:r w:rsidR="00FD0A9F" w:rsidRPr="0001491C">
        <w:rPr>
          <w:rFonts w:ascii="Times New Roman" w:hAnsi="Times New Roman" w:cs="Times New Roman"/>
          <w:sz w:val="24"/>
          <w:szCs w:val="24"/>
        </w:rPr>
        <w:t>,</w:t>
      </w:r>
    </w:p>
    <w:p w14:paraId="6EDB71E8" w14:textId="77777777" w:rsidR="00FD0A9F" w:rsidRPr="0001491C" w:rsidRDefault="008B0544" w:rsidP="0001491C">
      <w:pPr>
        <w:spacing w:after="0" w:line="480"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(2R+</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r>
              <w:rPr>
                <w:rFonts w:ascii="Cambria Math" w:hAnsi="Cambria Math" w:cs="Times New Roman"/>
                <w:sz w:val="24"/>
                <w:szCs w:val="24"/>
              </w:rPr>
              <m:t>)∆t</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(R+r)∆t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2r∆t</m:t>
            </m:r>
          </m:sup>
        </m:sSup>
      </m:oMath>
      <w:r w:rsidR="00FD0A9F" w:rsidRPr="0001491C">
        <w:rPr>
          <w:rFonts w:ascii="Times New Roman" w:hAnsi="Times New Roman" w:cs="Times New Roman"/>
          <w:sz w:val="24"/>
          <w:szCs w:val="24"/>
        </w:rPr>
        <w:t>,</w:t>
      </w:r>
    </w:p>
    <w:p w14:paraId="73ADC9B0" w14:textId="77777777" w:rsidR="00FD0A9F" w:rsidRPr="0001491C" w:rsidRDefault="008B0544" w:rsidP="0001491C">
      <w:pPr>
        <w:spacing w:after="0" w:line="480"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r>
          <w:rPr>
            <w:rFonts w:ascii="Cambria Math" w:hAnsi="Cambria Math" w:cs="Times New Roman"/>
            <w:sz w:val="24"/>
            <w:szCs w:val="24"/>
          </w:rPr>
          <m:t>-d-1)</m:t>
        </m:r>
      </m:oMath>
      <w:r w:rsidR="00FD0A9F" w:rsidRPr="0001491C">
        <w:rPr>
          <w:rFonts w:ascii="Times New Roman" w:hAnsi="Times New Roman" w:cs="Times New Roman"/>
          <w:sz w:val="24"/>
          <w:szCs w:val="24"/>
        </w:rPr>
        <w:t>,</w:t>
      </w:r>
    </w:p>
    <w:p w14:paraId="6D1F613E" w14:textId="77777777" w:rsidR="00FD0A9F" w:rsidRPr="0001491C" w:rsidRDefault="008B0544" w:rsidP="0001491C">
      <w:pPr>
        <w:spacing w:after="0" w:line="480"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3</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r>
          <w:rPr>
            <w:rFonts w:ascii="Cambria Math" w:hAnsi="Cambria Math" w:cs="Times New Roman"/>
            <w:sz w:val="24"/>
            <w:szCs w:val="24"/>
          </w:rPr>
          <m:t>-d)</m:t>
        </m:r>
      </m:oMath>
      <w:r w:rsidR="00FD0A9F" w:rsidRPr="0001491C">
        <w:rPr>
          <w:rFonts w:ascii="Times New Roman" w:hAnsi="Times New Roman" w:cs="Times New Roman"/>
          <w:sz w:val="24"/>
          <w:szCs w:val="24"/>
        </w:rPr>
        <w:t>.</w:t>
      </w:r>
    </w:p>
    <w:p w14:paraId="67E26E8C" w14:textId="77777777" w:rsidR="00FD0A9F" w:rsidRPr="0001491C" w:rsidRDefault="00120350" w:rsidP="005954EB">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According to this setting, t</w:t>
      </w:r>
      <w:r w:rsidR="00FC75BF" w:rsidRPr="0001491C">
        <w:rPr>
          <w:rFonts w:ascii="Times New Roman" w:hAnsi="Times New Roman" w:cs="Times New Roman"/>
          <w:sz w:val="24"/>
          <w:szCs w:val="24"/>
        </w:rPr>
        <w:t xml:space="preserve">he asset level at time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oMath>
      <w:r w:rsidR="00FC75BF" w:rsidRPr="0001491C">
        <w:rPr>
          <w:rFonts w:ascii="Times New Roman" w:hAnsi="Times New Roman" w:cs="Times New Roman"/>
          <w:sz w:val="24"/>
          <w:szCs w:val="24"/>
        </w:rPr>
        <w:t xml:space="preserve"> can move to one of three levels (</w:t>
      </w:r>
      <m:oMath>
        <m:sSub>
          <m:sSubPr>
            <m:ctrlPr>
              <w:rPr>
                <w:rFonts w:ascii="Cambria Math" w:hAnsi="Cambria Math" w:cs="Times New Roman"/>
                <w:i/>
                <w:sz w:val="24"/>
                <w:szCs w:val="24"/>
              </w:rPr>
            </m:ctrlPr>
          </m:sSubPr>
          <m:e>
            <m:r>
              <w:rPr>
                <w:rFonts w:ascii="Cambria Math" w:hAnsi="Cambria Math" w:cs="Times New Roman"/>
                <w:sz w:val="24"/>
                <w:szCs w:val="24"/>
              </w:rPr>
              <m:t>ua</m:t>
            </m:r>
          </m:e>
          <m:sub>
            <m:r>
              <w:rPr>
                <w:rFonts w:ascii="Cambria Math" w:hAnsi="Cambria Math" w:cs="Times New Roman"/>
                <w:sz w:val="24"/>
                <w:szCs w:val="24"/>
              </w:rPr>
              <m:t>t+</m:t>
            </m:r>
          </m:sub>
        </m:sSub>
      </m:oMath>
      <w:r w:rsidR="00FC75BF" w:rsidRPr="0001491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oMath>
      <w:r w:rsidRPr="0001491C">
        <w:rPr>
          <w:rFonts w:ascii="Times New Roman" w:hAnsi="Times New Roman" w:cs="Times New Roman"/>
          <w:sz w:val="24"/>
          <w:szCs w:val="24"/>
        </w:rPr>
        <w:t xml:space="preserve"> </w:t>
      </w:r>
      <w:proofErr w:type="gramStart"/>
      <w:r w:rsidR="00FC75BF" w:rsidRPr="0001491C">
        <w:rPr>
          <w:rFonts w:ascii="Times New Roman" w:hAnsi="Times New Roman" w:cs="Times New Roman"/>
          <w:sz w:val="24"/>
          <w:szCs w:val="24"/>
        </w:rPr>
        <w:t xml:space="preserve">and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da</m:t>
            </m:r>
          </m:e>
          <m:sub>
            <m:r>
              <w:rPr>
                <w:rFonts w:ascii="Cambria Math" w:hAnsi="Cambria Math" w:cs="Times New Roman"/>
                <w:sz w:val="24"/>
                <w:szCs w:val="24"/>
              </w:rPr>
              <m:t>t+</m:t>
            </m:r>
          </m:sub>
        </m:sSub>
      </m:oMath>
      <w:r w:rsidR="00FC75BF" w:rsidRPr="0001491C">
        <w:rPr>
          <w:rFonts w:ascii="Times New Roman" w:hAnsi="Times New Roman" w:cs="Times New Roman"/>
          <w:sz w:val="24"/>
          <w:szCs w:val="24"/>
        </w:rPr>
        <w:t xml:space="preserve">) at time </w:t>
      </w:r>
      <m:oMath>
        <m:sSup>
          <m:sSupPr>
            <m:ctrlPr>
              <w:rPr>
                <w:rFonts w:ascii="Cambria Math" w:hAnsi="Cambria Math" w:cs="Times New Roman"/>
                <w:i/>
                <w:sz w:val="24"/>
                <w:szCs w:val="24"/>
              </w:rPr>
            </m:ctrlPr>
          </m:sSupPr>
          <m:e>
            <m:r>
              <w:rPr>
                <w:rFonts w:ascii="Cambria Math" w:hAnsi="Cambria Math" w:cs="Times New Roman"/>
                <w:sz w:val="24"/>
                <w:szCs w:val="24"/>
              </w:rPr>
              <m:t>t+1</m:t>
            </m:r>
          </m:e>
          <m:sup>
            <m:r>
              <w:rPr>
                <w:rFonts w:ascii="Cambria Math" w:hAnsi="Cambria Math" w:cs="Times New Roman"/>
                <w:sz w:val="24"/>
                <w:szCs w:val="24"/>
              </w:rPr>
              <m:t>-</m:t>
            </m:r>
          </m:sup>
        </m:sSup>
      </m:oMath>
      <w:r w:rsidR="00FC75BF" w:rsidRPr="0001491C">
        <w:rPr>
          <w:rFonts w:ascii="Times New Roman" w:hAnsi="Times New Roman" w:cs="Times New Roman"/>
          <w:sz w:val="24"/>
          <w:szCs w:val="24"/>
        </w:rPr>
        <w:t xml:space="preserve">. Therefore, the </w:t>
      </w:r>
      <m:oMath>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e>
        </m:d>
      </m:oMath>
      <w:r w:rsidR="00FC75BF" w:rsidRPr="0001491C">
        <w:rPr>
          <w:rFonts w:ascii="Times New Roman" w:hAnsi="Times New Roman" w:cs="Times New Roman"/>
          <w:sz w:val="24"/>
          <w:szCs w:val="24"/>
        </w:rPr>
        <w:t xml:space="preserve"> can be rewritten as </w:t>
      </w:r>
    </w:p>
    <w:p w14:paraId="74B7E7C5" w14:textId="77777777" w:rsidR="00FC75BF" w:rsidRPr="0001491C" w:rsidRDefault="008B0544" w:rsidP="0001491C">
      <w:pPr>
        <w:pStyle w:val="ListParagraph"/>
        <w:spacing w:after="0" w:line="480" w:lineRule="auto"/>
        <w:ind w:left="360"/>
        <w:jc w:val="both"/>
        <w:rPr>
          <w:rFonts w:ascii="Times New Roman" w:hAnsi="Times New Roman" w:cs="Times New Roman"/>
          <w:sz w:val="24"/>
          <w:szCs w:val="24"/>
        </w:rPr>
      </w:pPr>
      <m:oMathPara>
        <m:oMath>
          <m:func>
            <m:funcPr>
              <m:ctrlPr>
                <w:rPr>
                  <w:rFonts w:ascii="Cambria Math" w:hAnsi="Cambria Math" w:cs="Times New Roman"/>
                  <w:sz w:val="24"/>
                  <w:szCs w:val="24"/>
                </w:rPr>
              </m:ctrlPr>
            </m:funcPr>
            <m:fName>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e>
              </m:d>
              <m:r>
                <w:rPr>
                  <w:rFonts w:ascii="Cambria Math" w:hAnsi="Cambria Math" w:cs="Times New Roman"/>
                  <w:sz w:val="24"/>
                  <w:szCs w:val="24"/>
                </w:rPr>
                <m:t>=</m:t>
              </m:r>
              <m:limLow>
                <m:limLowPr>
                  <m:ctrlPr>
                    <w:rPr>
                      <w:rFonts w:ascii="Cambria Math" w:hAnsi="Cambria Math" w:cs="Times New Roman"/>
                      <w:sz w:val="24"/>
                      <w:szCs w:val="24"/>
                    </w:rPr>
                  </m:ctrlPr>
                </m:limLowPr>
                <m:e>
                  <m:r>
                    <m:rPr>
                      <m:sty m:val="p"/>
                    </m:rPr>
                    <w:rPr>
                      <w:rFonts w:ascii="Cambria Math" w:hAnsi="Cambria Math" w:cs="Times New Roman"/>
                      <w:sz w:val="24"/>
                      <w:szCs w:val="24"/>
                    </w:rPr>
                    <m:t>max</m:t>
                  </m:r>
                </m:e>
                <m:lim>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t+</m:t>
                      </m:r>
                    </m:sub>
                  </m:sSub>
                </m:lim>
              </m:limLow>
            </m:fName>
            <m:e>
              <m:d>
                <m:dPr>
                  <m:begChr m:val="{"/>
                  <m:endChr m:val="}"/>
                  <m:ctrlPr>
                    <w:rPr>
                      <w:rFonts w:ascii="Cambria Math" w:hAnsi="Cambria Math" w:cs="Times New Roman"/>
                      <w:i/>
                      <w:sz w:val="24"/>
                      <w:szCs w:val="24"/>
                    </w:rPr>
                  </m:ctrlPr>
                </m:dPr>
                <m:e>
                  <m:r>
                    <w:rPr>
                      <w:rFonts w:ascii="Cambria Math" w:hAnsi="Cambria Math" w:cs="Times New Roman"/>
                      <w:sz w:val="24"/>
                      <w:szCs w:val="24"/>
                    </w:rPr>
                    <m:t>α</m:t>
                  </m:r>
                  <m:d>
                    <m:dPr>
                      <m:begChr m:val="["/>
                      <m:endChr m:val="]"/>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u</m:t>
                          </m:r>
                        </m:sub>
                      </m:sSub>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t+1</m:t>
                              </m:r>
                            </m:e>
                            <m:sup>
                              <m:r>
                                <w:rPr>
                                  <w:rFonts w:ascii="Cambria Math" w:hAnsi="Cambria Math" w:cs="Times New Roman"/>
                                  <w:sz w:val="24"/>
                                  <w:szCs w:val="24"/>
                                </w:rPr>
                                <m:t>-</m:t>
                              </m:r>
                            </m:sup>
                          </m:sSup>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ua</m:t>
                              </m:r>
                            </m:e>
                            <m:sub>
                              <m:r>
                                <w:rPr>
                                  <w:rFonts w:ascii="Cambria Math" w:hAnsi="Cambria Math" w:cs="Times New Roman"/>
                                  <w:sz w:val="24"/>
                                  <w:szCs w:val="24"/>
                                </w:rPr>
                                <m:t>t+</m:t>
                              </m:r>
                            </m:sub>
                          </m:sSub>
                        </m:e>
                      </m:d>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m</m:t>
                          </m:r>
                        </m:sub>
                      </m:sSub>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t+1</m:t>
                              </m:r>
                            </m:e>
                            <m:sup>
                              <m:r>
                                <w:rPr>
                                  <w:rFonts w:ascii="Cambria Math" w:hAnsi="Cambria Math" w:cs="Times New Roman"/>
                                  <w:sz w:val="24"/>
                                  <w:szCs w:val="24"/>
                                </w:rPr>
                                <m:t>-</m:t>
                              </m:r>
                            </m:sup>
                          </m:sSup>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e>
                      </m:d>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sub>
                      </m:sSub>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t+1</m:t>
                              </m:r>
                            </m:e>
                            <m:sup>
                              <m:r>
                                <w:rPr>
                                  <w:rFonts w:ascii="Cambria Math" w:hAnsi="Cambria Math" w:cs="Times New Roman"/>
                                  <w:sz w:val="24"/>
                                  <w:szCs w:val="24"/>
                                </w:rPr>
                                <m:t>-</m:t>
                              </m:r>
                            </m:sup>
                          </m:sSup>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da</m:t>
                              </m:r>
                            </m:e>
                            <m:sub>
                              <m:r>
                                <w:rPr>
                                  <w:rFonts w:ascii="Cambria Math" w:hAnsi="Cambria Math" w:cs="Times New Roman"/>
                                  <w:sz w:val="24"/>
                                  <w:szCs w:val="24"/>
                                </w:rPr>
                                <m:t>t+</m:t>
                              </m:r>
                            </m:sub>
                          </m:sSub>
                        </m:e>
                      </m:d>
                    </m:e>
                  </m:d>
                </m:e>
              </m:d>
              <m:r>
                <w:rPr>
                  <w:rFonts w:ascii="Cambria Math" w:hAnsi="Cambria Math" w:cs="Times New Roman"/>
                  <w:sz w:val="24"/>
                  <w:szCs w:val="24"/>
                </w:rPr>
                <m:t>.</m:t>
              </m:r>
            </m:e>
          </m:func>
        </m:oMath>
      </m:oMathPara>
    </w:p>
    <w:p w14:paraId="4E435485" w14:textId="245C86DF" w:rsidR="00CC4C03" w:rsidRPr="0001491C" w:rsidRDefault="00CC3C5B" w:rsidP="005954EB">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 xml:space="preserve">To maximize </w:t>
      </w:r>
      <m:oMath>
        <m:r>
          <w:rPr>
            <w:rFonts w:ascii="Cambria Math" w:hAnsi="Cambria Math" w:cs="Times New Roman"/>
            <w:sz w:val="24"/>
            <w:szCs w:val="24"/>
          </w:rPr>
          <m:t>V</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e>
        </m:d>
        <m:r>
          <w:rPr>
            <w:rFonts w:ascii="Cambria Math" w:hAnsi="Cambria Math" w:cs="Times New Roman"/>
            <w:sz w:val="24"/>
            <w:szCs w:val="24"/>
          </w:rPr>
          <m:t>,</m:t>
        </m:r>
      </m:oMath>
      <w:r w:rsidRPr="0001491C">
        <w:rPr>
          <w:rFonts w:ascii="Times New Roman" w:hAnsi="Times New Roman" w:cs="Times New Roman"/>
          <w:sz w:val="24"/>
          <w:szCs w:val="24"/>
        </w:rPr>
        <w:t xml:space="preserve"> we take the first derivative on </w:t>
      </w:r>
      <m:oMath>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t</m:t>
            </m:r>
          </m:sub>
        </m:sSub>
      </m:oMath>
      <w:r w:rsidRPr="0001491C">
        <w:rPr>
          <w:rFonts w:ascii="Times New Roman" w:hAnsi="Times New Roman" w:cs="Times New Roman"/>
          <w:sz w:val="24"/>
          <w:szCs w:val="24"/>
        </w:rPr>
        <w:t xml:space="preserve"> and we can get a closed-form </w:t>
      </w:r>
      <w:proofErr w:type="gramStart"/>
      <w:r w:rsidRPr="0001491C">
        <w:rPr>
          <w:rFonts w:ascii="Times New Roman" w:hAnsi="Times New Roman" w:cs="Times New Roman"/>
          <w:sz w:val="24"/>
          <w:szCs w:val="24"/>
        </w:rPr>
        <w:t>s</w:t>
      </w:r>
      <w:proofErr w:type="spellStart"/>
      <w:r w:rsidRPr="0001491C">
        <w:rPr>
          <w:rFonts w:ascii="Times New Roman" w:hAnsi="Times New Roman" w:cs="Times New Roman"/>
          <w:sz w:val="24"/>
          <w:szCs w:val="24"/>
        </w:rPr>
        <w:t>olution</w:t>
      </w:r>
      <w:proofErr w:type="spellEnd"/>
      <w:r w:rsidRPr="0001491C">
        <w:rPr>
          <w:rFonts w:ascii="Times New Roman" w:hAnsi="Times New Roman" w:cs="Times New Roman"/>
          <w:sz w:val="24"/>
          <w:szCs w:val="24"/>
        </w:rPr>
        <w:t xml:space="preserve"> </w:t>
      </w:r>
      <w:proofErr w:type="gramEnd"/>
      <m:oMath>
        <m:sSubSup>
          <m:sSubSupPr>
            <m:ctrlPr>
              <w:rPr>
                <w:rFonts w:ascii="Cambria Math" w:hAnsi="Cambria Math" w:cs="Times New Roman"/>
                <w:sz w:val="24"/>
                <w:szCs w:val="24"/>
              </w:rPr>
            </m:ctrlPr>
          </m:sSubSupPr>
          <m:e>
            <m:r>
              <w:rPr>
                <w:rFonts w:ascii="Cambria Math" w:hAnsi="Cambria Math" w:cs="Times New Roman"/>
                <w:sz w:val="24"/>
                <w:szCs w:val="24"/>
              </w:rPr>
              <m:t>ω</m:t>
            </m:r>
          </m:e>
          <m:sub>
            <m:r>
              <w:rPr>
                <w:rFonts w:ascii="Cambria Math" w:hAnsi="Cambria Math" w:cs="Times New Roman"/>
                <w:sz w:val="24"/>
                <w:szCs w:val="24"/>
              </w:rPr>
              <m:t>t</m:t>
            </m:r>
          </m:sub>
          <m:sup>
            <m:r>
              <w:rPr>
                <w:rFonts w:ascii="Cambria Math" w:hAnsi="Cambria Math" w:cs="Times New Roman"/>
                <w:sz w:val="24"/>
                <w:szCs w:val="24"/>
              </w:rPr>
              <m:t>*</m:t>
            </m:r>
          </m:sup>
        </m:sSubSup>
      </m:oMath>
      <w:r w:rsidR="005954EB">
        <w:rPr>
          <w:rFonts w:ascii="Times New Roman" w:hAnsi="Times New Roman" w:cs="Times New Roman"/>
          <w:sz w:val="24"/>
          <w:szCs w:val="24"/>
        </w:rPr>
        <w:t xml:space="preserve">, </w:t>
      </w:r>
      <w:r w:rsidRPr="0001491C">
        <w:rPr>
          <w:rFonts w:ascii="Times New Roman" w:hAnsi="Times New Roman" w:cs="Times New Roman"/>
          <w:sz w:val="24"/>
          <w:szCs w:val="24"/>
        </w:rPr>
        <w:t xml:space="preserve"> </w:t>
      </w:r>
    </w:p>
    <w:p w14:paraId="1F833F45" w14:textId="1C6E4411" w:rsidR="005954EB" w:rsidRPr="0001491C" w:rsidRDefault="008B0544" w:rsidP="005954EB">
      <w:pPr>
        <w:spacing w:after="0" w:line="480" w:lineRule="auto"/>
        <w:jc w:val="center"/>
        <w:rPr>
          <w:rFonts w:ascii="Times New Roman" w:hAnsi="Times New Roman" w:cs="Times New Roman"/>
          <w:sz w:val="24"/>
          <w:szCs w:val="24"/>
        </w:rPr>
      </w:pPr>
      <m:oMath>
        <m:sSubSup>
          <m:sSubSupPr>
            <m:ctrlPr>
              <w:rPr>
                <w:rFonts w:ascii="Cambria Math" w:hAnsi="Cambria Math" w:cs="Times New Roman"/>
                <w:sz w:val="24"/>
                <w:szCs w:val="24"/>
              </w:rPr>
            </m:ctrlPr>
          </m:sSubSupPr>
          <m:e>
            <m:r>
              <w:rPr>
                <w:rFonts w:ascii="Cambria Math" w:hAnsi="Cambria Math" w:cs="Times New Roman"/>
                <w:sz w:val="24"/>
                <w:szCs w:val="24"/>
              </w:rPr>
              <m:t>ω</m:t>
            </m:r>
          </m:e>
          <m:sub>
            <m:r>
              <w:rPr>
                <w:rFonts w:ascii="Cambria Math" w:hAnsi="Cambria Math" w:cs="Times New Roman"/>
                <w:sz w:val="24"/>
                <w:szCs w:val="24"/>
              </w:rPr>
              <m:t>t</m:t>
            </m:r>
          </m:sub>
          <m:sup>
            <m:r>
              <w:rPr>
                <w:rFonts w:ascii="Cambria Math" w:hAnsi="Cambria Math" w:cs="Times New Roman"/>
                <w:sz w:val="24"/>
                <w:szCs w:val="24"/>
              </w:rPr>
              <m:t>*</m:t>
            </m:r>
          </m:sup>
        </m:sSubSup>
        <m:r>
          <w:rPr>
            <w:rFonts w:ascii="Cambria Math" w:hAnsi="Cambria Math" w:cs="Times New Roman"/>
            <w:sz w:val="24"/>
            <w:szCs w:val="24"/>
          </w:rPr>
          <m:t>=-</m:t>
        </m:r>
        <m:f>
          <m:fPr>
            <m:ctrlPr>
              <w:rPr>
                <w:rFonts w:ascii="Cambria Math" w:hAnsi="Cambria Math" w:cs="Times New Roman"/>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d-1</m:t>
                </m:r>
              </m:e>
            </m:d>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V</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ua</m:t>
                        </m:r>
                      </m:e>
                      <m:sub>
                        <m:r>
                          <w:rPr>
                            <w:rFonts w:ascii="Cambria Math" w:hAnsi="Cambria Math" w:cs="Times New Roman"/>
                            <w:sz w:val="24"/>
                            <w:szCs w:val="24"/>
                          </w:rPr>
                          <m:t>t+</m:t>
                        </m:r>
                      </m:sub>
                    </m:sSub>
                  </m:e>
                </m:d>
                <m:r>
                  <w:rPr>
                    <w:rFonts w:ascii="Cambria Math" w:hAnsi="Cambria Math" w:cs="Times New Roman"/>
                    <w:sz w:val="24"/>
                    <w:szCs w:val="24"/>
                  </w:rPr>
                  <m:t>-V</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da</m:t>
                        </m:r>
                      </m:e>
                      <m:sub>
                        <m:r>
                          <w:rPr>
                            <w:rFonts w:ascii="Cambria Math" w:hAnsi="Cambria Math" w:cs="Times New Roman"/>
                            <w:sz w:val="24"/>
                            <w:szCs w:val="24"/>
                          </w:rPr>
                          <m:t>t+</m:t>
                        </m:r>
                      </m:sub>
                    </m:sSub>
                  </m:e>
                </m:d>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u-1</m:t>
                </m:r>
              </m:e>
            </m:d>
            <m:d>
              <m:dPr>
                <m:ctrlPr>
                  <w:rPr>
                    <w:rFonts w:ascii="Cambria Math" w:hAnsi="Cambria Math" w:cs="Times New Roman"/>
                    <w:i/>
                    <w:sz w:val="24"/>
                    <w:szCs w:val="24"/>
                  </w:rPr>
                </m:ctrlPr>
              </m:dPr>
              <m:e>
                <m:r>
                  <w:rPr>
                    <w:rFonts w:ascii="Cambria Math" w:hAnsi="Cambria Math" w:cs="Times New Roman"/>
                    <w:sz w:val="24"/>
                    <w:szCs w:val="24"/>
                  </w:rPr>
                  <m:t>V</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e>
                </m:d>
                <m:r>
                  <w:rPr>
                    <w:rFonts w:ascii="Cambria Math" w:hAnsi="Cambria Math" w:cs="Times New Roman"/>
                    <w:sz w:val="24"/>
                    <w:szCs w:val="24"/>
                  </w:rPr>
                  <m:t>-V</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ua</m:t>
                        </m:r>
                      </m:e>
                      <m:sub>
                        <m:r>
                          <w:rPr>
                            <w:rFonts w:ascii="Cambria Math" w:hAnsi="Cambria Math" w:cs="Times New Roman"/>
                            <w:sz w:val="24"/>
                            <w:szCs w:val="24"/>
                          </w:rPr>
                          <m:t>t+</m:t>
                        </m:r>
                      </m:sub>
                    </m:sSub>
                  </m:e>
                </m:d>
              </m:e>
            </m:d>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u-d</m:t>
                    </m:r>
                  </m:e>
                </m:d>
                <m:d>
                  <m:dPr>
                    <m:ctrlPr>
                      <w:rPr>
                        <w:rFonts w:ascii="Cambria Math" w:hAnsi="Cambria Math" w:cs="Times New Roman"/>
                        <w:i/>
                        <w:sz w:val="24"/>
                        <w:szCs w:val="24"/>
                      </w:rPr>
                    </m:ctrlPr>
                  </m:dPr>
                  <m:e>
                    <m:sSup>
                      <m:sSupPr>
                        <m:ctrlPr>
                          <w:rPr>
                            <w:rFonts w:ascii="Cambria Math" w:hAnsi="Cambria Math"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e>
            </m:d>
          </m:num>
          <m:den>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d-1</m:t>
                    </m:r>
                  </m:e>
                </m:d>
                <m:d>
                  <m:dPr>
                    <m:ctrlPr>
                      <w:rPr>
                        <w:rFonts w:ascii="Cambria Math" w:hAnsi="Cambria Math" w:cs="Times New Roman"/>
                        <w:i/>
                        <w:sz w:val="24"/>
                        <w:szCs w:val="24"/>
                      </w:rPr>
                    </m:ctrlPr>
                  </m:dPr>
                  <m:e>
                    <m:r>
                      <w:rPr>
                        <w:rFonts w:ascii="Cambria Math" w:hAnsi="Cambria Math" w:cs="Times New Roman"/>
                        <w:sz w:val="24"/>
                        <w:szCs w:val="24"/>
                      </w:rPr>
                      <m:t>V</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da</m:t>
                            </m:r>
                          </m:e>
                          <m:sub>
                            <m:r>
                              <w:rPr>
                                <w:rFonts w:ascii="Cambria Math" w:hAnsi="Cambria Math" w:cs="Times New Roman"/>
                                <w:sz w:val="24"/>
                                <w:szCs w:val="24"/>
                              </w:rPr>
                              <m:t>t+</m:t>
                            </m:r>
                          </m:sub>
                        </m:sSub>
                      </m:e>
                    </m:d>
                    <m:r>
                      <w:rPr>
                        <w:rFonts w:ascii="Cambria Math" w:hAnsi="Cambria Math" w:cs="Times New Roman"/>
                        <w:sz w:val="24"/>
                        <w:szCs w:val="24"/>
                      </w:rPr>
                      <m:t>-V</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e>
                    </m:d>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u-1</m:t>
                    </m:r>
                  </m:e>
                </m:d>
                <m:d>
                  <m:dPr>
                    <m:ctrlPr>
                      <w:rPr>
                        <w:rFonts w:ascii="Cambria Math" w:hAnsi="Cambria Math" w:cs="Times New Roman"/>
                        <w:i/>
                        <w:sz w:val="24"/>
                        <w:szCs w:val="24"/>
                      </w:rPr>
                    </m:ctrlPr>
                  </m:dPr>
                  <m:e>
                    <m:r>
                      <w:rPr>
                        <w:rFonts w:ascii="Cambria Math" w:hAnsi="Cambria Math" w:cs="Times New Roman"/>
                        <w:sz w:val="24"/>
                        <w:szCs w:val="24"/>
                      </w:rPr>
                      <m:t>V</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e>
                    </m:d>
                    <m:r>
                      <w:rPr>
                        <w:rFonts w:ascii="Cambria Math" w:hAnsi="Cambria Math" w:cs="Times New Roman"/>
                        <w:sz w:val="24"/>
                        <w:szCs w:val="24"/>
                      </w:rPr>
                      <m:t>-V</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ua</m:t>
                            </m:r>
                          </m:e>
                          <m:sub>
                            <m:r>
                              <w:rPr>
                                <w:rFonts w:ascii="Cambria Math" w:hAnsi="Cambria Math" w:cs="Times New Roman"/>
                                <w:sz w:val="24"/>
                                <w:szCs w:val="24"/>
                              </w:rPr>
                              <m:t>t+</m:t>
                            </m:r>
                          </m:sub>
                        </m:sSub>
                      </m:e>
                    </m:d>
                  </m:e>
                </m:d>
              </m:e>
            </m:d>
          </m:den>
        </m:f>
      </m:oMath>
      <w:r w:rsidR="005954EB">
        <w:rPr>
          <w:rFonts w:ascii="Times New Roman" w:hAnsi="Times New Roman" w:cs="Times New Roman"/>
          <w:sz w:val="24"/>
          <w:szCs w:val="24"/>
        </w:rPr>
        <w:t>.</w:t>
      </w:r>
    </w:p>
    <w:p w14:paraId="29585783" w14:textId="77777777" w:rsidR="00120350" w:rsidRDefault="00CC3C5B" w:rsidP="0001491C">
      <w:pPr>
        <w:spacing w:after="0" w:line="480" w:lineRule="auto"/>
        <w:jc w:val="both"/>
        <w:rPr>
          <w:rFonts w:ascii="Times New Roman" w:hAnsi="Times New Roman" w:cs="Times New Roman"/>
          <w:sz w:val="24"/>
          <w:szCs w:val="24"/>
        </w:rPr>
      </w:pPr>
      <w:r w:rsidRPr="0001491C">
        <w:rPr>
          <w:rFonts w:ascii="Times New Roman" w:hAnsi="Times New Roman" w:cs="Times New Roman"/>
          <w:sz w:val="24"/>
          <w:szCs w:val="24"/>
        </w:rPr>
        <w:t xml:space="preserve">By the no-short-selling restriction, </w:t>
      </w:r>
      <m:oMath>
        <m:sSub>
          <m:sSubPr>
            <m:ctrlPr>
              <w:rPr>
                <w:rFonts w:ascii="Cambria Math" w:hAnsi="Cambria Math" w:cs="Times New Roman"/>
                <w:sz w:val="24"/>
                <w:szCs w:val="24"/>
              </w:rPr>
            </m:ctrlPr>
          </m:sSubPr>
          <m:e>
            <m:r>
              <w:rPr>
                <w:rFonts w:ascii="Cambria Math" w:hAnsi="Cambria Math" w:cs="Times New Roman"/>
                <w:sz w:val="24"/>
                <w:szCs w:val="24"/>
              </w:rPr>
              <m:t>ω</m:t>
            </m:r>
          </m:e>
          <m:sub>
            <m:r>
              <w:rPr>
                <w:rFonts w:ascii="Cambria Math" w:hAnsi="Cambria Math" w:cs="Times New Roman"/>
                <w:sz w:val="24"/>
                <w:szCs w:val="24"/>
              </w:rPr>
              <m:t>t</m:t>
            </m:r>
          </m:sub>
        </m:sSub>
        <m:r>
          <w:rPr>
            <w:rFonts w:ascii="Cambria Math" w:hAnsi="Cambria Math" w:cs="Times New Roman"/>
            <w:sz w:val="24"/>
            <w:szCs w:val="24"/>
          </w:rPr>
          <m:t>∈[0,1]</m:t>
        </m:r>
      </m:oMath>
      <w:r w:rsidRPr="0001491C">
        <w:rPr>
          <w:rFonts w:ascii="Times New Roman" w:hAnsi="Times New Roman" w:cs="Times New Roman"/>
          <w:sz w:val="24"/>
          <w:szCs w:val="24"/>
        </w:rPr>
        <w:t xml:space="preserve"> and we only need to check three possible values </w:t>
      </w:r>
      <w:proofErr w:type="gramStart"/>
      <w:r w:rsidRPr="0001491C">
        <w:rPr>
          <w:rFonts w:ascii="Times New Roman" w:hAnsi="Times New Roman" w:cs="Times New Roman"/>
          <w:sz w:val="24"/>
          <w:szCs w:val="24"/>
        </w:rPr>
        <w:t xml:space="preserve">of </w:t>
      </w:r>
      <w:proofErr w:type="gramEnd"/>
      <m:oMath>
        <m:sSub>
          <m:sSubPr>
            <m:ctrlPr>
              <w:rPr>
                <w:rFonts w:ascii="Cambria Math" w:hAnsi="Cambria Math" w:cs="Times New Roman"/>
                <w:sz w:val="24"/>
                <w:szCs w:val="24"/>
              </w:rPr>
            </m:ctrlPr>
          </m:sSubPr>
          <m:e>
            <m:r>
              <w:rPr>
                <w:rFonts w:ascii="Cambria Math" w:hAnsi="Cambria Math" w:cs="Times New Roman"/>
                <w:sz w:val="24"/>
                <w:szCs w:val="24"/>
              </w:rPr>
              <m:t>ω</m:t>
            </m:r>
          </m:e>
          <m:sub>
            <m:r>
              <w:rPr>
                <w:rFonts w:ascii="Cambria Math" w:hAnsi="Cambria Math" w:cs="Times New Roman"/>
                <w:sz w:val="24"/>
                <w:szCs w:val="24"/>
              </w:rPr>
              <m:t>t</m:t>
            </m:r>
          </m:sub>
        </m:sSub>
      </m:oMath>
      <w:r w:rsidRPr="0001491C">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w:rPr>
                <w:rFonts w:ascii="Cambria Math" w:hAnsi="Cambria Math" w:cs="Times New Roman"/>
                <w:sz w:val="24"/>
                <w:szCs w:val="24"/>
              </w:rPr>
              <m:t>0, ω</m:t>
            </m:r>
          </m:e>
          <m:sub>
            <m:r>
              <w:rPr>
                <w:rFonts w:ascii="Cambria Math" w:hAnsi="Cambria Math" w:cs="Times New Roman"/>
                <w:sz w:val="24"/>
                <w:szCs w:val="24"/>
              </w:rPr>
              <m:t>t</m:t>
            </m:r>
          </m:sub>
          <m:sup>
            <m:r>
              <w:rPr>
                <w:rFonts w:ascii="Cambria Math" w:hAnsi="Cambria Math" w:cs="Times New Roman"/>
                <w:sz w:val="24"/>
                <w:szCs w:val="24"/>
              </w:rPr>
              <m:t>*</m:t>
            </m:r>
          </m:sup>
        </m:sSubSup>
        <m:r>
          <w:rPr>
            <w:rFonts w:ascii="Cambria Math" w:hAnsi="Cambria Math" w:cs="Times New Roman"/>
            <w:sz w:val="24"/>
            <w:szCs w:val="24"/>
          </w:rPr>
          <m:t>,1</m:t>
        </m:r>
      </m:oMath>
      <w:r w:rsidR="00354B08" w:rsidRPr="0001491C">
        <w:rPr>
          <w:rFonts w:ascii="Times New Roman" w:hAnsi="Times New Roman" w:cs="Times New Roman"/>
          <w:sz w:val="24"/>
          <w:szCs w:val="24"/>
        </w:rPr>
        <w:t>.</w:t>
      </w:r>
      <w:r w:rsidRPr="0001491C">
        <w:rPr>
          <w:rFonts w:ascii="Times New Roman" w:hAnsi="Times New Roman" w:cs="Times New Roman"/>
          <w:sz w:val="24"/>
          <w:szCs w:val="24"/>
        </w:rPr>
        <w:t xml:space="preserve"> </w:t>
      </w:r>
      <w:r w:rsidR="00354B08" w:rsidRPr="0001491C">
        <w:rPr>
          <w:rFonts w:ascii="Times New Roman" w:hAnsi="Times New Roman" w:cs="Times New Roman"/>
          <w:sz w:val="24"/>
          <w:szCs w:val="24"/>
        </w:rPr>
        <w:t>I</w:t>
      </w:r>
      <w:r w:rsidRPr="0001491C">
        <w:rPr>
          <w:rFonts w:ascii="Times New Roman" w:hAnsi="Times New Roman" w:cs="Times New Roman"/>
          <w:sz w:val="24"/>
          <w:szCs w:val="24"/>
        </w:rPr>
        <w:t xml:space="preserve">f </w:t>
      </w:r>
      <m:oMath>
        <m:sSubSup>
          <m:sSubSupPr>
            <m:ctrlPr>
              <w:rPr>
                <w:rFonts w:ascii="Cambria Math" w:hAnsi="Cambria Math" w:cs="Times New Roman"/>
                <w:sz w:val="24"/>
                <w:szCs w:val="24"/>
              </w:rPr>
            </m:ctrlPr>
          </m:sSubSupPr>
          <m:e>
            <m:r>
              <w:rPr>
                <w:rFonts w:ascii="Cambria Math" w:hAnsi="Cambria Math" w:cs="Times New Roman"/>
                <w:sz w:val="24"/>
                <w:szCs w:val="24"/>
              </w:rPr>
              <m:t>ω</m:t>
            </m:r>
          </m:e>
          <m:sub>
            <m:r>
              <w:rPr>
                <w:rFonts w:ascii="Cambria Math" w:hAnsi="Cambria Math" w:cs="Times New Roman"/>
                <w:sz w:val="24"/>
                <w:szCs w:val="24"/>
              </w:rPr>
              <m:t>t</m:t>
            </m:r>
          </m:sub>
          <m:sup>
            <m:r>
              <w:rPr>
                <w:rFonts w:ascii="Cambria Math" w:hAnsi="Cambria Math" w:cs="Times New Roman"/>
                <w:sz w:val="24"/>
                <w:szCs w:val="24"/>
              </w:rPr>
              <m:t>*</m:t>
            </m:r>
          </m:sup>
        </m:sSubSup>
        <m:r>
          <w:rPr>
            <w:rFonts w:ascii="Cambria Math" w:hAnsi="Cambria Math" w:cs="Times New Roman"/>
            <w:sz w:val="24"/>
            <w:szCs w:val="24"/>
          </w:rPr>
          <m:t>&lt;0</m:t>
        </m:r>
      </m:oMath>
      <w:r w:rsidRPr="0001491C">
        <w:rPr>
          <w:rFonts w:ascii="Times New Roman" w:hAnsi="Times New Roman" w:cs="Times New Roman"/>
          <w:sz w:val="24"/>
          <w:szCs w:val="24"/>
        </w:rPr>
        <w:t xml:space="preserve"> </w:t>
      </w:r>
      <w:proofErr w:type="gramStart"/>
      <w:r w:rsidRPr="0001491C">
        <w:rPr>
          <w:rFonts w:ascii="Times New Roman" w:hAnsi="Times New Roman" w:cs="Times New Roman"/>
          <w:sz w:val="24"/>
          <w:szCs w:val="24"/>
        </w:rPr>
        <w:t xml:space="preserve">or </w:t>
      </w:r>
      <w:proofErr w:type="gramEnd"/>
      <m:oMath>
        <m:sSubSup>
          <m:sSubSupPr>
            <m:ctrlPr>
              <w:rPr>
                <w:rFonts w:ascii="Cambria Math" w:hAnsi="Cambria Math" w:cs="Times New Roman"/>
                <w:sz w:val="24"/>
                <w:szCs w:val="24"/>
              </w:rPr>
            </m:ctrlPr>
          </m:sSubSupPr>
          <m:e>
            <m:r>
              <w:rPr>
                <w:rFonts w:ascii="Cambria Math" w:hAnsi="Cambria Math" w:cs="Times New Roman"/>
                <w:sz w:val="24"/>
                <w:szCs w:val="24"/>
              </w:rPr>
              <m:t>ω</m:t>
            </m:r>
          </m:e>
          <m:sub>
            <m:r>
              <w:rPr>
                <w:rFonts w:ascii="Cambria Math" w:hAnsi="Cambria Math" w:cs="Times New Roman"/>
                <w:sz w:val="24"/>
                <w:szCs w:val="24"/>
              </w:rPr>
              <m:t>t</m:t>
            </m:r>
          </m:sub>
          <m:sup>
            <m:r>
              <w:rPr>
                <w:rFonts w:ascii="Cambria Math" w:hAnsi="Cambria Math" w:cs="Times New Roman"/>
                <w:sz w:val="24"/>
                <w:szCs w:val="24"/>
              </w:rPr>
              <m:t>*</m:t>
            </m:r>
          </m:sup>
        </m:sSubSup>
        <m:r>
          <w:rPr>
            <w:rFonts w:ascii="Cambria Math" w:hAnsi="Cambria Math" w:cs="Times New Roman"/>
            <w:sz w:val="24"/>
            <w:szCs w:val="24"/>
          </w:rPr>
          <m:t>&gt;1</m:t>
        </m:r>
      </m:oMath>
      <w:r w:rsidR="00354B08" w:rsidRPr="0001491C">
        <w:rPr>
          <w:rFonts w:ascii="Times New Roman" w:hAnsi="Times New Roman" w:cs="Times New Roman"/>
          <w:sz w:val="24"/>
          <w:szCs w:val="24"/>
        </w:rPr>
        <w:t xml:space="preserve">, we will only take </w:t>
      </w:r>
      <w:r w:rsidRPr="0001491C">
        <w:rPr>
          <w:rFonts w:ascii="Times New Roman" w:hAnsi="Times New Roman" w:cs="Times New Roman"/>
          <w:sz w:val="24"/>
          <w:szCs w:val="24"/>
        </w:rPr>
        <w:t>0 or 1.</w:t>
      </w:r>
    </w:p>
    <w:p w14:paraId="0CAEE67E" w14:textId="77777777" w:rsidR="005954EB" w:rsidRPr="0001491C" w:rsidRDefault="005954EB" w:rsidP="0001491C">
      <w:pPr>
        <w:spacing w:after="0" w:line="480" w:lineRule="auto"/>
        <w:jc w:val="both"/>
        <w:rPr>
          <w:rFonts w:ascii="Times New Roman" w:hAnsi="Times New Roman" w:cs="Times New Roman"/>
          <w:sz w:val="24"/>
          <w:szCs w:val="24"/>
        </w:rPr>
      </w:pPr>
    </w:p>
    <w:p w14:paraId="3D220EC9" w14:textId="2E9F67FD" w:rsidR="00057EE6" w:rsidRPr="0001491C" w:rsidRDefault="00057EE6" w:rsidP="0001491C">
      <w:pPr>
        <w:spacing w:after="0" w:line="480" w:lineRule="auto"/>
        <w:jc w:val="both"/>
        <w:rPr>
          <w:rFonts w:ascii="Times New Roman" w:hAnsi="Times New Roman" w:cs="Times New Roman"/>
          <w:b/>
          <w:sz w:val="24"/>
          <w:szCs w:val="24"/>
        </w:rPr>
      </w:pPr>
      <w:r w:rsidRPr="0001491C">
        <w:rPr>
          <w:rFonts w:ascii="Times New Roman" w:hAnsi="Times New Roman" w:cs="Times New Roman"/>
          <w:b/>
          <w:sz w:val="24"/>
          <w:szCs w:val="24"/>
        </w:rPr>
        <w:t>3</w:t>
      </w:r>
      <w:r w:rsidR="005954EB">
        <w:rPr>
          <w:rFonts w:ascii="Times New Roman" w:hAnsi="Times New Roman" w:cs="Times New Roman"/>
          <w:b/>
          <w:sz w:val="24"/>
          <w:szCs w:val="24"/>
        </w:rPr>
        <w:t xml:space="preserve">. </w:t>
      </w:r>
      <w:r w:rsidR="00FB02BE" w:rsidRPr="0001491C">
        <w:rPr>
          <w:rFonts w:ascii="Times New Roman" w:hAnsi="Times New Roman" w:cs="Times New Roman"/>
          <w:b/>
          <w:sz w:val="24"/>
          <w:szCs w:val="24"/>
        </w:rPr>
        <w:t>Estimat</w:t>
      </w:r>
      <w:r w:rsidRPr="0001491C">
        <w:rPr>
          <w:rFonts w:ascii="Times New Roman" w:hAnsi="Times New Roman" w:cs="Times New Roman"/>
          <w:b/>
          <w:sz w:val="24"/>
          <w:szCs w:val="24"/>
        </w:rPr>
        <w:t>ing Health Dynamics</w:t>
      </w:r>
    </w:p>
    <w:p w14:paraId="5E9E18D3" w14:textId="28D08CA6" w:rsidR="00057EE6" w:rsidRPr="0001491C" w:rsidRDefault="00FB02BE" w:rsidP="0001491C">
      <w:pPr>
        <w:spacing w:after="0" w:line="480" w:lineRule="auto"/>
        <w:jc w:val="both"/>
        <w:rPr>
          <w:rFonts w:ascii="Times New Roman" w:hAnsi="Times New Roman" w:cs="Times New Roman"/>
          <w:b/>
          <w:sz w:val="24"/>
          <w:szCs w:val="24"/>
        </w:rPr>
      </w:pPr>
      <w:r w:rsidRPr="0001491C">
        <w:rPr>
          <w:rFonts w:ascii="Times New Roman" w:hAnsi="Times New Roman" w:cs="Times New Roman"/>
          <w:b/>
          <w:sz w:val="24"/>
          <w:szCs w:val="24"/>
        </w:rPr>
        <w:t>3.</w:t>
      </w:r>
      <w:r w:rsidR="00291109" w:rsidRPr="0001491C">
        <w:rPr>
          <w:rFonts w:ascii="Times New Roman" w:hAnsi="Times New Roman" w:cs="Times New Roman"/>
          <w:b/>
          <w:sz w:val="24"/>
          <w:szCs w:val="24"/>
        </w:rPr>
        <w:t>1</w:t>
      </w:r>
      <w:r w:rsidR="005954EB">
        <w:rPr>
          <w:rFonts w:ascii="Times New Roman" w:hAnsi="Times New Roman" w:cs="Times New Roman"/>
          <w:b/>
          <w:sz w:val="24"/>
          <w:szCs w:val="24"/>
        </w:rPr>
        <w:t xml:space="preserve">. </w:t>
      </w:r>
      <w:r w:rsidRPr="0001491C">
        <w:rPr>
          <w:rFonts w:ascii="Times New Roman" w:hAnsi="Times New Roman" w:cs="Times New Roman"/>
          <w:b/>
          <w:sz w:val="24"/>
          <w:szCs w:val="24"/>
        </w:rPr>
        <w:t>Definition of the Health States</w:t>
      </w:r>
    </w:p>
    <w:p w14:paraId="722B2E64" w14:textId="5D9B7CFA" w:rsidR="00057EE6" w:rsidRPr="0001491C" w:rsidRDefault="007A4C4D" w:rsidP="005954EB">
      <w:pPr>
        <w:spacing w:after="0" w:line="480" w:lineRule="auto"/>
        <w:ind w:firstLine="720"/>
        <w:jc w:val="both"/>
        <w:rPr>
          <w:rFonts w:ascii="Times New Roman" w:hAnsi="Times New Roman" w:cs="Times New Roman"/>
          <w:sz w:val="24"/>
          <w:szCs w:val="24"/>
        </w:rPr>
      </w:pPr>
      <w:bookmarkStart w:id="1" w:name="OLE_LINK10"/>
      <w:bookmarkStart w:id="2" w:name="OLE_LINK11"/>
      <w:r w:rsidRPr="0001491C">
        <w:rPr>
          <w:rFonts w:ascii="Times New Roman" w:hAnsi="Times New Roman" w:cs="Times New Roman"/>
          <w:sz w:val="24"/>
          <w:szCs w:val="24"/>
        </w:rPr>
        <w:lastRenderedPageBreak/>
        <w:t xml:space="preserve">Following </w:t>
      </w:r>
      <w:proofErr w:type="spellStart"/>
      <w:r w:rsidR="00CB04F0" w:rsidRPr="0001491C">
        <w:rPr>
          <w:rFonts w:ascii="Times New Roman" w:hAnsi="Times New Roman" w:cs="Times New Roman"/>
          <w:sz w:val="24"/>
          <w:szCs w:val="24"/>
        </w:rPr>
        <w:t>Koijen</w:t>
      </w:r>
      <w:proofErr w:type="spellEnd"/>
      <w:r w:rsidR="00CB04F0" w:rsidRPr="0001491C">
        <w:rPr>
          <w:rFonts w:ascii="Times New Roman" w:hAnsi="Times New Roman" w:cs="Times New Roman"/>
          <w:sz w:val="24"/>
          <w:szCs w:val="24"/>
        </w:rPr>
        <w:t xml:space="preserve"> et al.</w:t>
      </w:r>
      <w:r w:rsidR="003B02DE" w:rsidRPr="0001491C">
        <w:rPr>
          <w:rFonts w:ascii="Times New Roman" w:hAnsi="Times New Roman" w:cs="Times New Roman"/>
          <w:sz w:val="24"/>
          <w:szCs w:val="24"/>
        </w:rPr>
        <w:t xml:space="preserve"> </w:t>
      </w:r>
      <w:r w:rsidR="00CB04F0" w:rsidRPr="0001491C">
        <w:rPr>
          <w:rFonts w:ascii="Times New Roman" w:hAnsi="Times New Roman" w:cs="Times New Roman"/>
          <w:sz w:val="24"/>
          <w:szCs w:val="24"/>
        </w:rPr>
        <w:t>(2016)</w:t>
      </w:r>
      <w:bookmarkEnd w:id="1"/>
      <w:bookmarkEnd w:id="2"/>
      <w:r w:rsidR="00CB04F0" w:rsidRPr="0001491C">
        <w:rPr>
          <w:rFonts w:ascii="Times New Roman" w:hAnsi="Times New Roman" w:cs="Times New Roman"/>
          <w:sz w:val="24"/>
          <w:szCs w:val="24"/>
        </w:rPr>
        <w:t>, we use three health states to model retirees’</w:t>
      </w:r>
      <w:r w:rsidR="003B02DE" w:rsidRPr="0001491C">
        <w:rPr>
          <w:rFonts w:ascii="Times New Roman" w:hAnsi="Times New Roman" w:cs="Times New Roman"/>
          <w:sz w:val="24"/>
          <w:szCs w:val="24"/>
        </w:rPr>
        <w:t xml:space="preserve"> health dynamics: good health</w:t>
      </w:r>
      <w:r w:rsidR="00CB04F0" w:rsidRPr="0001491C">
        <w:rPr>
          <w:rFonts w:ascii="Times New Roman" w:hAnsi="Times New Roman" w:cs="Times New Roman"/>
          <w:sz w:val="24"/>
          <w:szCs w:val="24"/>
        </w:rPr>
        <w:t xml:space="preserve">, </w:t>
      </w:r>
      <w:bookmarkStart w:id="3" w:name="OLE_LINK7"/>
      <w:bookmarkStart w:id="4" w:name="OLE_LINK8"/>
      <w:r w:rsidR="00CB04F0" w:rsidRPr="0001491C">
        <w:rPr>
          <w:rFonts w:ascii="Times New Roman" w:hAnsi="Times New Roman" w:cs="Times New Roman"/>
          <w:sz w:val="24"/>
          <w:szCs w:val="24"/>
        </w:rPr>
        <w:t>poor health requiring long-term care</w:t>
      </w:r>
      <w:bookmarkEnd w:id="3"/>
      <w:bookmarkEnd w:id="4"/>
      <w:r w:rsidR="00CB04F0" w:rsidRPr="0001491C">
        <w:rPr>
          <w:rFonts w:ascii="Times New Roman" w:hAnsi="Times New Roman" w:cs="Times New Roman"/>
          <w:sz w:val="24"/>
          <w:szCs w:val="24"/>
        </w:rPr>
        <w:t xml:space="preserve">, and </w:t>
      </w:r>
      <w:r w:rsidR="00F86470" w:rsidRPr="0001491C">
        <w:rPr>
          <w:rFonts w:ascii="Times New Roman" w:hAnsi="Times New Roman" w:cs="Times New Roman"/>
          <w:sz w:val="24"/>
          <w:szCs w:val="24"/>
        </w:rPr>
        <w:t xml:space="preserve">death. </w:t>
      </w:r>
      <w:r w:rsidR="00EE50BD" w:rsidRPr="0001491C">
        <w:rPr>
          <w:rFonts w:ascii="Times New Roman" w:hAnsi="Times New Roman" w:cs="Times New Roman"/>
          <w:sz w:val="24"/>
          <w:szCs w:val="24"/>
        </w:rPr>
        <w:t>Because we</w:t>
      </w:r>
      <w:r w:rsidR="002F30C9" w:rsidRPr="0001491C">
        <w:rPr>
          <w:rFonts w:ascii="Times New Roman" w:hAnsi="Times New Roman" w:cs="Times New Roman"/>
          <w:sz w:val="24"/>
          <w:szCs w:val="24"/>
        </w:rPr>
        <w:t xml:space="preserve"> aim to calibrate retirees’ life-cycle asset allocation including purchasing </w:t>
      </w:r>
      <w:r w:rsidR="009B2821">
        <w:rPr>
          <w:rFonts w:ascii="Times New Roman" w:hAnsi="Times New Roman" w:cs="Times New Roman"/>
          <w:sz w:val="24"/>
          <w:szCs w:val="24"/>
        </w:rPr>
        <w:t xml:space="preserve">LTC </w:t>
      </w:r>
      <w:r w:rsidR="002F30C9" w:rsidRPr="0001491C">
        <w:rPr>
          <w:rFonts w:ascii="Times New Roman" w:hAnsi="Times New Roman" w:cs="Times New Roman"/>
          <w:sz w:val="24"/>
          <w:szCs w:val="24"/>
        </w:rPr>
        <w:t>insurance and annuity</w:t>
      </w:r>
      <w:r w:rsidR="00EE50BD" w:rsidRPr="0001491C">
        <w:rPr>
          <w:rFonts w:ascii="Times New Roman" w:hAnsi="Times New Roman" w:cs="Times New Roman"/>
          <w:sz w:val="24"/>
          <w:szCs w:val="24"/>
        </w:rPr>
        <w:t xml:space="preserve">, we need to define the health states by using the </w:t>
      </w:r>
      <w:r w:rsidR="009A57A2" w:rsidRPr="0001491C">
        <w:rPr>
          <w:rFonts w:ascii="Times New Roman" w:hAnsi="Times New Roman" w:cs="Times New Roman"/>
          <w:sz w:val="24"/>
          <w:szCs w:val="24"/>
        </w:rPr>
        <w:t>well-established</w:t>
      </w:r>
      <w:r w:rsidR="00EE50BD" w:rsidRPr="0001491C">
        <w:rPr>
          <w:rFonts w:ascii="Times New Roman" w:hAnsi="Times New Roman" w:cs="Times New Roman"/>
          <w:sz w:val="24"/>
          <w:szCs w:val="24"/>
        </w:rPr>
        <w:t xml:space="preserve"> definition of poor</w:t>
      </w:r>
      <w:r w:rsidR="009B2821">
        <w:rPr>
          <w:rFonts w:ascii="Times New Roman" w:hAnsi="Times New Roman" w:cs="Times New Roman"/>
          <w:sz w:val="24"/>
          <w:szCs w:val="24"/>
        </w:rPr>
        <w:t xml:space="preserve"> health requiring some forms of LTC</w:t>
      </w:r>
      <w:r w:rsidR="002F30C9" w:rsidRPr="0001491C">
        <w:rPr>
          <w:rFonts w:ascii="Times New Roman" w:hAnsi="Times New Roman" w:cs="Times New Roman"/>
          <w:sz w:val="24"/>
          <w:szCs w:val="24"/>
        </w:rPr>
        <w:t xml:space="preserve">. </w:t>
      </w:r>
      <w:r w:rsidR="00EE50BD" w:rsidRPr="0001491C">
        <w:rPr>
          <w:rFonts w:ascii="Times New Roman" w:hAnsi="Times New Roman" w:cs="Times New Roman"/>
          <w:sz w:val="24"/>
          <w:szCs w:val="24"/>
        </w:rPr>
        <w:t>To be specific, f</w:t>
      </w:r>
      <w:r w:rsidR="00CB04F0" w:rsidRPr="0001491C">
        <w:rPr>
          <w:rFonts w:ascii="Times New Roman" w:hAnsi="Times New Roman" w:cs="Times New Roman"/>
          <w:sz w:val="24"/>
          <w:szCs w:val="24"/>
        </w:rPr>
        <w:t xml:space="preserve">ollowing </w:t>
      </w:r>
      <w:r w:rsidR="00F86470" w:rsidRPr="0001491C">
        <w:rPr>
          <w:rFonts w:ascii="Times New Roman" w:hAnsi="Times New Roman" w:cs="Times New Roman"/>
          <w:sz w:val="24"/>
          <w:szCs w:val="24"/>
        </w:rPr>
        <w:t xml:space="preserve">Brown and </w:t>
      </w:r>
      <w:proofErr w:type="spellStart"/>
      <w:r w:rsidR="00F86470" w:rsidRPr="0001491C">
        <w:rPr>
          <w:rFonts w:ascii="Times New Roman" w:hAnsi="Times New Roman" w:cs="Times New Roman"/>
          <w:sz w:val="24"/>
          <w:szCs w:val="24"/>
        </w:rPr>
        <w:t>Warshawsky</w:t>
      </w:r>
      <w:proofErr w:type="spellEnd"/>
      <w:r w:rsidR="00F86470" w:rsidRPr="0001491C">
        <w:rPr>
          <w:rFonts w:ascii="Times New Roman" w:hAnsi="Times New Roman" w:cs="Times New Roman"/>
          <w:sz w:val="24"/>
          <w:szCs w:val="24"/>
        </w:rPr>
        <w:t xml:space="preserve"> (2013) and </w:t>
      </w:r>
      <w:r w:rsidR="00CB04F0" w:rsidRPr="0001491C">
        <w:rPr>
          <w:rFonts w:ascii="Times New Roman" w:hAnsi="Times New Roman" w:cs="Times New Roman"/>
          <w:sz w:val="24"/>
          <w:szCs w:val="24"/>
        </w:rPr>
        <w:t>Ai et al.</w:t>
      </w:r>
      <w:r w:rsidR="003B02DE" w:rsidRPr="0001491C">
        <w:rPr>
          <w:rFonts w:ascii="Times New Roman" w:hAnsi="Times New Roman" w:cs="Times New Roman"/>
          <w:sz w:val="24"/>
          <w:szCs w:val="24"/>
        </w:rPr>
        <w:t xml:space="preserve"> </w:t>
      </w:r>
      <w:r w:rsidR="00CB04F0" w:rsidRPr="0001491C">
        <w:rPr>
          <w:rFonts w:ascii="Times New Roman" w:hAnsi="Times New Roman" w:cs="Times New Roman"/>
          <w:sz w:val="24"/>
          <w:szCs w:val="24"/>
        </w:rPr>
        <w:t>(2017)</w:t>
      </w:r>
      <w:r w:rsidR="00F86470" w:rsidRPr="0001491C">
        <w:rPr>
          <w:rFonts w:ascii="Times New Roman" w:hAnsi="Times New Roman" w:cs="Times New Roman"/>
          <w:sz w:val="24"/>
          <w:szCs w:val="24"/>
        </w:rPr>
        <w:t xml:space="preserve">, we define the first </w:t>
      </w:r>
      <w:r w:rsidR="00900603" w:rsidRPr="0001491C">
        <w:rPr>
          <w:rFonts w:ascii="Times New Roman" w:hAnsi="Times New Roman" w:cs="Times New Roman"/>
          <w:sz w:val="24"/>
          <w:szCs w:val="24"/>
        </w:rPr>
        <w:t>two</w:t>
      </w:r>
      <w:r w:rsidR="00F86470" w:rsidRPr="0001491C">
        <w:rPr>
          <w:rFonts w:ascii="Times New Roman" w:hAnsi="Times New Roman" w:cs="Times New Roman"/>
          <w:sz w:val="24"/>
          <w:szCs w:val="24"/>
        </w:rPr>
        <w:t xml:space="preserve"> health states as follows. State 1 (good health) is a state having </w:t>
      </w:r>
      <w:r w:rsidR="00900603" w:rsidRPr="0001491C">
        <w:rPr>
          <w:rFonts w:ascii="Times New Roman" w:hAnsi="Times New Roman" w:cs="Times New Roman"/>
          <w:sz w:val="24"/>
          <w:szCs w:val="24"/>
        </w:rPr>
        <w:t xml:space="preserve">at most </w:t>
      </w:r>
      <w:r w:rsidR="00F86470" w:rsidRPr="0001491C">
        <w:rPr>
          <w:rFonts w:ascii="Times New Roman" w:hAnsi="Times New Roman" w:cs="Times New Roman"/>
          <w:sz w:val="24"/>
          <w:szCs w:val="24"/>
        </w:rPr>
        <w:t xml:space="preserve">difficulties in 0–1 ADLs but no cognitive impairment, or </w:t>
      </w:r>
      <w:r w:rsidR="00900603" w:rsidRPr="0001491C">
        <w:rPr>
          <w:rFonts w:ascii="Times New Roman" w:hAnsi="Times New Roman" w:cs="Times New Roman"/>
          <w:sz w:val="24"/>
          <w:szCs w:val="24"/>
        </w:rPr>
        <w:t xml:space="preserve">only </w:t>
      </w:r>
      <w:r w:rsidR="00F86470" w:rsidRPr="0001491C">
        <w:rPr>
          <w:rFonts w:ascii="Times New Roman" w:hAnsi="Times New Roman" w:cs="Times New Roman"/>
          <w:sz w:val="24"/>
          <w:szCs w:val="24"/>
        </w:rPr>
        <w:t xml:space="preserve">having major chronic illnesses (e.g., heart problems, diabetes, lung disease, and stroke). State </w:t>
      </w:r>
      <w:r w:rsidR="00900603" w:rsidRPr="0001491C">
        <w:rPr>
          <w:rFonts w:ascii="Times New Roman" w:hAnsi="Times New Roman" w:cs="Times New Roman"/>
          <w:sz w:val="24"/>
          <w:szCs w:val="24"/>
        </w:rPr>
        <w:t>2</w:t>
      </w:r>
      <w:r w:rsidR="00F86470" w:rsidRPr="0001491C">
        <w:rPr>
          <w:rFonts w:ascii="Times New Roman" w:hAnsi="Times New Roman" w:cs="Times New Roman"/>
          <w:sz w:val="24"/>
          <w:szCs w:val="24"/>
        </w:rPr>
        <w:t xml:space="preserve"> is having 2 or more ADLs or cognitive impairment. These measures are all in the HRS survey. With this operational definition, health states 1–</w:t>
      </w:r>
      <w:r w:rsidR="00900603" w:rsidRPr="0001491C">
        <w:rPr>
          <w:rFonts w:ascii="Times New Roman" w:hAnsi="Times New Roman" w:cs="Times New Roman"/>
          <w:sz w:val="24"/>
          <w:szCs w:val="24"/>
        </w:rPr>
        <w:t>2</w:t>
      </w:r>
      <w:r w:rsidR="00F86470" w:rsidRPr="0001491C">
        <w:rPr>
          <w:rFonts w:ascii="Times New Roman" w:hAnsi="Times New Roman" w:cs="Times New Roman"/>
          <w:sz w:val="24"/>
          <w:szCs w:val="24"/>
        </w:rPr>
        <w:t xml:space="preserve"> in our analysis correspond to categories 1–4, and 5–10, respectively, in Table 1 of Brown and </w:t>
      </w:r>
      <w:proofErr w:type="spellStart"/>
      <w:r w:rsidR="00F86470" w:rsidRPr="0001491C">
        <w:rPr>
          <w:rFonts w:ascii="Times New Roman" w:hAnsi="Times New Roman" w:cs="Times New Roman"/>
          <w:sz w:val="24"/>
          <w:szCs w:val="24"/>
        </w:rPr>
        <w:t>Warshawsky</w:t>
      </w:r>
      <w:proofErr w:type="spellEnd"/>
      <w:r w:rsidR="003B02DE" w:rsidRPr="0001491C">
        <w:rPr>
          <w:rFonts w:ascii="Times New Roman" w:hAnsi="Times New Roman" w:cs="Times New Roman"/>
          <w:sz w:val="24"/>
          <w:szCs w:val="24"/>
        </w:rPr>
        <w:t xml:space="preserve"> (2013)</w:t>
      </w:r>
      <w:r w:rsidR="00F86470" w:rsidRPr="0001491C">
        <w:rPr>
          <w:rFonts w:ascii="Times New Roman" w:hAnsi="Times New Roman" w:cs="Times New Roman"/>
          <w:sz w:val="24"/>
          <w:szCs w:val="24"/>
        </w:rPr>
        <w:t xml:space="preserve">. This definition allows us to obtain the health states of individuals at different ages over 1998–2010. </w:t>
      </w:r>
    </w:p>
    <w:p w14:paraId="7D9FA710" w14:textId="420850B2" w:rsidR="00291109" w:rsidRPr="0001491C" w:rsidRDefault="00291109" w:rsidP="0001491C">
      <w:pPr>
        <w:spacing w:after="0" w:line="480" w:lineRule="auto"/>
        <w:jc w:val="both"/>
        <w:rPr>
          <w:rFonts w:ascii="Times New Roman" w:hAnsi="Times New Roman" w:cs="Times New Roman"/>
          <w:b/>
          <w:sz w:val="24"/>
          <w:szCs w:val="24"/>
        </w:rPr>
      </w:pPr>
      <w:bookmarkStart w:id="5" w:name="OLE_LINK3"/>
      <w:bookmarkStart w:id="6" w:name="OLE_LINK4"/>
      <w:r w:rsidRPr="0001491C">
        <w:rPr>
          <w:rFonts w:ascii="Times New Roman" w:hAnsi="Times New Roman" w:cs="Times New Roman"/>
          <w:b/>
          <w:sz w:val="24"/>
          <w:szCs w:val="24"/>
        </w:rPr>
        <w:t>3.2</w:t>
      </w:r>
      <w:bookmarkEnd w:id="5"/>
      <w:bookmarkEnd w:id="6"/>
      <w:r w:rsidR="005954EB">
        <w:rPr>
          <w:rFonts w:ascii="Times New Roman" w:hAnsi="Times New Roman" w:cs="Times New Roman"/>
          <w:b/>
          <w:sz w:val="24"/>
          <w:szCs w:val="24"/>
        </w:rPr>
        <w:t xml:space="preserve">. </w:t>
      </w:r>
      <w:r w:rsidRPr="0001491C">
        <w:rPr>
          <w:rFonts w:ascii="Times New Roman" w:hAnsi="Times New Roman" w:cs="Times New Roman"/>
          <w:b/>
          <w:sz w:val="24"/>
          <w:szCs w:val="24"/>
        </w:rPr>
        <w:t>Description of the Sample</w:t>
      </w:r>
    </w:p>
    <w:p w14:paraId="70D91103" w14:textId="77777777" w:rsidR="00291109" w:rsidRPr="0001491C" w:rsidRDefault="00291109" w:rsidP="005954EB">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 xml:space="preserve">We use the Health and Retirement Survey (HRS) data to estimate retirees’ health dynamics. The HRS data provides comprehensive demographic, health, and financial information on individuals from preretirement into retirement. Since a key indicator of an individual’s health state (having difficulty with various activities of daily living, or ADLs), has only been consistently surveyed since 1998 and the information about another key indicator, cognition impairment, is missing for 2012, we use 1998–2010 data. Our final sample has 17,215 individuals alive in 1998, with valid responses to questions on ADLs, self-reported health status, </w:t>
      </w:r>
      <w:bookmarkStart w:id="7" w:name="OLE_LINK9"/>
      <w:r w:rsidRPr="0001491C">
        <w:rPr>
          <w:rFonts w:ascii="Times New Roman" w:hAnsi="Times New Roman" w:cs="Times New Roman"/>
          <w:sz w:val="24"/>
          <w:szCs w:val="24"/>
        </w:rPr>
        <w:t>four types of major chronic illnesses (i.e., heart problems, diabetes, lung disease, and stroke),</w:t>
      </w:r>
      <w:bookmarkEnd w:id="7"/>
      <w:r w:rsidRPr="0001491C">
        <w:rPr>
          <w:rFonts w:ascii="Times New Roman" w:hAnsi="Times New Roman" w:cs="Times New Roman"/>
          <w:sz w:val="24"/>
          <w:szCs w:val="24"/>
        </w:rPr>
        <w:t xml:space="preserve"> and cognitive ability.</w:t>
      </w:r>
    </w:p>
    <w:p w14:paraId="526E9833" w14:textId="3C660776" w:rsidR="00F01699" w:rsidRPr="0001491C" w:rsidRDefault="005954EB" w:rsidP="000149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3.3. </w:t>
      </w:r>
      <w:r w:rsidR="00F01699" w:rsidRPr="0001491C">
        <w:rPr>
          <w:rFonts w:ascii="Times New Roman" w:hAnsi="Times New Roman" w:cs="Times New Roman"/>
          <w:b/>
          <w:sz w:val="24"/>
          <w:szCs w:val="24"/>
        </w:rPr>
        <w:t>Health Transition Probabilities</w:t>
      </w:r>
    </w:p>
    <w:p w14:paraId="77D1BCF5" w14:textId="24DE5333" w:rsidR="005F6CB6" w:rsidRPr="0001491C" w:rsidRDefault="005F6CB6" w:rsidP="005954EB">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 xml:space="preserve">After defining the three health states, we estimate the transition probabilities between the health states using an ordered </w:t>
      </w:r>
      <w:proofErr w:type="spellStart"/>
      <w:r w:rsidRPr="0001491C">
        <w:rPr>
          <w:rFonts w:ascii="Times New Roman" w:hAnsi="Times New Roman" w:cs="Times New Roman"/>
          <w:sz w:val="24"/>
          <w:szCs w:val="24"/>
        </w:rPr>
        <w:t>probit</w:t>
      </w:r>
      <w:proofErr w:type="spellEnd"/>
      <w:r w:rsidRPr="0001491C">
        <w:rPr>
          <w:rFonts w:ascii="Times New Roman" w:hAnsi="Times New Roman" w:cs="Times New Roman"/>
          <w:sz w:val="24"/>
          <w:szCs w:val="24"/>
        </w:rPr>
        <w:t xml:space="preserve"> model. The outcome variable is the health state at two years from the present interview. The explanatory variables are </w:t>
      </w:r>
      <w:bookmarkStart w:id="8" w:name="OLE_LINK12"/>
      <w:bookmarkStart w:id="9" w:name="OLE_LINK13"/>
      <w:r w:rsidRPr="0001491C">
        <w:rPr>
          <w:rFonts w:ascii="Times New Roman" w:hAnsi="Times New Roman" w:cs="Times New Roman"/>
          <w:sz w:val="24"/>
          <w:szCs w:val="24"/>
        </w:rPr>
        <w:t xml:space="preserve">dummies for present health and 65 or older, a quadratic polynomial in age, </w:t>
      </w:r>
      <w:r w:rsidR="00015EBB" w:rsidRPr="0001491C">
        <w:rPr>
          <w:rFonts w:ascii="Times New Roman" w:hAnsi="Times New Roman" w:cs="Times New Roman"/>
          <w:sz w:val="24"/>
          <w:szCs w:val="24"/>
        </w:rPr>
        <w:t xml:space="preserve">marriage, education years, </w:t>
      </w:r>
      <w:r w:rsidRPr="0001491C">
        <w:rPr>
          <w:rFonts w:ascii="Times New Roman" w:hAnsi="Times New Roman" w:cs="Times New Roman"/>
          <w:sz w:val="24"/>
          <w:szCs w:val="24"/>
        </w:rPr>
        <w:t xml:space="preserve">log income, </w:t>
      </w:r>
      <w:r w:rsidR="00015EBB" w:rsidRPr="0001491C">
        <w:rPr>
          <w:rFonts w:ascii="Times New Roman" w:hAnsi="Times New Roman" w:cs="Times New Roman"/>
          <w:sz w:val="24"/>
          <w:szCs w:val="24"/>
        </w:rPr>
        <w:t>six</w:t>
      </w:r>
      <w:r w:rsidRPr="0001491C">
        <w:rPr>
          <w:rFonts w:ascii="Times New Roman" w:hAnsi="Times New Roman" w:cs="Times New Roman"/>
          <w:sz w:val="24"/>
          <w:szCs w:val="24"/>
        </w:rPr>
        <w:t xml:space="preserve"> types of major chronic illnesses (i.e., </w:t>
      </w:r>
      <w:r w:rsidR="00015EBB" w:rsidRPr="0001491C">
        <w:rPr>
          <w:rFonts w:ascii="Times New Roman" w:hAnsi="Times New Roman" w:cs="Times New Roman"/>
          <w:sz w:val="24"/>
          <w:szCs w:val="24"/>
        </w:rPr>
        <w:t xml:space="preserve">hypertension, </w:t>
      </w:r>
      <w:r w:rsidRPr="0001491C">
        <w:rPr>
          <w:rFonts w:ascii="Times New Roman" w:hAnsi="Times New Roman" w:cs="Times New Roman"/>
          <w:sz w:val="24"/>
          <w:szCs w:val="24"/>
        </w:rPr>
        <w:t xml:space="preserve">cancer, heart problems, diabetes, lung </w:t>
      </w:r>
      <w:r w:rsidR="009B2821">
        <w:rPr>
          <w:rFonts w:ascii="Times New Roman" w:hAnsi="Times New Roman" w:cs="Times New Roman"/>
          <w:sz w:val="24"/>
          <w:szCs w:val="24"/>
        </w:rPr>
        <w:t>disease, and stroke)</w:t>
      </w:r>
      <w:r w:rsidRPr="0001491C">
        <w:rPr>
          <w:rFonts w:ascii="Times New Roman" w:hAnsi="Times New Roman" w:cs="Times New Roman"/>
          <w:sz w:val="24"/>
          <w:szCs w:val="24"/>
        </w:rPr>
        <w:t xml:space="preserve">, and the interaction of the dummies with the age polynomial and </w:t>
      </w:r>
      <w:r w:rsidR="00015EBB" w:rsidRPr="0001491C">
        <w:rPr>
          <w:rFonts w:ascii="Times New Roman" w:hAnsi="Times New Roman" w:cs="Times New Roman"/>
          <w:sz w:val="24"/>
          <w:szCs w:val="24"/>
        </w:rPr>
        <w:t xml:space="preserve">major chronic illnesses, and </w:t>
      </w:r>
      <w:r w:rsidRPr="0001491C">
        <w:rPr>
          <w:rFonts w:ascii="Times New Roman" w:hAnsi="Times New Roman" w:cs="Times New Roman"/>
          <w:sz w:val="24"/>
          <w:szCs w:val="24"/>
        </w:rPr>
        <w:t>log income, and cohort dummies.</w:t>
      </w:r>
      <w:bookmarkEnd w:id="8"/>
      <w:bookmarkEnd w:id="9"/>
    </w:p>
    <w:p w14:paraId="444AFA71" w14:textId="2857F5B7" w:rsidR="00F01699" w:rsidRDefault="005F6CB6" w:rsidP="000704DF">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 xml:space="preserve">Figure </w:t>
      </w:r>
      <w:r w:rsidR="00BE7B5B" w:rsidRPr="0001491C">
        <w:rPr>
          <w:rFonts w:ascii="Times New Roman" w:hAnsi="Times New Roman" w:cs="Times New Roman"/>
          <w:sz w:val="24"/>
          <w:szCs w:val="24"/>
        </w:rPr>
        <w:t>1</w:t>
      </w:r>
      <w:r w:rsidRPr="0001491C">
        <w:rPr>
          <w:rFonts w:ascii="Times New Roman" w:hAnsi="Times New Roman" w:cs="Times New Roman"/>
          <w:sz w:val="24"/>
          <w:szCs w:val="24"/>
        </w:rPr>
        <w:t xml:space="preserve"> </w:t>
      </w:r>
      <w:r w:rsidR="007B3742" w:rsidRPr="0001491C">
        <w:rPr>
          <w:rFonts w:ascii="Times New Roman" w:hAnsi="Times New Roman" w:cs="Times New Roman"/>
          <w:sz w:val="24"/>
          <w:szCs w:val="24"/>
        </w:rPr>
        <w:t xml:space="preserve">and Figure 2 </w:t>
      </w:r>
      <w:r w:rsidRPr="0001491C">
        <w:rPr>
          <w:rFonts w:ascii="Times New Roman" w:hAnsi="Times New Roman" w:cs="Times New Roman"/>
          <w:sz w:val="24"/>
          <w:szCs w:val="24"/>
        </w:rPr>
        <w:t xml:space="preserve">report the estimated transition probabilities </w:t>
      </w:r>
      <w:r w:rsidR="007B3742" w:rsidRPr="0001491C">
        <w:rPr>
          <w:rFonts w:ascii="Times New Roman" w:hAnsi="Times New Roman" w:cs="Times New Roman"/>
          <w:sz w:val="24"/>
          <w:szCs w:val="24"/>
        </w:rPr>
        <w:t xml:space="preserve">for male and female </w:t>
      </w:r>
      <w:r w:rsidRPr="0001491C">
        <w:rPr>
          <w:rFonts w:ascii="Times New Roman" w:hAnsi="Times New Roman" w:cs="Times New Roman"/>
          <w:sz w:val="24"/>
          <w:szCs w:val="24"/>
        </w:rPr>
        <w:t xml:space="preserve">by age and birth cohort, which are the predicted probabilities from the ordered </w:t>
      </w:r>
      <w:proofErr w:type="spellStart"/>
      <w:r w:rsidRPr="0001491C">
        <w:rPr>
          <w:rFonts w:ascii="Times New Roman" w:hAnsi="Times New Roman" w:cs="Times New Roman"/>
          <w:sz w:val="24"/>
          <w:szCs w:val="24"/>
        </w:rPr>
        <w:t>probit</w:t>
      </w:r>
      <w:proofErr w:type="spellEnd"/>
      <w:r w:rsidRPr="0001491C">
        <w:rPr>
          <w:rFonts w:ascii="Times New Roman" w:hAnsi="Times New Roman" w:cs="Times New Roman"/>
          <w:sz w:val="24"/>
          <w:szCs w:val="24"/>
        </w:rPr>
        <w:t xml:space="preserve"> model</w:t>
      </w:r>
      <w:r w:rsidR="007B3742" w:rsidRPr="0001491C">
        <w:rPr>
          <w:rFonts w:ascii="Times New Roman" w:hAnsi="Times New Roman" w:cs="Times New Roman"/>
          <w:sz w:val="24"/>
          <w:szCs w:val="24"/>
        </w:rPr>
        <w:t>, respectively</w:t>
      </w:r>
      <w:r w:rsidRPr="0001491C">
        <w:rPr>
          <w:rFonts w:ascii="Times New Roman" w:hAnsi="Times New Roman" w:cs="Times New Roman"/>
          <w:sz w:val="24"/>
          <w:szCs w:val="24"/>
        </w:rPr>
        <w:t xml:space="preserve">. The </w:t>
      </w:r>
      <w:r w:rsidR="00BE7B5B" w:rsidRPr="0001491C">
        <w:rPr>
          <w:rFonts w:ascii="Times New Roman" w:hAnsi="Times New Roman" w:cs="Times New Roman"/>
          <w:sz w:val="24"/>
          <w:szCs w:val="24"/>
        </w:rPr>
        <w:t>4</w:t>
      </w:r>
      <w:r w:rsidRPr="0001491C">
        <w:rPr>
          <w:rFonts w:ascii="Times New Roman" w:hAnsi="Times New Roman" w:cs="Times New Roman"/>
          <w:sz w:val="24"/>
          <w:szCs w:val="24"/>
        </w:rPr>
        <w:t xml:space="preserve"> lines in each panel represent the </w:t>
      </w:r>
      <w:r w:rsidR="00BE7B5B" w:rsidRPr="0001491C">
        <w:rPr>
          <w:rFonts w:ascii="Times New Roman" w:hAnsi="Times New Roman" w:cs="Times New Roman"/>
          <w:sz w:val="24"/>
          <w:szCs w:val="24"/>
        </w:rPr>
        <w:t>4 cohorts in our sample</w:t>
      </w:r>
      <w:r w:rsidRPr="0001491C">
        <w:rPr>
          <w:rFonts w:ascii="Times New Roman" w:hAnsi="Times New Roman" w:cs="Times New Roman"/>
          <w:sz w:val="24"/>
          <w:szCs w:val="24"/>
        </w:rPr>
        <w:t xml:space="preserve">. </w:t>
      </w:r>
      <w:r w:rsidR="00405F74" w:rsidRPr="0001491C">
        <w:rPr>
          <w:rFonts w:ascii="Times New Roman" w:hAnsi="Times New Roman" w:cs="Times New Roman"/>
          <w:sz w:val="24"/>
          <w:szCs w:val="24"/>
        </w:rPr>
        <w:t xml:space="preserve">Note that estimated transition probabilities from poor health to other health states over age are much less smooth than those from good health, reflecting the fact that the observations lying in poor health are much less than those in good health. </w:t>
      </w:r>
      <w:r w:rsidR="007B3742" w:rsidRPr="0001491C">
        <w:rPr>
          <w:rFonts w:ascii="Times New Roman" w:hAnsi="Times New Roman" w:cs="Times New Roman"/>
          <w:sz w:val="24"/>
          <w:szCs w:val="24"/>
        </w:rPr>
        <w:t>In Figure 1 and Figure 2, t</w:t>
      </w:r>
      <w:r w:rsidRPr="0001491C">
        <w:rPr>
          <w:rFonts w:ascii="Times New Roman" w:hAnsi="Times New Roman" w:cs="Times New Roman"/>
          <w:sz w:val="24"/>
          <w:szCs w:val="24"/>
        </w:rPr>
        <w:t xml:space="preserve">he </w:t>
      </w:r>
      <w:r w:rsidR="00405F74" w:rsidRPr="0001491C">
        <w:rPr>
          <w:rFonts w:ascii="Times New Roman" w:hAnsi="Times New Roman" w:cs="Times New Roman"/>
          <w:sz w:val="24"/>
          <w:szCs w:val="24"/>
        </w:rPr>
        <w:t xml:space="preserve">mortality </w:t>
      </w:r>
      <w:r w:rsidRPr="0001491C">
        <w:rPr>
          <w:rFonts w:ascii="Times New Roman" w:hAnsi="Times New Roman" w:cs="Times New Roman"/>
          <w:sz w:val="24"/>
          <w:szCs w:val="24"/>
        </w:rPr>
        <w:t xml:space="preserve">increases rapidly </w:t>
      </w:r>
      <w:r w:rsidR="00405F74" w:rsidRPr="0001491C">
        <w:rPr>
          <w:rFonts w:ascii="Times New Roman" w:hAnsi="Times New Roman" w:cs="Times New Roman"/>
          <w:sz w:val="24"/>
          <w:szCs w:val="24"/>
        </w:rPr>
        <w:t>with</w:t>
      </w:r>
      <w:r w:rsidRPr="0001491C">
        <w:rPr>
          <w:rFonts w:ascii="Times New Roman" w:hAnsi="Times New Roman" w:cs="Times New Roman"/>
          <w:sz w:val="24"/>
          <w:szCs w:val="24"/>
        </w:rPr>
        <w:t xml:space="preserve"> age, especially conditional on being in poor health. </w:t>
      </w:r>
      <w:r w:rsidR="000C3589" w:rsidRPr="0001491C">
        <w:rPr>
          <w:rFonts w:ascii="Times New Roman" w:hAnsi="Times New Roman" w:cs="Times New Roman"/>
          <w:sz w:val="24"/>
          <w:szCs w:val="24"/>
        </w:rPr>
        <w:t>There is significant variation on t</w:t>
      </w:r>
      <w:r w:rsidRPr="0001491C">
        <w:rPr>
          <w:rFonts w:ascii="Times New Roman" w:hAnsi="Times New Roman" w:cs="Times New Roman"/>
          <w:sz w:val="24"/>
          <w:szCs w:val="24"/>
        </w:rPr>
        <w:t xml:space="preserve">he transition probabilities across cohorts, </w:t>
      </w:r>
      <w:r w:rsidR="000C3589" w:rsidRPr="0001491C">
        <w:rPr>
          <w:rFonts w:ascii="Times New Roman" w:hAnsi="Times New Roman" w:cs="Times New Roman"/>
          <w:sz w:val="24"/>
          <w:szCs w:val="24"/>
        </w:rPr>
        <w:t>in which</w:t>
      </w:r>
      <w:r w:rsidRPr="0001491C">
        <w:rPr>
          <w:rFonts w:ascii="Times New Roman" w:hAnsi="Times New Roman" w:cs="Times New Roman"/>
          <w:sz w:val="24"/>
          <w:szCs w:val="24"/>
        </w:rPr>
        <w:t xml:space="preserve"> the older </w:t>
      </w:r>
      <w:r w:rsidR="007B3742" w:rsidRPr="0001491C">
        <w:rPr>
          <w:rFonts w:ascii="Times New Roman" w:hAnsi="Times New Roman" w:cs="Times New Roman"/>
          <w:sz w:val="24"/>
          <w:szCs w:val="24"/>
        </w:rPr>
        <w:t xml:space="preserve">male </w:t>
      </w:r>
      <w:r w:rsidRPr="0001491C">
        <w:rPr>
          <w:rFonts w:ascii="Times New Roman" w:hAnsi="Times New Roman" w:cs="Times New Roman"/>
          <w:sz w:val="24"/>
          <w:szCs w:val="24"/>
        </w:rPr>
        <w:t xml:space="preserve">cohorts </w:t>
      </w:r>
      <w:r w:rsidR="000C3589" w:rsidRPr="0001491C">
        <w:rPr>
          <w:rFonts w:ascii="Times New Roman" w:hAnsi="Times New Roman" w:cs="Times New Roman"/>
          <w:sz w:val="24"/>
          <w:szCs w:val="24"/>
        </w:rPr>
        <w:t xml:space="preserve">are </w:t>
      </w:r>
      <w:r w:rsidRPr="0001491C">
        <w:rPr>
          <w:rFonts w:ascii="Times New Roman" w:hAnsi="Times New Roman" w:cs="Times New Roman"/>
          <w:sz w:val="24"/>
          <w:szCs w:val="24"/>
        </w:rPr>
        <w:t>more likely to</w:t>
      </w:r>
      <w:r w:rsidR="00405F74" w:rsidRPr="0001491C">
        <w:rPr>
          <w:rFonts w:ascii="Times New Roman" w:hAnsi="Times New Roman" w:cs="Times New Roman"/>
          <w:sz w:val="24"/>
          <w:szCs w:val="24"/>
        </w:rPr>
        <w:t xml:space="preserve"> </w:t>
      </w:r>
      <w:r w:rsidR="000C3589" w:rsidRPr="0001491C">
        <w:rPr>
          <w:rFonts w:ascii="Times New Roman" w:hAnsi="Times New Roman" w:cs="Times New Roman"/>
          <w:sz w:val="24"/>
          <w:szCs w:val="24"/>
        </w:rPr>
        <w:t>be dead</w:t>
      </w:r>
      <w:r w:rsidRPr="0001491C">
        <w:rPr>
          <w:rFonts w:ascii="Times New Roman" w:hAnsi="Times New Roman" w:cs="Times New Roman"/>
          <w:sz w:val="24"/>
          <w:szCs w:val="24"/>
        </w:rPr>
        <w:t xml:space="preserve"> or </w:t>
      </w:r>
      <w:r w:rsidR="000C3589" w:rsidRPr="0001491C">
        <w:rPr>
          <w:rFonts w:ascii="Times New Roman" w:hAnsi="Times New Roman" w:cs="Times New Roman"/>
          <w:sz w:val="24"/>
          <w:szCs w:val="24"/>
        </w:rPr>
        <w:t xml:space="preserve">become </w:t>
      </w:r>
      <w:r w:rsidRPr="0001491C">
        <w:rPr>
          <w:rFonts w:ascii="Times New Roman" w:hAnsi="Times New Roman" w:cs="Times New Roman"/>
          <w:sz w:val="24"/>
          <w:szCs w:val="24"/>
        </w:rPr>
        <w:t>poor health</w:t>
      </w:r>
      <w:r w:rsidR="000C3589" w:rsidRPr="0001491C">
        <w:rPr>
          <w:rFonts w:ascii="Times New Roman" w:hAnsi="Times New Roman" w:cs="Times New Roman"/>
          <w:sz w:val="24"/>
          <w:szCs w:val="24"/>
        </w:rPr>
        <w:t>y</w:t>
      </w:r>
      <w:r w:rsidR="007B3742" w:rsidRPr="0001491C">
        <w:rPr>
          <w:rFonts w:ascii="Times New Roman" w:hAnsi="Times New Roman" w:cs="Times New Roman"/>
          <w:sz w:val="24"/>
          <w:szCs w:val="24"/>
        </w:rPr>
        <w:t xml:space="preserve"> and less likely to become good healthy. The patterns for male retirees are consistent with those reported by </w:t>
      </w:r>
      <w:proofErr w:type="spellStart"/>
      <w:r w:rsidR="007B3742" w:rsidRPr="0001491C">
        <w:rPr>
          <w:rFonts w:ascii="Times New Roman" w:hAnsi="Times New Roman" w:cs="Times New Roman"/>
          <w:sz w:val="24"/>
          <w:szCs w:val="24"/>
        </w:rPr>
        <w:t>Koijen</w:t>
      </w:r>
      <w:proofErr w:type="spellEnd"/>
      <w:r w:rsidR="007B3742" w:rsidRPr="0001491C">
        <w:rPr>
          <w:rFonts w:ascii="Times New Roman" w:hAnsi="Times New Roman" w:cs="Times New Roman"/>
          <w:sz w:val="24"/>
          <w:szCs w:val="24"/>
        </w:rPr>
        <w:t xml:space="preserve"> et al.</w:t>
      </w:r>
      <w:r w:rsidR="003B02DE" w:rsidRPr="0001491C">
        <w:rPr>
          <w:rFonts w:ascii="Times New Roman" w:hAnsi="Times New Roman" w:cs="Times New Roman"/>
          <w:sz w:val="24"/>
          <w:szCs w:val="24"/>
        </w:rPr>
        <w:t xml:space="preserve"> </w:t>
      </w:r>
      <w:r w:rsidR="007B3742" w:rsidRPr="0001491C">
        <w:rPr>
          <w:rFonts w:ascii="Times New Roman" w:hAnsi="Times New Roman" w:cs="Times New Roman"/>
          <w:sz w:val="24"/>
          <w:szCs w:val="24"/>
        </w:rPr>
        <w:t>(2016). The older female cohorts, however, are more likely to be dead or become poor healthy conditional on being in good health, but they are less likely to be dead or become good healthy conditional on being in poor health</w:t>
      </w:r>
      <w:r w:rsidRPr="0001491C">
        <w:rPr>
          <w:rFonts w:ascii="Times New Roman" w:hAnsi="Times New Roman" w:cs="Times New Roman"/>
          <w:sz w:val="24"/>
          <w:szCs w:val="24"/>
        </w:rPr>
        <w:t>.</w:t>
      </w:r>
      <w:r w:rsidR="00405F74" w:rsidRPr="0001491C">
        <w:rPr>
          <w:rFonts w:ascii="Times New Roman" w:hAnsi="Times New Roman" w:cs="Times New Roman"/>
          <w:sz w:val="24"/>
          <w:szCs w:val="24"/>
        </w:rPr>
        <w:t xml:space="preserve"> </w:t>
      </w:r>
    </w:p>
    <w:p w14:paraId="542E0E4A" w14:textId="45D04548" w:rsidR="00F7265F" w:rsidRPr="00F7265F" w:rsidRDefault="00F7265F" w:rsidP="00F7265F">
      <w:pPr>
        <w:spacing w:after="0" w:line="240" w:lineRule="auto"/>
        <w:jc w:val="both"/>
        <w:rPr>
          <w:rFonts w:ascii="Times New Roman" w:hAnsi="Times New Roman" w:cs="Times New Roman"/>
          <w:sz w:val="20"/>
          <w:szCs w:val="20"/>
        </w:rPr>
      </w:pPr>
      <w:proofErr w:type="gramStart"/>
      <w:r w:rsidRPr="00F7265F">
        <w:rPr>
          <w:rFonts w:ascii="Times New Roman" w:hAnsi="Times New Roman" w:cs="Times New Roman"/>
          <w:b/>
          <w:sz w:val="20"/>
          <w:szCs w:val="20"/>
        </w:rPr>
        <w:t>Figure 1.</w:t>
      </w:r>
      <w:proofErr w:type="gramEnd"/>
      <w:r w:rsidRPr="00F7265F">
        <w:rPr>
          <w:rFonts w:ascii="Times New Roman" w:hAnsi="Times New Roman" w:cs="Times New Roman"/>
          <w:b/>
          <w:sz w:val="20"/>
          <w:szCs w:val="20"/>
        </w:rPr>
        <w:t xml:space="preserve"> </w:t>
      </w:r>
      <w:proofErr w:type="gramStart"/>
      <w:r w:rsidRPr="00F7265F">
        <w:rPr>
          <w:rFonts w:ascii="Times New Roman" w:hAnsi="Times New Roman" w:cs="Times New Roman"/>
          <w:b/>
          <w:sz w:val="20"/>
          <w:szCs w:val="20"/>
        </w:rPr>
        <w:t>Estimated health transition probabilities for male.</w:t>
      </w:r>
      <w:proofErr w:type="gramEnd"/>
      <w:r w:rsidRPr="00F7265F">
        <w:rPr>
          <w:rFonts w:ascii="Times New Roman" w:hAnsi="Times New Roman" w:cs="Times New Roman"/>
          <w:sz w:val="20"/>
          <w:szCs w:val="20"/>
        </w:rPr>
        <w:t xml:space="preserve"> </w:t>
      </w:r>
    </w:p>
    <w:p w14:paraId="0B768936" w14:textId="77777777" w:rsidR="00F01699" w:rsidRDefault="00CA031C" w:rsidP="00F7265F">
      <w:pPr>
        <w:spacing w:after="0" w:line="480" w:lineRule="auto"/>
        <w:jc w:val="center"/>
        <w:rPr>
          <w:rFonts w:ascii="Times New Roman" w:hAnsi="Times New Roman" w:cs="Times New Roman"/>
          <w:b/>
          <w:sz w:val="24"/>
          <w:szCs w:val="24"/>
        </w:rPr>
      </w:pPr>
      <w:r w:rsidRPr="0001491C">
        <w:rPr>
          <w:rFonts w:ascii="Times New Roman" w:hAnsi="Times New Roman" w:cs="Times New Roman"/>
          <w:b/>
          <w:noProof/>
          <w:sz w:val="24"/>
          <w:szCs w:val="24"/>
          <w:lang w:eastAsia="en-US"/>
        </w:rPr>
        <w:lastRenderedPageBreak/>
        <w:drawing>
          <wp:inline distT="0" distB="0" distL="0" distR="0" wp14:anchorId="633C87F6" wp14:editId="2438D996">
            <wp:extent cx="4140200" cy="3255615"/>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144306" cy="3258844"/>
                    </a:xfrm>
                    <a:prstGeom prst="rect">
                      <a:avLst/>
                    </a:prstGeom>
                  </pic:spPr>
                </pic:pic>
              </a:graphicData>
            </a:graphic>
          </wp:inline>
        </w:drawing>
      </w:r>
    </w:p>
    <w:p w14:paraId="61FEBEE2" w14:textId="2DDD0A8F" w:rsidR="00F7265F" w:rsidRDefault="00F7265F" w:rsidP="00F7265F">
      <w:pPr>
        <w:spacing w:after="0" w:line="240" w:lineRule="auto"/>
        <w:jc w:val="both"/>
        <w:rPr>
          <w:rFonts w:ascii="Times New Roman" w:hAnsi="Times New Roman" w:cs="Times New Roman"/>
          <w:sz w:val="20"/>
          <w:szCs w:val="20"/>
        </w:rPr>
      </w:pPr>
      <w:r w:rsidRPr="00F7265F">
        <w:rPr>
          <w:rFonts w:ascii="Times New Roman" w:hAnsi="Times New Roman" w:cs="Times New Roman" w:hint="eastAsia"/>
          <w:sz w:val="20"/>
          <w:szCs w:val="20"/>
        </w:rPr>
        <w:t>Note</w:t>
      </w:r>
      <w:r w:rsidRPr="00F7265F">
        <w:rPr>
          <w:rFonts w:ascii="Times New Roman" w:hAnsi="Times New Roman" w:cs="Times New Roman"/>
          <w:sz w:val="20"/>
          <w:szCs w:val="20"/>
        </w:rPr>
        <w:t xml:space="preserve">: </w:t>
      </w:r>
      <w:bookmarkStart w:id="10" w:name="OLE_LINK5"/>
      <w:bookmarkStart w:id="11" w:name="OLE_LINK6"/>
      <w:r w:rsidRPr="00F7265F">
        <w:rPr>
          <w:rFonts w:ascii="Times New Roman" w:hAnsi="Times New Roman" w:cs="Times New Roman"/>
          <w:sz w:val="20"/>
          <w:szCs w:val="20"/>
        </w:rPr>
        <w:t xml:space="preserve">An ordered </w:t>
      </w:r>
      <w:proofErr w:type="spellStart"/>
      <w:r w:rsidRPr="00F7265F">
        <w:rPr>
          <w:rFonts w:ascii="Times New Roman" w:hAnsi="Times New Roman" w:cs="Times New Roman"/>
          <w:sz w:val="20"/>
          <w:szCs w:val="20"/>
        </w:rPr>
        <w:t>probit</w:t>
      </w:r>
      <w:proofErr w:type="spellEnd"/>
      <w:r w:rsidRPr="00F7265F">
        <w:rPr>
          <w:rFonts w:ascii="Times New Roman" w:hAnsi="Times New Roman" w:cs="Times New Roman"/>
          <w:sz w:val="20"/>
          <w:szCs w:val="20"/>
        </w:rPr>
        <w:t xml:space="preserve"> model is used to predict the health state at two years from the present interview.</w:t>
      </w:r>
      <w:bookmarkEnd w:id="10"/>
      <w:bookmarkEnd w:id="11"/>
      <w:r w:rsidRPr="00F7265F">
        <w:rPr>
          <w:rFonts w:ascii="Times New Roman" w:hAnsi="Times New Roman" w:cs="Times New Roman"/>
          <w:sz w:val="20"/>
          <w:szCs w:val="20"/>
        </w:rPr>
        <w:t xml:space="preserve"> The explanatory variables are dummies for present health and 65 or older, a quadratic polynomial in age, marriage, education years, log income, six types of major chronic illnesses (i.e., hypertension, cancer, heart problems, diabetes, lung disease, and stroke), log of income, and the interaction of the dummies with the age polynomial and major chronic illnesses, and log income, and cohort dummies. The sample consists of males aged 65 and older in the Health and Retirement Study from 1992 to 2010.</w:t>
      </w:r>
    </w:p>
    <w:p w14:paraId="13EACC58" w14:textId="77777777" w:rsidR="00F7265F" w:rsidRPr="00F7265F" w:rsidRDefault="00F7265F" w:rsidP="00F7265F">
      <w:pPr>
        <w:spacing w:after="0" w:line="240" w:lineRule="auto"/>
        <w:jc w:val="both"/>
        <w:rPr>
          <w:rFonts w:ascii="Times New Roman" w:hAnsi="Times New Roman" w:cs="Times New Roman"/>
          <w:sz w:val="20"/>
          <w:szCs w:val="20"/>
        </w:rPr>
      </w:pPr>
    </w:p>
    <w:p w14:paraId="19470878" w14:textId="31AE0EE2" w:rsidR="00F7265F" w:rsidRPr="00F7265F" w:rsidRDefault="00F7265F" w:rsidP="00F7265F">
      <w:pPr>
        <w:spacing w:after="0" w:line="240" w:lineRule="auto"/>
        <w:jc w:val="both"/>
        <w:rPr>
          <w:rFonts w:ascii="Times New Roman" w:hAnsi="Times New Roman" w:cs="Times New Roman"/>
          <w:b/>
          <w:sz w:val="20"/>
          <w:szCs w:val="20"/>
        </w:rPr>
      </w:pPr>
      <w:proofErr w:type="gramStart"/>
      <w:r w:rsidRPr="00F7265F">
        <w:rPr>
          <w:rFonts w:ascii="Times New Roman" w:hAnsi="Times New Roman" w:cs="Times New Roman"/>
          <w:b/>
          <w:sz w:val="20"/>
          <w:szCs w:val="20"/>
        </w:rPr>
        <w:t>Figure 2.</w:t>
      </w:r>
      <w:proofErr w:type="gramEnd"/>
      <w:r w:rsidRPr="00F7265F">
        <w:rPr>
          <w:rFonts w:ascii="Times New Roman" w:hAnsi="Times New Roman" w:cs="Times New Roman"/>
          <w:b/>
          <w:sz w:val="20"/>
          <w:szCs w:val="20"/>
        </w:rPr>
        <w:t xml:space="preserve"> </w:t>
      </w:r>
      <w:proofErr w:type="gramStart"/>
      <w:r w:rsidRPr="00F7265F">
        <w:rPr>
          <w:rFonts w:ascii="Times New Roman" w:hAnsi="Times New Roman" w:cs="Times New Roman"/>
          <w:b/>
          <w:sz w:val="20"/>
          <w:szCs w:val="20"/>
        </w:rPr>
        <w:t>Estimated health transition probabilities for female.</w:t>
      </w:r>
      <w:proofErr w:type="gramEnd"/>
      <w:r w:rsidRPr="00F7265F">
        <w:rPr>
          <w:rFonts w:ascii="Times New Roman" w:hAnsi="Times New Roman" w:cs="Times New Roman"/>
          <w:b/>
          <w:sz w:val="20"/>
          <w:szCs w:val="20"/>
        </w:rPr>
        <w:t xml:space="preserve"> </w:t>
      </w:r>
    </w:p>
    <w:p w14:paraId="4180DFB1" w14:textId="77777777" w:rsidR="007B3742" w:rsidRDefault="007B3742" w:rsidP="00F7265F">
      <w:pPr>
        <w:spacing w:after="0" w:line="480" w:lineRule="auto"/>
        <w:ind w:leftChars="193" w:left="425" w:rightChars="190" w:right="418"/>
        <w:jc w:val="center"/>
        <w:rPr>
          <w:rFonts w:ascii="Times New Roman" w:hAnsi="Times New Roman" w:cs="Times New Roman"/>
          <w:sz w:val="24"/>
          <w:szCs w:val="24"/>
        </w:rPr>
      </w:pPr>
      <w:r w:rsidRPr="0001491C">
        <w:rPr>
          <w:rFonts w:ascii="Times New Roman" w:hAnsi="Times New Roman" w:cs="Times New Roman"/>
          <w:noProof/>
          <w:sz w:val="24"/>
          <w:szCs w:val="24"/>
          <w:lang w:eastAsia="en-US"/>
        </w:rPr>
        <w:drawing>
          <wp:inline distT="0" distB="0" distL="0" distR="0" wp14:anchorId="34001494" wp14:editId="02223761">
            <wp:extent cx="4173703" cy="315298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180766" cy="3158318"/>
                    </a:xfrm>
                    <a:prstGeom prst="rect">
                      <a:avLst/>
                    </a:prstGeom>
                  </pic:spPr>
                </pic:pic>
              </a:graphicData>
            </a:graphic>
          </wp:inline>
        </w:drawing>
      </w:r>
    </w:p>
    <w:p w14:paraId="448AA16B" w14:textId="219529A7" w:rsidR="00AE5032" w:rsidRPr="00AE5032" w:rsidRDefault="00AE5032" w:rsidP="00AE5032">
      <w:pPr>
        <w:spacing w:after="0" w:line="480" w:lineRule="auto"/>
        <w:ind w:rightChars="190" w:right="418"/>
        <w:rPr>
          <w:rFonts w:ascii="Times New Roman" w:hAnsi="Times New Roman" w:cs="Times New Roman"/>
          <w:b/>
          <w:sz w:val="24"/>
          <w:szCs w:val="24"/>
        </w:rPr>
      </w:pPr>
      <w:r>
        <w:rPr>
          <w:rFonts w:ascii="Times New Roman" w:hAnsi="Times New Roman" w:cs="Times New Roman"/>
          <w:b/>
          <w:sz w:val="24"/>
          <w:szCs w:val="24"/>
        </w:rPr>
        <w:t>3.</w:t>
      </w:r>
      <w:r w:rsidRPr="00AE5032">
        <w:rPr>
          <w:rFonts w:ascii="Times New Roman" w:hAnsi="Times New Roman" w:cs="Times New Roman"/>
          <w:b/>
          <w:sz w:val="24"/>
          <w:szCs w:val="24"/>
        </w:rPr>
        <w:t>4. Compression or Expansion</w:t>
      </w:r>
    </w:p>
    <w:p w14:paraId="009B1C2B" w14:textId="155F6183" w:rsidR="00CA031C" w:rsidRPr="0001491C" w:rsidRDefault="00B1723E" w:rsidP="00AE5032">
      <w:pPr>
        <w:spacing w:after="0" w:line="480" w:lineRule="auto"/>
        <w:ind w:rightChars="190" w:right="418" w:firstLine="720"/>
        <w:jc w:val="both"/>
        <w:rPr>
          <w:rFonts w:ascii="Times New Roman" w:hAnsi="Times New Roman" w:cs="Times New Roman"/>
          <w:sz w:val="24"/>
          <w:szCs w:val="24"/>
        </w:rPr>
      </w:pPr>
      <w:r w:rsidRPr="0001491C">
        <w:rPr>
          <w:rFonts w:ascii="Times New Roman" w:hAnsi="Times New Roman" w:cs="Times New Roman"/>
          <w:sz w:val="24"/>
          <w:szCs w:val="24"/>
        </w:rPr>
        <w:lastRenderedPageBreak/>
        <w:t>Table 1 repor</w:t>
      </w:r>
      <w:r w:rsidR="00CA031C" w:rsidRPr="0001491C">
        <w:rPr>
          <w:rFonts w:ascii="Times New Roman" w:hAnsi="Times New Roman" w:cs="Times New Roman"/>
          <w:sz w:val="24"/>
          <w:szCs w:val="24"/>
        </w:rPr>
        <w:t xml:space="preserve">ts retirees’ </w:t>
      </w:r>
      <w:r w:rsidRPr="0001491C">
        <w:rPr>
          <w:rFonts w:ascii="Times New Roman" w:hAnsi="Times New Roman" w:cs="Times New Roman"/>
          <w:sz w:val="24"/>
          <w:szCs w:val="24"/>
        </w:rPr>
        <w:t xml:space="preserve">total </w:t>
      </w:r>
      <w:r w:rsidR="00CA031C" w:rsidRPr="0001491C">
        <w:rPr>
          <w:rFonts w:ascii="Times New Roman" w:hAnsi="Times New Roman" w:cs="Times New Roman"/>
          <w:sz w:val="24"/>
          <w:szCs w:val="24"/>
        </w:rPr>
        <w:t xml:space="preserve">life expectancy </w:t>
      </w:r>
      <w:r w:rsidRPr="0001491C">
        <w:rPr>
          <w:rFonts w:ascii="Times New Roman" w:hAnsi="Times New Roman" w:cs="Times New Roman"/>
          <w:sz w:val="24"/>
          <w:szCs w:val="24"/>
        </w:rPr>
        <w:t>and life expectancy in good and poor health states for cohorts 1-4. Roughly speaking, both male cohort and female cohort have a larger total life expectancy as</w:t>
      </w:r>
      <w:r w:rsidR="00AE5032">
        <w:rPr>
          <w:rFonts w:ascii="Times New Roman" w:hAnsi="Times New Roman" w:cs="Times New Roman"/>
          <w:sz w:val="24"/>
          <w:szCs w:val="24"/>
        </w:rPr>
        <w:t xml:space="preserve"> they become younger. </w:t>
      </w:r>
      <w:r w:rsidRPr="0001491C">
        <w:rPr>
          <w:rFonts w:ascii="Times New Roman" w:hAnsi="Times New Roman" w:cs="Times New Roman"/>
          <w:sz w:val="24"/>
          <w:szCs w:val="24"/>
        </w:rPr>
        <w:t xml:space="preserve">As they become younger, male cohort’s life expectancy in poor health increases whereas female cohort’s life expectancy in poor health decreases. </w:t>
      </w:r>
      <w:r w:rsidR="00AE5032">
        <w:rPr>
          <w:rFonts w:ascii="Times New Roman" w:hAnsi="Times New Roman" w:cs="Times New Roman"/>
          <w:sz w:val="24"/>
          <w:szCs w:val="24"/>
        </w:rPr>
        <w:t xml:space="preserve">We find that </w:t>
      </w:r>
      <w:r w:rsidRPr="0001491C">
        <w:rPr>
          <w:rFonts w:ascii="Times New Roman" w:hAnsi="Times New Roman" w:cs="Times New Roman"/>
          <w:sz w:val="24"/>
          <w:szCs w:val="24"/>
        </w:rPr>
        <w:t xml:space="preserve">the ratio of life expectancy in poor health to total life expectancy </w:t>
      </w:r>
      <w:r w:rsidR="00AE5032">
        <w:rPr>
          <w:rFonts w:ascii="Times New Roman" w:hAnsi="Times New Roman" w:cs="Times New Roman"/>
          <w:sz w:val="24"/>
          <w:szCs w:val="24"/>
        </w:rPr>
        <w:t xml:space="preserve">(both for male and female) decreases for younger cohorts, suggesting evidence of compression of morbidity. We also find that the ratio </w:t>
      </w:r>
      <w:r w:rsidRPr="0001491C">
        <w:rPr>
          <w:rFonts w:ascii="Times New Roman" w:hAnsi="Times New Roman" w:cs="Times New Roman"/>
          <w:sz w:val="24"/>
          <w:szCs w:val="24"/>
        </w:rPr>
        <w:t>for female is significa</w:t>
      </w:r>
      <w:r w:rsidR="00AE5032">
        <w:rPr>
          <w:rFonts w:ascii="Times New Roman" w:hAnsi="Times New Roman" w:cs="Times New Roman"/>
          <w:sz w:val="24"/>
          <w:szCs w:val="24"/>
        </w:rPr>
        <w:t xml:space="preserve">ntly larger than that for male, meaning that female on average live longer than male but female spend a higher proportion of their remaining life time in an unhealthy state than male do. </w:t>
      </w:r>
    </w:p>
    <w:p w14:paraId="5994440F" w14:textId="5A7826BF" w:rsidR="007B3742" w:rsidRPr="0001491C" w:rsidRDefault="0001491C" w:rsidP="0001491C">
      <w:pPr>
        <w:spacing w:after="0" w:line="240" w:lineRule="auto"/>
        <w:ind w:rightChars="190" w:right="418"/>
        <w:jc w:val="both"/>
        <w:rPr>
          <w:rFonts w:ascii="Times New Roman" w:hAnsi="Times New Roman" w:cs="Times New Roman"/>
          <w:b/>
          <w:sz w:val="20"/>
          <w:szCs w:val="20"/>
        </w:rPr>
      </w:pPr>
      <w:proofErr w:type="gramStart"/>
      <w:r>
        <w:rPr>
          <w:rFonts w:ascii="Times New Roman" w:hAnsi="Times New Roman" w:cs="Times New Roman"/>
          <w:b/>
          <w:sz w:val="20"/>
          <w:szCs w:val="20"/>
        </w:rPr>
        <w:t>Table 1.</w:t>
      </w:r>
      <w:proofErr w:type="gramEnd"/>
      <w:r>
        <w:rPr>
          <w:rFonts w:ascii="Times New Roman" w:hAnsi="Times New Roman" w:cs="Times New Roman"/>
          <w:b/>
          <w:sz w:val="20"/>
          <w:szCs w:val="20"/>
        </w:rPr>
        <w:t xml:space="preserve"> </w:t>
      </w:r>
      <w:r w:rsidR="00CA031C" w:rsidRPr="0001491C">
        <w:rPr>
          <w:rFonts w:ascii="Times New Roman" w:hAnsi="Times New Roman" w:cs="Times New Roman"/>
          <w:b/>
          <w:sz w:val="20"/>
          <w:szCs w:val="20"/>
        </w:rPr>
        <w:t xml:space="preserve">Life Expectancy in </w:t>
      </w:r>
      <w:r w:rsidR="00B1723E" w:rsidRPr="0001491C">
        <w:rPr>
          <w:rFonts w:ascii="Times New Roman" w:hAnsi="Times New Roman" w:cs="Times New Roman"/>
          <w:b/>
          <w:sz w:val="20"/>
          <w:szCs w:val="20"/>
        </w:rPr>
        <w:t xml:space="preserve">Good and Poor </w:t>
      </w:r>
      <w:r w:rsidR="00CA031C" w:rsidRPr="0001491C">
        <w:rPr>
          <w:rFonts w:ascii="Times New Roman" w:hAnsi="Times New Roman" w:cs="Times New Roman"/>
          <w:b/>
          <w:sz w:val="20"/>
          <w:szCs w:val="20"/>
        </w:rPr>
        <w:t>Health States</w:t>
      </w:r>
    </w:p>
    <w:p w14:paraId="475BD9C1" w14:textId="77777777" w:rsidR="0001491C" w:rsidRPr="0001491C" w:rsidRDefault="0001491C" w:rsidP="0001491C">
      <w:pPr>
        <w:spacing w:after="0" w:line="240" w:lineRule="auto"/>
        <w:ind w:rightChars="190" w:right="418"/>
        <w:jc w:val="both"/>
        <w:rPr>
          <w:rFonts w:ascii="Times New Roman" w:hAnsi="Times New Roman" w:cs="Times New Roman"/>
          <w:sz w:val="20"/>
          <w:szCs w:val="20"/>
        </w:rPr>
      </w:pPr>
    </w:p>
    <w:tbl>
      <w:tblPr>
        <w:tblW w:w="7938" w:type="dxa"/>
        <w:jc w:val="center"/>
        <w:tblLook w:val="04A0" w:firstRow="1" w:lastRow="0" w:firstColumn="1" w:lastColumn="0" w:noHBand="0" w:noVBand="1"/>
      </w:tblPr>
      <w:tblGrid>
        <w:gridCol w:w="900"/>
        <w:gridCol w:w="3550"/>
        <w:gridCol w:w="872"/>
        <w:gridCol w:w="872"/>
        <w:gridCol w:w="872"/>
        <w:gridCol w:w="872"/>
      </w:tblGrid>
      <w:tr w:rsidR="00CA031C" w:rsidRPr="0001491C" w14:paraId="4617FF86" w14:textId="77777777" w:rsidTr="00F7265F">
        <w:trPr>
          <w:trHeight w:val="360"/>
          <w:jc w:val="center"/>
        </w:trPr>
        <w:tc>
          <w:tcPr>
            <w:tcW w:w="900" w:type="dxa"/>
            <w:tcBorders>
              <w:top w:val="single" w:sz="4" w:space="0" w:color="auto"/>
              <w:bottom w:val="single" w:sz="4" w:space="0" w:color="auto"/>
            </w:tcBorders>
          </w:tcPr>
          <w:p w14:paraId="2803D442" w14:textId="77777777" w:rsidR="00CA031C" w:rsidRPr="0001491C" w:rsidRDefault="00CA031C" w:rsidP="0001491C">
            <w:pPr>
              <w:spacing w:after="0" w:line="240" w:lineRule="auto"/>
              <w:jc w:val="center"/>
              <w:rPr>
                <w:rFonts w:ascii="Times New Roman" w:hAnsi="Times New Roman" w:cs="Times New Roman"/>
                <w:color w:val="000000"/>
                <w:sz w:val="20"/>
                <w:szCs w:val="20"/>
              </w:rPr>
            </w:pPr>
          </w:p>
        </w:tc>
        <w:tc>
          <w:tcPr>
            <w:tcW w:w="3550" w:type="dxa"/>
            <w:tcBorders>
              <w:top w:val="single" w:sz="4" w:space="0" w:color="auto"/>
              <w:bottom w:val="single" w:sz="4" w:space="0" w:color="auto"/>
            </w:tcBorders>
            <w:shd w:val="clear" w:color="auto" w:fill="auto"/>
            <w:noWrap/>
            <w:vAlign w:val="center"/>
          </w:tcPr>
          <w:p w14:paraId="35F2C0FE" w14:textId="77777777" w:rsidR="00CA031C" w:rsidRPr="0001491C" w:rsidRDefault="00CA031C" w:rsidP="0001491C">
            <w:pPr>
              <w:spacing w:after="0" w:line="240" w:lineRule="auto"/>
              <w:jc w:val="center"/>
              <w:rPr>
                <w:rFonts w:ascii="Times New Roman" w:hAnsi="Times New Roman" w:cs="Times New Roman"/>
                <w:color w:val="000000"/>
                <w:sz w:val="20"/>
                <w:szCs w:val="20"/>
              </w:rPr>
            </w:pPr>
          </w:p>
        </w:tc>
        <w:tc>
          <w:tcPr>
            <w:tcW w:w="872" w:type="dxa"/>
            <w:tcBorders>
              <w:top w:val="single" w:sz="4" w:space="0" w:color="auto"/>
              <w:bottom w:val="single" w:sz="4" w:space="0" w:color="auto"/>
            </w:tcBorders>
            <w:shd w:val="clear" w:color="auto" w:fill="auto"/>
            <w:noWrap/>
            <w:vAlign w:val="center"/>
            <w:hideMark/>
          </w:tcPr>
          <w:p w14:paraId="3CE2A205"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Cohort1</w:t>
            </w:r>
          </w:p>
        </w:tc>
        <w:tc>
          <w:tcPr>
            <w:tcW w:w="872" w:type="dxa"/>
            <w:tcBorders>
              <w:top w:val="single" w:sz="4" w:space="0" w:color="auto"/>
              <w:bottom w:val="single" w:sz="4" w:space="0" w:color="auto"/>
            </w:tcBorders>
            <w:shd w:val="clear" w:color="auto" w:fill="auto"/>
            <w:noWrap/>
            <w:vAlign w:val="center"/>
            <w:hideMark/>
          </w:tcPr>
          <w:p w14:paraId="5D6E7A2C"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Cohort2</w:t>
            </w:r>
          </w:p>
        </w:tc>
        <w:tc>
          <w:tcPr>
            <w:tcW w:w="872" w:type="dxa"/>
            <w:tcBorders>
              <w:top w:val="single" w:sz="4" w:space="0" w:color="auto"/>
              <w:bottom w:val="single" w:sz="4" w:space="0" w:color="auto"/>
            </w:tcBorders>
            <w:shd w:val="clear" w:color="auto" w:fill="auto"/>
            <w:noWrap/>
            <w:vAlign w:val="center"/>
            <w:hideMark/>
          </w:tcPr>
          <w:p w14:paraId="7251DA73"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Cohort3</w:t>
            </w:r>
          </w:p>
        </w:tc>
        <w:tc>
          <w:tcPr>
            <w:tcW w:w="872" w:type="dxa"/>
            <w:tcBorders>
              <w:top w:val="single" w:sz="4" w:space="0" w:color="auto"/>
              <w:bottom w:val="single" w:sz="4" w:space="0" w:color="auto"/>
            </w:tcBorders>
            <w:shd w:val="clear" w:color="auto" w:fill="auto"/>
            <w:noWrap/>
            <w:vAlign w:val="center"/>
            <w:hideMark/>
          </w:tcPr>
          <w:p w14:paraId="49366044"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Cohort4</w:t>
            </w:r>
          </w:p>
        </w:tc>
      </w:tr>
      <w:tr w:rsidR="00CA031C" w:rsidRPr="0001491C" w14:paraId="1CEC7248" w14:textId="77777777" w:rsidTr="00F7265F">
        <w:trPr>
          <w:trHeight w:val="360"/>
          <w:jc w:val="center"/>
        </w:trPr>
        <w:tc>
          <w:tcPr>
            <w:tcW w:w="900" w:type="dxa"/>
            <w:vMerge w:val="restart"/>
            <w:tcBorders>
              <w:top w:val="single" w:sz="4" w:space="0" w:color="auto"/>
              <w:bottom w:val="single" w:sz="4" w:space="0" w:color="auto"/>
            </w:tcBorders>
            <w:vAlign w:val="center"/>
          </w:tcPr>
          <w:p w14:paraId="21B283F5"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Female</w:t>
            </w:r>
          </w:p>
        </w:tc>
        <w:tc>
          <w:tcPr>
            <w:tcW w:w="3550" w:type="dxa"/>
            <w:tcBorders>
              <w:top w:val="single" w:sz="4" w:space="0" w:color="auto"/>
            </w:tcBorders>
            <w:shd w:val="clear" w:color="auto" w:fill="auto"/>
            <w:noWrap/>
            <w:vAlign w:val="center"/>
            <w:hideMark/>
          </w:tcPr>
          <w:p w14:paraId="587D2465" w14:textId="77777777" w:rsidR="00CA031C" w:rsidRPr="0001491C" w:rsidRDefault="00CA031C" w:rsidP="0001491C">
            <w:pPr>
              <w:spacing w:after="0" w:line="240" w:lineRule="auto"/>
              <w:rPr>
                <w:rFonts w:ascii="Times New Roman" w:hAnsi="Times New Roman" w:cs="Times New Roman"/>
                <w:color w:val="000000"/>
                <w:sz w:val="20"/>
                <w:szCs w:val="20"/>
              </w:rPr>
            </w:pPr>
            <w:r w:rsidRPr="0001491C">
              <w:rPr>
                <w:rFonts w:ascii="Times New Roman" w:hAnsi="Times New Roman" w:cs="Times New Roman"/>
                <w:color w:val="000000"/>
                <w:sz w:val="20"/>
                <w:szCs w:val="20"/>
              </w:rPr>
              <w:t xml:space="preserve">Life expectancy in </w:t>
            </w:r>
            <w:r w:rsidR="00B1723E" w:rsidRPr="0001491C">
              <w:rPr>
                <w:rFonts w:ascii="Times New Roman" w:hAnsi="Times New Roman" w:cs="Times New Roman"/>
                <w:color w:val="000000"/>
                <w:sz w:val="20"/>
                <w:szCs w:val="20"/>
              </w:rPr>
              <w:t xml:space="preserve">good </w:t>
            </w:r>
            <w:r w:rsidRPr="0001491C">
              <w:rPr>
                <w:rFonts w:ascii="Times New Roman" w:hAnsi="Times New Roman" w:cs="Times New Roman"/>
                <w:color w:val="000000"/>
                <w:sz w:val="20"/>
                <w:szCs w:val="20"/>
              </w:rPr>
              <w:t>health (years)</w:t>
            </w:r>
          </w:p>
        </w:tc>
        <w:tc>
          <w:tcPr>
            <w:tcW w:w="872" w:type="dxa"/>
            <w:tcBorders>
              <w:top w:val="single" w:sz="4" w:space="0" w:color="auto"/>
            </w:tcBorders>
            <w:shd w:val="clear" w:color="auto" w:fill="auto"/>
            <w:noWrap/>
            <w:hideMark/>
          </w:tcPr>
          <w:p w14:paraId="53EA2117"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18.36</w:t>
            </w:r>
          </w:p>
        </w:tc>
        <w:tc>
          <w:tcPr>
            <w:tcW w:w="872" w:type="dxa"/>
            <w:tcBorders>
              <w:top w:val="single" w:sz="4" w:space="0" w:color="auto"/>
            </w:tcBorders>
            <w:shd w:val="clear" w:color="auto" w:fill="auto"/>
            <w:noWrap/>
            <w:hideMark/>
          </w:tcPr>
          <w:p w14:paraId="5804467F"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17.99</w:t>
            </w:r>
          </w:p>
        </w:tc>
        <w:tc>
          <w:tcPr>
            <w:tcW w:w="872" w:type="dxa"/>
            <w:tcBorders>
              <w:top w:val="single" w:sz="4" w:space="0" w:color="auto"/>
            </w:tcBorders>
            <w:shd w:val="clear" w:color="auto" w:fill="auto"/>
            <w:noWrap/>
            <w:hideMark/>
          </w:tcPr>
          <w:p w14:paraId="3711597E"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18.68</w:t>
            </w:r>
          </w:p>
        </w:tc>
        <w:tc>
          <w:tcPr>
            <w:tcW w:w="872" w:type="dxa"/>
            <w:tcBorders>
              <w:top w:val="single" w:sz="4" w:space="0" w:color="auto"/>
            </w:tcBorders>
            <w:shd w:val="clear" w:color="auto" w:fill="auto"/>
            <w:noWrap/>
            <w:hideMark/>
          </w:tcPr>
          <w:p w14:paraId="2FA30B12"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17.39</w:t>
            </w:r>
          </w:p>
        </w:tc>
      </w:tr>
      <w:tr w:rsidR="00CA031C" w:rsidRPr="0001491C" w14:paraId="385A2212" w14:textId="77777777" w:rsidTr="00F7265F">
        <w:trPr>
          <w:trHeight w:val="360"/>
          <w:jc w:val="center"/>
        </w:trPr>
        <w:tc>
          <w:tcPr>
            <w:tcW w:w="900" w:type="dxa"/>
            <w:vMerge/>
            <w:tcBorders>
              <w:bottom w:val="single" w:sz="4" w:space="0" w:color="auto"/>
            </w:tcBorders>
          </w:tcPr>
          <w:p w14:paraId="35E8E53C" w14:textId="77777777" w:rsidR="00CA031C" w:rsidRPr="0001491C" w:rsidRDefault="00CA031C" w:rsidP="0001491C">
            <w:pPr>
              <w:spacing w:after="0" w:line="240" w:lineRule="auto"/>
              <w:jc w:val="center"/>
              <w:rPr>
                <w:rFonts w:ascii="Times New Roman" w:hAnsi="Times New Roman" w:cs="Times New Roman"/>
                <w:color w:val="000000"/>
                <w:sz w:val="20"/>
                <w:szCs w:val="20"/>
              </w:rPr>
            </w:pPr>
          </w:p>
        </w:tc>
        <w:tc>
          <w:tcPr>
            <w:tcW w:w="3550" w:type="dxa"/>
            <w:shd w:val="clear" w:color="auto" w:fill="auto"/>
            <w:noWrap/>
            <w:vAlign w:val="center"/>
            <w:hideMark/>
          </w:tcPr>
          <w:p w14:paraId="42AF07A9" w14:textId="77777777" w:rsidR="00CA031C" w:rsidRPr="0001491C" w:rsidRDefault="00CA031C" w:rsidP="0001491C">
            <w:pPr>
              <w:spacing w:after="0" w:line="240" w:lineRule="auto"/>
              <w:rPr>
                <w:rFonts w:ascii="Times New Roman" w:hAnsi="Times New Roman" w:cs="Times New Roman"/>
                <w:color w:val="000000"/>
                <w:sz w:val="20"/>
                <w:szCs w:val="20"/>
              </w:rPr>
            </w:pPr>
            <w:r w:rsidRPr="0001491C">
              <w:rPr>
                <w:rFonts w:ascii="Times New Roman" w:hAnsi="Times New Roman" w:cs="Times New Roman"/>
                <w:color w:val="000000"/>
                <w:sz w:val="20"/>
                <w:szCs w:val="20"/>
              </w:rPr>
              <w:t xml:space="preserve">Life expectancy in </w:t>
            </w:r>
            <w:r w:rsidR="00B1723E" w:rsidRPr="0001491C">
              <w:rPr>
                <w:rFonts w:ascii="Times New Roman" w:hAnsi="Times New Roman" w:cs="Times New Roman"/>
                <w:color w:val="000000"/>
                <w:sz w:val="20"/>
                <w:szCs w:val="20"/>
              </w:rPr>
              <w:t xml:space="preserve">poor </w:t>
            </w:r>
            <w:r w:rsidRPr="0001491C">
              <w:rPr>
                <w:rFonts w:ascii="Times New Roman" w:hAnsi="Times New Roman" w:cs="Times New Roman"/>
                <w:color w:val="000000"/>
                <w:sz w:val="20"/>
                <w:szCs w:val="20"/>
              </w:rPr>
              <w:t>health (years)</w:t>
            </w:r>
          </w:p>
        </w:tc>
        <w:tc>
          <w:tcPr>
            <w:tcW w:w="872" w:type="dxa"/>
            <w:shd w:val="clear" w:color="auto" w:fill="auto"/>
            <w:noWrap/>
            <w:hideMark/>
          </w:tcPr>
          <w:p w14:paraId="4FC5C891"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3.21</w:t>
            </w:r>
          </w:p>
        </w:tc>
        <w:tc>
          <w:tcPr>
            <w:tcW w:w="872" w:type="dxa"/>
            <w:shd w:val="clear" w:color="auto" w:fill="auto"/>
            <w:noWrap/>
            <w:hideMark/>
          </w:tcPr>
          <w:p w14:paraId="71AC4B46"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3.09</w:t>
            </w:r>
          </w:p>
        </w:tc>
        <w:tc>
          <w:tcPr>
            <w:tcW w:w="872" w:type="dxa"/>
            <w:shd w:val="clear" w:color="auto" w:fill="auto"/>
            <w:noWrap/>
            <w:hideMark/>
          </w:tcPr>
          <w:p w14:paraId="79D0AC25"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3.01</w:t>
            </w:r>
          </w:p>
        </w:tc>
        <w:tc>
          <w:tcPr>
            <w:tcW w:w="872" w:type="dxa"/>
            <w:shd w:val="clear" w:color="auto" w:fill="auto"/>
            <w:noWrap/>
            <w:hideMark/>
          </w:tcPr>
          <w:p w14:paraId="5569010D"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2.84</w:t>
            </w:r>
          </w:p>
        </w:tc>
      </w:tr>
      <w:tr w:rsidR="00CA031C" w:rsidRPr="0001491C" w14:paraId="58AA5147" w14:textId="77777777" w:rsidTr="00F7265F">
        <w:trPr>
          <w:trHeight w:val="360"/>
          <w:jc w:val="center"/>
        </w:trPr>
        <w:tc>
          <w:tcPr>
            <w:tcW w:w="900" w:type="dxa"/>
            <w:vMerge/>
            <w:tcBorders>
              <w:bottom w:val="single" w:sz="4" w:space="0" w:color="auto"/>
            </w:tcBorders>
          </w:tcPr>
          <w:p w14:paraId="74D9D7EA" w14:textId="77777777" w:rsidR="00CA031C" w:rsidRPr="0001491C" w:rsidRDefault="00CA031C" w:rsidP="0001491C">
            <w:pPr>
              <w:spacing w:after="0" w:line="240" w:lineRule="auto"/>
              <w:jc w:val="center"/>
              <w:rPr>
                <w:rFonts w:ascii="Times New Roman" w:hAnsi="Times New Roman" w:cs="Times New Roman"/>
                <w:color w:val="000000"/>
                <w:sz w:val="20"/>
                <w:szCs w:val="20"/>
              </w:rPr>
            </w:pPr>
          </w:p>
        </w:tc>
        <w:tc>
          <w:tcPr>
            <w:tcW w:w="3550" w:type="dxa"/>
            <w:shd w:val="clear" w:color="auto" w:fill="auto"/>
            <w:noWrap/>
            <w:vAlign w:val="center"/>
            <w:hideMark/>
          </w:tcPr>
          <w:p w14:paraId="643D21DE" w14:textId="77777777" w:rsidR="00CA031C" w:rsidRPr="0001491C" w:rsidRDefault="00CA031C" w:rsidP="0001491C">
            <w:pPr>
              <w:spacing w:after="0" w:line="240" w:lineRule="auto"/>
              <w:rPr>
                <w:rFonts w:ascii="Times New Roman" w:hAnsi="Times New Roman" w:cs="Times New Roman"/>
                <w:color w:val="000000"/>
                <w:sz w:val="20"/>
                <w:szCs w:val="20"/>
              </w:rPr>
            </w:pPr>
            <w:r w:rsidRPr="0001491C">
              <w:rPr>
                <w:rFonts w:ascii="Times New Roman" w:hAnsi="Times New Roman" w:cs="Times New Roman"/>
                <w:color w:val="000000"/>
                <w:sz w:val="20"/>
                <w:szCs w:val="20"/>
              </w:rPr>
              <w:t>Total life expectancy (years)</w:t>
            </w:r>
          </w:p>
        </w:tc>
        <w:tc>
          <w:tcPr>
            <w:tcW w:w="872" w:type="dxa"/>
            <w:shd w:val="clear" w:color="auto" w:fill="auto"/>
            <w:noWrap/>
            <w:hideMark/>
          </w:tcPr>
          <w:p w14:paraId="18493737"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21.57</w:t>
            </w:r>
          </w:p>
        </w:tc>
        <w:tc>
          <w:tcPr>
            <w:tcW w:w="872" w:type="dxa"/>
            <w:shd w:val="clear" w:color="auto" w:fill="auto"/>
            <w:noWrap/>
            <w:hideMark/>
          </w:tcPr>
          <w:p w14:paraId="4BD7EC3B"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21.08</w:t>
            </w:r>
          </w:p>
        </w:tc>
        <w:tc>
          <w:tcPr>
            <w:tcW w:w="872" w:type="dxa"/>
            <w:shd w:val="clear" w:color="auto" w:fill="auto"/>
            <w:noWrap/>
            <w:hideMark/>
          </w:tcPr>
          <w:p w14:paraId="358E7691"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21.69</w:t>
            </w:r>
          </w:p>
        </w:tc>
        <w:tc>
          <w:tcPr>
            <w:tcW w:w="872" w:type="dxa"/>
            <w:shd w:val="clear" w:color="auto" w:fill="auto"/>
            <w:noWrap/>
            <w:hideMark/>
          </w:tcPr>
          <w:p w14:paraId="35675811"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20.23</w:t>
            </w:r>
          </w:p>
        </w:tc>
      </w:tr>
      <w:tr w:rsidR="00CA031C" w:rsidRPr="0001491C" w14:paraId="00844AD0" w14:textId="77777777" w:rsidTr="00F7265F">
        <w:trPr>
          <w:trHeight w:val="360"/>
          <w:jc w:val="center"/>
        </w:trPr>
        <w:tc>
          <w:tcPr>
            <w:tcW w:w="900" w:type="dxa"/>
            <w:vMerge/>
            <w:tcBorders>
              <w:bottom w:val="single" w:sz="4" w:space="0" w:color="auto"/>
            </w:tcBorders>
          </w:tcPr>
          <w:p w14:paraId="18FCE71D" w14:textId="77777777" w:rsidR="00CA031C" w:rsidRPr="0001491C" w:rsidRDefault="00CA031C" w:rsidP="0001491C">
            <w:pPr>
              <w:spacing w:after="0" w:line="240" w:lineRule="auto"/>
              <w:jc w:val="center"/>
              <w:rPr>
                <w:rFonts w:ascii="Times New Roman" w:hAnsi="Times New Roman" w:cs="Times New Roman"/>
                <w:color w:val="000000"/>
                <w:sz w:val="20"/>
                <w:szCs w:val="20"/>
              </w:rPr>
            </w:pPr>
          </w:p>
        </w:tc>
        <w:tc>
          <w:tcPr>
            <w:tcW w:w="3550" w:type="dxa"/>
            <w:tcBorders>
              <w:bottom w:val="single" w:sz="4" w:space="0" w:color="auto"/>
            </w:tcBorders>
            <w:shd w:val="clear" w:color="auto" w:fill="auto"/>
            <w:noWrap/>
            <w:vAlign w:val="center"/>
            <w:hideMark/>
          </w:tcPr>
          <w:p w14:paraId="393B009A" w14:textId="77777777" w:rsidR="00CA031C" w:rsidRPr="0001491C" w:rsidRDefault="00CA031C" w:rsidP="0001491C">
            <w:pPr>
              <w:spacing w:after="0" w:line="240" w:lineRule="auto"/>
              <w:rPr>
                <w:rFonts w:ascii="Times New Roman" w:hAnsi="Times New Roman" w:cs="Times New Roman"/>
                <w:color w:val="000000"/>
                <w:sz w:val="20"/>
                <w:szCs w:val="20"/>
              </w:rPr>
            </w:pPr>
            <w:r w:rsidRPr="0001491C">
              <w:rPr>
                <w:rFonts w:ascii="Times New Roman" w:hAnsi="Times New Roman" w:cs="Times New Roman"/>
                <w:color w:val="000000"/>
                <w:sz w:val="20"/>
                <w:szCs w:val="20"/>
              </w:rPr>
              <w:t xml:space="preserve">Ratio of life expectancy in </w:t>
            </w:r>
            <w:r w:rsidR="00B1723E" w:rsidRPr="0001491C">
              <w:rPr>
                <w:rFonts w:ascii="Times New Roman" w:hAnsi="Times New Roman" w:cs="Times New Roman"/>
                <w:color w:val="000000"/>
                <w:sz w:val="20"/>
                <w:szCs w:val="20"/>
              </w:rPr>
              <w:t xml:space="preserve">poor </w:t>
            </w:r>
            <w:r w:rsidRPr="0001491C">
              <w:rPr>
                <w:rFonts w:ascii="Times New Roman" w:hAnsi="Times New Roman" w:cs="Times New Roman"/>
                <w:color w:val="000000"/>
                <w:sz w:val="20"/>
                <w:szCs w:val="20"/>
              </w:rPr>
              <w:t xml:space="preserve">health </w:t>
            </w:r>
            <w:r w:rsidRPr="0001491C">
              <w:rPr>
                <w:rFonts w:ascii="Times New Roman" w:hAnsi="Times New Roman" w:cs="Times New Roman"/>
                <w:spacing w:val="-1"/>
                <w:w w:val="105"/>
                <w:sz w:val="20"/>
                <w:szCs w:val="20"/>
              </w:rPr>
              <w:t>to</w:t>
            </w:r>
            <w:r w:rsidRPr="0001491C">
              <w:rPr>
                <w:rFonts w:ascii="Times New Roman" w:hAnsi="Times New Roman" w:cs="Times New Roman"/>
                <w:spacing w:val="6"/>
                <w:w w:val="105"/>
                <w:sz w:val="20"/>
                <w:szCs w:val="20"/>
              </w:rPr>
              <w:t xml:space="preserve"> </w:t>
            </w:r>
            <w:r w:rsidRPr="0001491C">
              <w:rPr>
                <w:rFonts w:ascii="Times New Roman" w:hAnsi="Times New Roman" w:cs="Times New Roman"/>
                <w:w w:val="105"/>
                <w:sz w:val="20"/>
                <w:szCs w:val="20"/>
              </w:rPr>
              <w:t>total</w:t>
            </w:r>
            <w:r w:rsidRPr="0001491C">
              <w:rPr>
                <w:rFonts w:ascii="Times New Roman" w:hAnsi="Times New Roman" w:cs="Times New Roman"/>
                <w:spacing w:val="8"/>
                <w:w w:val="105"/>
                <w:sz w:val="20"/>
                <w:szCs w:val="20"/>
              </w:rPr>
              <w:t xml:space="preserve"> </w:t>
            </w:r>
            <w:r w:rsidRPr="0001491C">
              <w:rPr>
                <w:rFonts w:ascii="Times New Roman" w:hAnsi="Times New Roman" w:cs="Times New Roman"/>
                <w:spacing w:val="-2"/>
                <w:w w:val="105"/>
                <w:sz w:val="20"/>
                <w:szCs w:val="20"/>
              </w:rPr>
              <w:t>life</w:t>
            </w:r>
            <w:r w:rsidRPr="0001491C">
              <w:rPr>
                <w:rFonts w:ascii="Times New Roman" w:hAnsi="Times New Roman" w:cs="Times New Roman"/>
                <w:spacing w:val="8"/>
                <w:w w:val="105"/>
                <w:sz w:val="20"/>
                <w:szCs w:val="20"/>
              </w:rPr>
              <w:t xml:space="preserve"> </w:t>
            </w:r>
            <w:r w:rsidRPr="0001491C">
              <w:rPr>
                <w:rFonts w:ascii="Times New Roman" w:hAnsi="Times New Roman" w:cs="Times New Roman"/>
                <w:spacing w:val="-1"/>
                <w:w w:val="105"/>
                <w:sz w:val="20"/>
                <w:szCs w:val="20"/>
              </w:rPr>
              <w:t>expectancy</w:t>
            </w:r>
          </w:p>
        </w:tc>
        <w:tc>
          <w:tcPr>
            <w:tcW w:w="872" w:type="dxa"/>
            <w:tcBorders>
              <w:bottom w:val="single" w:sz="4" w:space="0" w:color="auto"/>
            </w:tcBorders>
            <w:shd w:val="clear" w:color="auto" w:fill="auto"/>
            <w:noWrap/>
            <w:vAlign w:val="center"/>
            <w:hideMark/>
          </w:tcPr>
          <w:p w14:paraId="2792EF36"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14.87%</w:t>
            </w:r>
          </w:p>
        </w:tc>
        <w:tc>
          <w:tcPr>
            <w:tcW w:w="872" w:type="dxa"/>
            <w:tcBorders>
              <w:bottom w:val="single" w:sz="4" w:space="0" w:color="auto"/>
            </w:tcBorders>
            <w:shd w:val="clear" w:color="auto" w:fill="auto"/>
            <w:noWrap/>
            <w:vAlign w:val="center"/>
            <w:hideMark/>
          </w:tcPr>
          <w:p w14:paraId="4AEFA73C"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14.65%</w:t>
            </w:r>
          </w:p>
        </w:tc>
        <w:tc>
          <w:tcPr>
            <w:tcW w:w="872" w:type="dxa"/>
            <w:tcBorders>
              <w:bottom w:val="single" w:sz="4" w:space="0" w:color="auto"/>
            </w:tcBorders>
            <w:shd w:val="clear" w:color="auto" w:fill="auto"/>
            <w:noWrap/>
            <w:vAlign w:val="center"/>
            <w:hideMark/>
          </w:tcPr>
          <w:p w14:paraId="66EF809C"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13.88%</w:t>
            </w:r>
          </w:p>
        </w:tc>
        <w:tc>
          <w:tcPr>
            <w:tcW w:w="872" w:type="dxa"/>
            <w:tcBorders>
              <w:bottom w:val="single" w:sz="4" w:space="0" w:color="auto"/>
            </w:tcBorders>
            <w:shd w:val="clear" w:color="auto" w:fill="auto"/>
            <w:noWrap/>
            <w:vAlign w:val="center"/>
            <w:hideMark/>
          </w:tcPr>
          <w:p w14:paraId="0D25DC62" w14:textId="77777777" w:rsidR="00CA031C" w:rsidRPr="0001491C" w:rsidRDefault="00CA031C"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14.04%</w:t>
            </w:r>
          </w:p>
        </w:tc>
      </w:tr>
      <w:tr w:rsidR="00AB41C7" w:rsidRPr="0001491C" w14:paraId="3D75E441" w14:textId="77777777" w:rsidTr="00F7265F">
        <w:trPr>
          <w:trHeight w:val="360"/>
          <w:jc w:val="center"/>
        </w:trPr>
        <w:tc>
          <w:tcPr>
            <w:tcW w:w="900" w:type="dxa"/>
            <w:vMerge w:val="restart"/>
            <w:tcBorders>
              <w:top w:val="single" w:sz="4" w:space="0" w:color="auto"/>
            </w:tcBorders>
            <w:vAlign w:val="center"/>
          </w:tcPr>
          <w:p w14:paraId="6E36AB4E" w14:textId="77777777" w:rsidR="00AB41C7" w:rsidRPr="0001491C" w:rsidRDefault="00AB41C7"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Male</w:t>
            </w:r>
          </w:p>
        </w:tc>
        <w:tc>
          <w:tcPr>
            <w:tcW w:w="3550" w:type="dxa"/>
            <w:tcBorders>
              <w:top w:val="single" w:sz="4" w:space="0" w:color="auto"/>
            </w:tcBorders>
            <w:shd w:val="clear" w:color="auto" w:fill="auto"/>
            <w:noWrap/>
            <w:vAlign w:val="center"/>
          </w:tcPr>
          <w:p w14:paraId="4256D3CF" w14:textId="77777777" w:rsidR="00AB41C7" w:rsidRPr="0001491C" w:rsidRDefault="00AB41C7" w:rsidP="0001491C">
            <w:pPr>
              <w:spacing w:after="0" w:line="240" w:lineRule="auto"/>
              <w:rPr>
                <w:rFonts w:ascii="Times New Roman" w:hAnsi="Times New Roman" w:cs="Times New Roman"/>
                <w:color w:val="000000"/>
                <w:sz w:val="20"/>
                <w:szCs w:val="20"/>
              </w:rPr>
            </w:pPr>
            <w:r w:rsidRPr="0001491C">
              <w:rPr>
                <w:rFonts w:ascii="Times New Roman" w:hAnsi="Times New Roman" w:cs="Times New Roman"/>
                <w:color w:val="000000"/>
                <w:sz w:val="20"/>
                <w:szCs w:val="20"/>
              </w:rPr>
              <w:t>Life expectancy in good health (years)</w:t>
            </w:r>
          </w:p>
        </w:tc>
        <w:tc>
          <w:tcPr>
            <w:tcW w:w="872" w:type="dxa"/>
            <w:tcBorders>
              <w:top w:val="single" w:sz="4" w:space="0" w:color="auto"/>
            </w:tcBorders>
            <w:shd w:val="clear" w:color="auto" w:fill="auto"/>
            <w:noWrap/>
          </w:tcPr>
          <w:p w14:paraId="180896FA" w14:textId="77777777" w:rsidR="00AB41C7" w:rsidRPr="0001491C" w:rsidRDefault="00AB41C7"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14.22</w:t>
            </w:r>
          </w:p>
        </w:tc>
        <w:tc>
          <w:tcPr>
            <w:tcW w:w="872" w:type="dxa"/>
            <w:tcBorders>
              <w:top w:val="single" w:sz="4" w:space="0" w:color="auto"/>
            </w:tcBorders>
            <w:shd w:val="clear" w:color="auto" w:fill="auto"/>
            <w:noWrap/>
          </w:tcPr>
          <w:p w14:paraId="1C94A214" w14:textId="77777777" w:rsidR="00AB41C7" w:rsidRPr="0001491C" w:rsidRDefault="00AB41C7"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16.48</w:t>
            </w:r>
          </w:p>
        </w:tc>
        <w:tc>
          <w:tcPr>
            <w:tcW w:w="872" w:type="dxa"/>
            <w:tcBorders>
              <w:top w:val="single" w:sz="4" w:space="0" w:color="auto"/>
            </w:tcBorders>
            <w:shd w:val="clear" w:color="auto" w:fill="auto"/>
            <w:noWrap/>
          </w:tcPr>
          <w:p w14:paraId="0D1AA805" w14:textId="77777777" w:rsidR="00AB41C7" w:rsidRPr="0001491C" w:rsidRDefault="00AB41C7"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18.07</w:t>
            </w:r>
          </w:p>
        </w:tc>
        <w:tc>
          <w:tcPr>
            <w:tcW w:w="872" w:type="dxa"/>
            <w:tcBorders>
              <w:top w:val="single" w:sz="4" w:space="0" w:color="auto"/>
            </w:tcBorders>
            <w:shd w:val="clear" w:color="auto" w:fill="auto"/>
            <w:noWrap/>
          </w:tcPr>
          <w:p w14:paraId="52AC779F" w14:textId="77777777" w:rsidR="00AB41C7" w:rsidRPr="0001491C" w:rsidRDefault="00AB41C7"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17.67</w:t>
            </w:r>
          </w:p>
        </w:tc>
      </w:tr>
      <w:tr w:rsidR="00AB41C7" w:rsidRPr="0001491C" w14:paraId="437771DE" w14:textId="77777777" w:rsidTr="00F7265F">
        <w:trPr>
          <w:trHeight w:val="360"/>
          <w:jc w:val="center"/>
        </w:trPr>
        <w:tc>
          <w:tcPr>
            <w:tcW w:w="900" w:type="dxa"/>
            <w:vMerge/>
          </w:tcPr>
          <w:p w14:paraId="6EC2751E" w14:textId="77777777" w:rsidR="00AB41C7" w:rsidRPr="0001491C" w:rsidRDefault="00AB41C7" w:rsidP="0001491C">
            <w:pPr>
              <w:spacing w:after="0" w:line="240" w:lineRule="auto"/>
              <w:jc w:val="center"/>
              <w:rPr>
                <w:rFonts w:ascii="Times New Roman" w:hAnsi="Times New Roman" w:cs="Times New Roman"/>
                <w:color w:val="000000"/>
                <w:sz w:val="20"/>
                <w:szCs w:val="20"/>
              </w:rPr>
            </w:pPr>
          </w:p>
        </w:tc>
        <w:tc>
          <w:tcPr>
            <w:tcW w:w="3550" w:type="dxa"/>
            <w:shd w:val="clear" w:color="auto" w:fill="auto"/>
            <w:noWrap/>
            <w:vAlign w:val="center"/>
          </w:tcPr>
          <w:p w14:paraId="3513E221" w14:textId="77777777" w:rsidR="00AB41C7" w:rsidRPr="0001491C" w:rsidRDefault="00AB41C7" w:rsidP="0001491C">
            <w:pPr>
              <w:spacing w:after="0" w:line="240" w:lineRule="auto"/>
              <w:rPr>
                <w:rFonts w:ascii="Times New Roman" w:hAnsi="Times New Roman" w:cs="Times New Roman"/>
                <w:color w:val="000000"/>
                <w:sz w:val="20"/>
                <w:szCs w:val="20"/>
              </w:rPr>
            </w:pPr>
            <w:r w:rsidRPr="0001491C">
              <w:rPr>
                <w:rFonts w:ascii="Times New Roman" w:hAnsi="Times New Roman" w:cs="Times New Roman"/>
                <w:color w:val="000000"/>
                <w:sz w:val="20"/>
                <w:szCs w:val="20"/>
              </w:rPr>
              <w:t>Life expectancy in poor health (years)</w:t>
            </w:r>
          </w:p>
        </w:tc>
        <w:tc>
          <w:tcPr>
            <w:tcW w:w="872" w:type="dxa"/>
            <w:shd w:val="clear" w:color="auto" w:fill="auto"/>
            <w:noWrap/>
          </w:tcPr>
          <w:p w14:paraId="56D6EAEC" w14:textId="77777777" w:rsidR="00AB41C7" w:rsidRPr="0001491C" w:rsidRDefault="00AB41C7"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1.92</w:t>
            </w:r>
          </w:p>
        </w:tc>
        <w:tc>
          <w:tcPr>
            <w:tcW w:w="872" w:type="dxa"/>
            <w:shd w:val="clear" w:color="auto" w:fill="auto"/>
            <w:noWrap/>
          </w:tcPr>
          <w:p w14:paraId="0DFF3EE6" w14:textId="77777777" w:rsidR="00AB41C7" w:rsidRPr="0001491C" w:rsidRDefault="00AB41C7"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1.94</w:t>
            </w:r>
          </w:p>
        </w:tc>
        <w:tc>
          <w:tcPr>
            <w:tcW w:w="872" w:type="dxa"/>
            <w:shd w:val="clear" w:color="auto" w:fill="auto"/>
            <w:noWrap/>
          </w:tcPr>
          <w:p w14:paraId="141CA4E5" w14:textId="77777777" w:rsidR="00AB41C7" w:rsidRPr="0001491C" w:rsidRDefault="00AB41C7"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1.98</w:t>
            </w:r>
          </w:p>
        </w:tc>
        <w:tc>
          <w:tcPr>
            <w:tcW w:w="872" w:type="dxa"/>
            <w:shd w:val="clear" w:color="auto" w:fill="auto"/>
            <w:noWrap/>
          </w:tcPr>
          <w:p w14:paraId="29EEA688" w14:textId="77777777" w:rsidR="00AB41C7" w:rsidRPr="0001491C" w:rsidRDefault="00AB41C7"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1.97</w:t>
            </w:r>
          </w:p>
        </w:tc>
      </w:tr>
      <w:tr w:rsidR="00AB41C7" w:rsidRPr="0001491C" w14:paraId="017E2092" w14:textId="77777777" w:rsidTr="00F7265F">
        <w:trPr>
          <w:trHeight w:val="360"/>
          <w:jc w:val="center"/>
        </w:trPr>
        <w:tc>
          <w:tcPr>
            <w:tcW w:w="900" w:type="dxa"/>
            <w:vMerge/>
          </w:tcPr>
          <w:p w14:paraId="58582FE8" w14:textId="77777777" w:rsidR="00AB41C7" w:rsidRPr="0001491C" w:rsidRDefault="00AB41C7" w:rsidP="0001491C">
            <w:pPr>
              <w:spacing w:after="0" w:line="240" w:lineRule="auto"/>
              <w:jc w:val="center"/>
              <w:rPr>
                <w:rFonts w:ascii="Times New Roman" w:hAnsi="Times New Roman" w:cs="Times New Roman"/>
                <w:color w:val="000000"/>
                <w:sz w:val="20"/>
                <w:szCs w:val="20"/>
              </w:rPr>
            </w:pPr>
          </w:p>
        </w:tc>
        <w:tc>
          <w:tcPr>
            <w:tcW w:w="3550" w:type="dxa"/>
            <w:shd w:val="clear" w:color="auto" w:fill="auto"/>
            <w:noWrap/>
            <w:vAlign w:val="center"/>
          </w:tcPr>
          <w:p w14:paraId="4A32C474" w14:textId="77777777" w:rsidR="00AB41C7" w:rsidRPr="0001491C" w:rsidRDefault="00AB41C7" w:rsidP="0001491C">
            <w:pPr>
              <w:spacing w:after="0" w:line="240" w:lineRule="auto"/>
              <w:rPr>
                <w:rFonts w:ascii="Times New Roman" w:hAnsi="Times New Roman" w:cs="Times New Roman"/>
                <w:color w:val="000000"/>
                <w:sz w:val="20"/>
                <w:szCs w:val="20"/>
              </w:rPr>
            </w:pPr>
            <w:r w:rsidRPr="0001491C">
              <w:rPr>
                <w:rFonts w:ascii="Times New Roman" w:hAnsi="Times New Roman" w:cs="Times New Roman"/>
                <w:color w:val="000000"/>
                <w:sz w:val="20"/>
                <w:szCs w:val="20"/>
              </w:rPr>
              <w:t>Total life expectancy (years)</w:t>
            </w:r>
          </w:p>
        </w:tc>
        <w:tc>
          <w:tcPr>
            <w:tcW w:w="872" w:type="dxa"/>
            <w:shd w:val="clear" w:color="auto" w:fill="auto"/>
            <w:noWrap/>
          </w:tcPr>
          <w:p w14:paraId="18A76292" w14:textId="77777777" w:rsidR="00AB41C7" w:rsidRPr="0001491C" w:rsidRDefault="00AB41C7"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16.14</w:t>
            </w:r>
          </w:p>
        </w:tc>
        <w:tc>
          <w:tcPr>
            <w:tcW w:w="872" w:type="dxa"/>
            <w:shd w:val="clear" w:color="auto" w:fill="auto"/>
            <w:noWrap/>
          </w:tcPr>
          <w:p w14:paraId="687D3901" w14:textId="77777777" w:rsidR="00AB41C7" w:rsidRPr="0001491C" w:rsidRDefault="00AB41C7"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18.42</w:t>
            </w:r>
          </w:p>
        </w:tc>
        <w:tc>
          <w:tcPr>
            <w:tcW w:w="872" w:type="dxa"/>
            <w:shd w:val="clear" w:color="auto" w:fill="auto"/>
            <w:noWrap/>
          </w:tcPr>
          <w:p w14:paraId="2700BD85" w14:textId="77777777" w:rsidR="00AB41C7" w:rsidRPr="0001491C" w:rsidRDefault="00AB41C7"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20.05</w:t>
            </w:r>
          </w:p>
        </w:tc>
        <w:tc>
          <w:tcPr>
            <w:tcW w:w="872" w:type="dxa"/>
            <w:shd w:val="clear" w:color="auto" w:fill="auto"/>
            <w:noWrap/>
          </w:tcPr>
          <w:p w14:paraId="62736F35" w14:textId="77777777" w:rsidR="00AB41C7" w:rsidRPr="0001491C" w:rsidRDefault="00AB41C7"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19.64</w:t>
            </w:r>
          </w:p>
        </w:tc>
      </w:tr>
      <w:tr w:rsidR="00AB41C7" w:rsidRPr="0001491C" w14:paraId="6BB8264B" w14:textId="77777777" w:rsidTr="00F7265F">
        <w:trPr>
          <w:trHeight w:val="360"/>
          <w:jc w:val="center"/>
        </w:trPr>
        <w:tc>
          <w:tcPr>
            <w:tcW w:w="900" w:type="dxa"/>
            <w:vMerge/>
            <w:tcBorders>
              <w:bottom w:val="single" w:sz="4" w:space="0" w:color="auto"/>
            </w:tcBorders>
          </w:tcPr>
          <w:p w14:paraId="5EB42C1F" w14:textId="77777777" w:rsidR="00AB41C7" w:rsidRPr="0001491C" w:rsidRDefault="00AB41C7" w:rsidP="0001491C">
            <w:pPr>
              <w:spacing w:after="0" w:line="240" w:lineRule="auto"/>
              <w:jc w:val="center"/>
              <w:rPr>
                <w:rFonts w:ascii="Times New Roman" w:hAnsi="Times New Roman" w:cs="Times New Roman"/>
                <w:color w:val="000000"/>
                <w:sz w:val="20"/>
                <w:szCs w:val="20"/>
              </w:rPr>
            </w:pPr>
          </w:p>
        </w:tc>
        <w:tc>
          <w:tcPr>
            <w:tcW w:w="3550" w:type="dxa"/>
            <w:tcBorders>
              <w:bottom w:val="single" w:sz="4" w:space="0" w:color="auto"/>
            </w:tcBorders>
            <w:shd w:val="clear" w:color="auto" w:fill="auto"/>
            <w:noWrap/>
            <w:vAlign w:val="center"/>
          </w:tcPr>
          <w:p w14:paraId="410D8C1C" w14:textId="77777777" w:rsidR="00AB41C7" w:rsidRPr="0001491C" w:rsidRDefault="00AB41C7" w:rsidP="0001491C">
            <w:pPr>
              <w:spacing w:after="0" w:line="240" w:lineRule="auto"/>
              <w:rPr>
                <w:rFonts w:ascii="Times New Roman" w:hAnsi="Times New Roman" w:cs="Times New Roman"/>
                <w:color w:val="000000"/>
                <w:sz w:val="20"/>
                <w:szCs w:val="20"/>
              </w:rPr>
            </w:pPr>
            <w:r w:rsidRPr="0001491C">
              <w:rPr>
                <w:rFonts w:ascii="Times New Roman" w:hAnsi="Times New Roman" w:cs="Times New Roman"/>
                <w:color w:val="000000"/>
                <w:sz w:val="20"/>
                <w:szCs w:val="20"/>
              </w:rPr>
              <w:t xml:space="preserve">Ratio of life expectancy in poor health </w:t>
            </w:r>
            <w:r w:rsidRPr="0001491C">
              <w:rPr>
                <w:rFonts w:ascii="Times New Roman" w:hAnsi="Times New Roman" w:cs="Times New Roman"/>
                <w:spacing w:val="-1"/>
                <w:w w:val="105"/>
                <w:sz w:val="20"/>
                <w:szCs w:val="20"/>
              </w:rPr>
              <w:t>to</w:t>
            </w:r>
            <w:r w:rsidRPr="0001491C">
              <w:rPr>
                <w:rFonts w:ascii="Times New Roman" w:hAnsi="Times New Roman" w:cs="Times New Roman"/>
                <w:spacing w:val="6"/>
                <w:w w:val="105"/>
                <w:sz w:val="20"/>
                <w:szCs w:val="20"/>
              </w:rPr>
              <w:t xml:space="preserve"> </w:t>
            </w:r>
            <w:r w:rsidRPr="0001491C">
              <w:rPr>
                <w:rFonts w:ascii="Times New Roman" w:hAnsi="Times New Roman" w:cs="Times New Roman"/>
                <w:w w:val="105"/>
                <w:sz w:val="20"/>
                <w:szCs w:val="20"/>
              </w:rPr>
              <w:t>total</w:t>
            </w:r>
            <w:r w:rsidRPr="0001491C">
              <w:rPr>
                <w:rFonts w:ascii="Times New Roman" w:hAnsi="Times New Roman" w:cs="Times New Roman"/>
                <w:spacing w:val="8"/>
                <w:w w:val="105"/>
                <w:sz w:val="20"/>
                <w:szCs w:val="20"/>
              </w:rPr>
              <w:t xml:space="preserve"> </w:t>
            </w:r>
            <w:r w:rsidRPr="0001491C">
              <w:rPr>
                <w:rFonts w:ascii="Times New Roman" w:hAnsi="Times New Roman" w:cs="Times New Roman"/>
                <w:spacing w:val="-2"/>
                <w:w w:val="105"/>
                <w:sz w:val="20"/>
                <w:szCs w:val="20"/>
              </w:rPr>
              <w:t>life</w:t>
            </w:r>
            <w:r w:rsidRPr="0001491C">
              <w:rPr>
                <w:rFonts w:ascii="Times New Roman" w:hAnsi="Times New Roman" w:cs="Times New Roman"/>
                <w:spacing w:val="8"/>
                <w:w w:val="105"/>
                <w:sz w:val="20"/>
                <w:szCs w:val="20"/>
              </w:rPr>
              <w:t xml:space="preserve"> </w:t>
            </w:r>
            <w:r w:rsidRPr="0001491C">
              <w:rPr>
                <w:rFonts w:ascii="Times New Roman" w:hAnsi="Times New Roman" w:cs="Times New Roman"/>
                <w:spacing w:val="-1"/>
                <w:w w:val="105"/>
                <w:sz w:val="20"/>
                <w:szCs w:val="20"/>
              </w:rPr>
              <w:t>expectancy</w:t>
            </w:r>
          </w:p>
        </w:tc>
        <w:tc>
          <w:tcPr>
            <w:tcW w:w="872" w:type="dxa"/>
            <w:tcBorders>
              <w:bottom w:val="single" w:sz="4" w:space="0" w:color="auto"/>
            </w:tcBorders>
            <w:shd w:val="clear" w:color="auto" w:fill="auto"/>
            <w:noWrap/>
            <w:vAlign w:val="center"/>
          </w:tcPr>
          <w:p w14:paraId="3FC4F439" w14:textId="77777777" w:rsidR="00AB41C7" w:rsidRPr="0001491C" w:rsidRDefault="00AB41C7"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11.90%</w:t>
            </w:r>
          </w:p>
        </w:tc>
        <w:tc>
          <w:tcPr>
            <w:tcW w:w="872" w:type="dxa"/>
            <w:tcBorders>
              <w:bottom w:val="single" w:sz="4" w:space="0" w:color="auto"/>
            </w:tcBorders>
            <w:shd w:val="clear" w:color="auto" w:fill="auto"/>
            <w:noWrap/>
            <w:vAlign w:val="center"/>
          </w:tcPr>
          <w:p w14:paraId="01DA17B0" w14:textId="77777777" w:rsidR="00AB41C7" w:rsidRPr="0001491C" w:rsidRDefault="00AB41C7"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10.53%</w:t>
            </w:r>
          </w:p>
        </w:tc>
        <w:tc>
          <w:tcPr>
            <w:tcW w:w="872" w:type="dxa"/>
            <w:tcBorders>
              <w:bottom w:val="single" w:sz="4" w:space="0" w:color="auto"/>
            </w:tcBorders>
            <w:shd w:val="clear" w:color="auto" w:fill="auto"/>
            <w:noWrap/>
            <w:vAlign w:val="center"/>
          </w:tcPr>
          <w:p w14:paraId="26CB5A69" w14:textId="77777777" w:rsidR="00AB41C7" w:rsidRPr="0001491C" w:rsidRDefault="00AB41C7"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9.89%</w:t>
            </w:r>
          </w:p>
        </w:tc>
        <w:tc>
          <w:tcPr>
            <w:tcW w:w="872" w:type="dxa"/>
            <w:tcBorders>
              <w:bottom w:val="single" w:sz="4" w:space="0" w:color="auto"/>
            </w:tcBorders>
            <w:shd w:val="clear" w:color="auto" w:fill="auto"/>
            <w:noWrap/>
            <w:vAlign w:val="center"/>
          </w:tcPr>
          <w:p w14:paraId="62582CB6" w14:textId="77777777" w:rsidR="00AB41C7" w:rsidRPr="0001491C" w:rsidRDefault="00AB41C7" w:rsidP="0001491C">
            <w:pPr>
              <w:spacing w:after="0" w:line="240" w:lineRule="auto"/>
              <w:jc w:val="center"/>
              <w:rPr>
                <w:rFonts w:ascii="Times New Roman" w:hAnsi="Times New Roman" w:cs="Times New Roman"/>
                <w:color w:val="000000"/>
                <w:sz w:val="20"/>
                <w:szCs w:val="20"/>
              </w:rPr>
            </w:pPr>
            <w:r w:rsidRPr="0001491C">
              <w:rPr>
                <w:rFonts w:ascii="Times New Roman" w:hAnsi="Times New Roman" w:cs="Times New Roman"/>
                <w:color w:val="000000"/>
                <w:sz w:val="20"/>
                <w:szCs w:val="20"/>
              </w:rPr>
              <w:t>10.01%</w:t>
            </w:r>
          </w:p>
        </w:tc>
      </w:tr>
    </w:tbl>
    <w:p w14:paraId="12A205D5" w14:textId="77777777" w:rsidR="00CA031C" w:rsidRPr="0001491C" w:rsidRDefault="00CA031C" w:rsidP="0001491C">
      <w:pPr>
        <w:spacing w:after="0" w:line="480" w:lineRule="auto"/>
        <w:ind w:leftChars="193" w:left="425" w:rightChars="190" w:right="418"/>
        <w:jc w:val="both"/>
        <w:rPr>
          <w:rFonts w:ascii="Times New Roman" w:hAnsi="Times New Roman" w:cs="Times New Roman"/>
          <w:sz w:val="24"/>
          <w:szCs w:val="24"/>
        </w:rPr>
      </w:pPr>
    </w:p>
    <w:p w14:paraId="6CC67625" w14:textId="47AF204A" w:rsidR="00372CC7" w:rsidRPr="0001491C" w:rsidRDefault="005954EB" w:rsidP="000149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7D56EA" w:rsidRPr="0001491C">
        <w:rPr>
          <w:rFonts w:ascii="Times New Roman" w:hAnsi="Times New Roman" w:cs="Times New Roman"/>
          <w:b/>
          <w:sz w:val="24"/>
          <w:szCs w:val="24"/>
        </w:rPr>
        <w:t>Optimal Asset Allocation</w:t>
      </w:r>
    </w:p>
    <w:p w14:paraId="14AF6B5F" w14:textId="6A3D2B33" w:rsidR="007A4C4D" w:rsidRPr="0001491C" w:rsidRDefault="00AE5032" w:rsidP="000149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r w:rsidR="00F95687" w:rsidRPr="0001491C">
        <w:rPr>
          <w:rFonts w:ascii="Times New Roman" w:hAnsi="Times New Roman" w:cs="Times New Roman"/>
          <w:b/>
          <w:sz w:val="24"/>
          <w:szCs w:val="24"/>
        </w:rPr>
        <w:t>Parameter Setting</w:t>
      </w:r>
    </w:p>
    <w:p w14:paraId="28B6CDCA" w14:textId="668C5F92" w:rsidR="00FD0A9F" w:rsidRPr="0001491C" w:rsidRDefault="00372CC7" w:rsidP="005954EB">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Since our model has n</w:t>
      </w:r>
      <w:r w:rsidR="003C324D">
        <w:rPr>
          <w:rFonts w:ascii="Times New Roman" w:hAnsi="Times New Roman" w:cs="Times New Roman"/>
          <w:sz w:val="24"/>
          <w:szCs w:val="24"/>
        </w:rPr>
        <w:t xml:space="preserve">o closed form solution, we </w:t>
      </w:r>
      <w:r w:rsidRPr="0001491C">
        <w:rPr>
          <w:rFonts w:ascii="Times New Roman" w:hAnsi="Times New Roman" w:cs="Times New Roman"/>
          <w:sz w:val="24"/>
          <w:szCs w:val="24"/>
        </w:rPr>
        <w:t xml:space="preserve">apply numerical </w:t>
      </w:r>
      <w:r w:rsidR="007D56EA" w:rsidRPr="0001491C">
        <w:rPr>
          <w:rFonts w:ascii="Times New Roman" w:hAnsi="Times New Roman" w:cs="Times New Roman"/>
          <w:sz w:val="24"/>
          <w:szCs w:val="24"/>
        </w:rPr>
        <w:t>solution</w:t>
      </w:r>
      <w:r w:rsidR="003C324D">
        <w:rPr>
          <w:rFonts w:ascii="Times New Roman" w:hAnsi="Times New Roman" w:cs="Times New Roman" w:hint="eastAsia"/>
          <w:sz w:val="24"/>
          <w:szCs w:val="24"/>
        </w:rPr>
        <w:t>s</w:t>
      </w:r>
      <w:r w:rsidR="007D56EA" w:rsidRPr="0001491C">
        <w:rPr>
          <w:rFonts w:ascii="Times New Roman" w:hAnsi="Times New Roman" w:cs="Times New Roman"/>
          <w:sz w:val="24"/>
          <w:szCs w:val="24"/>
        </w:rPr>
        <w:t xml:space="preserve"> to retirees’ optimal asset allocation</w:t>
      </w:r>
      <w:r w:rsidRPr="0001491C">
        <w:rPr>
          <w:rFonts w:ascii="Times New Roman" w:hAnsi="Times New Roman" w:cs="Times New Roman"/>
          <w:sz w:val="24"/>
          <w:szCs w:val="24"/>
        </w:rPr>
        <w:t>. We assume the retiree makes decisions monthly</w:t>
      </w:r>
      <w:r w:rsidR="003C324D">
        <w:rPr>
          <w:rFonts w:ascii="Times New Roman" w:hAnsi="Times New Roman" w:cs="Times New Roman"/>
          <w:sz w:val="24"/>
          <w:szCs w:val="24"/>
        </w:rPr>
        <w:t>. Sh</w:t>
      </w:r>
      <w:r w:rsidRPr="0001491C">
        <w:rPr>
          <w:rFonts w:ascii="Times New Roman" w:hAnsi="Times New Roman" w:cs="Times New Roman"/>
          <w:sz w:val="24"/>
          <w:szCs w:val="24"/>
        </w:rPr>
        <w:t xml:space="preserve">e makes all </w:t>
      </w:r>
      <w:r w:rsidR="003C324D">
        <w:rPr>
          <w:rFonts w:ascii="Times New Roman" w:hAnsi="Times New Roman" w:cs="Times New Roman"/>
          <w:sz w:val="24"/>
          <w:szCs w:val="24"/>
        </w:rPr>
        <w:t>her</w:t>
      </w:r>
      <w:r w:rsidRPr="0001491C">
        <w:rPr>
          <w:rFonts w:ascii="Times New Roman" w:hAnsi="Times New Roman" w:cs="Times New Roman"/>
          <w:sz w:val="24"/>
          <w:szCs w:val="24"/>
        </w:rPr>
        <w:t xml:space="preserve"> decisions at the beginning of every month. Following </w:t>
      </w:r>
      <w:proofErr w:type="gramStart"/>
      <w:r w:rsidRPr="0001491C">
        <w:rPr>
          <w:rFonts w:ascii="Times New Roman" w:hAnsi="Times New Roman" w:cs="Times New Roman"/>
          <w:sz w:val="24"/>
          <w:szCs w:val="24"/>
        </w:rPr>
        <w:t>Gao</w:t>
      </w:r>
      <w:proofErr w:type="gramEnd"/>
      <w:r w:rsidRPr="0001491C">
        <w:rPr>
          <w:rFonts w:ascii="Times New Roman" w:hAnsi="Times New Roman" w:cs="Times New Roman"/>
          <w:sz w:val="24"/>
          <w:szCs w:val="24"/>
        </w:rPr>
        <w:t xml:space="preserve"> and Ulm (2</w:t>
      </w:r>
      <w:r w:rsidR="00085E90" w:rsidRPr="0001491C">
        <w:rPr>
          <w:rFonts w:ascii="Times New Roman" w:hAnsi="Times New Roman" w:cs="Times New Roman"/>
          <w:sz w:val="24"/>
          <w:szCs w:val="24"/>
        </w:rPr>
        <w:t>012</w:t>
      </w:r>
      <w:r w:rsidRPr="0001491C">
        <w:rPr>
          <w:rFonts w:ascii="Times New Roman" w:hAnsi="Times New Roman" w:cs="Times New Roman"/>
          <w:sz w:val="24"/>
          <w:szCs w:val="24"/>
        </w:rPr>
        <w:t xml:space="preserve">), </w:t>
      </w:r>
      <w:r w:rsidRPr="0001491C">
        <w:rPr>
          <w:rFonts w:ascii="Times New Roman" w:hAnsi="Times New Roman" w:cs="Times New Roman"/>
          <w:sz w:val="24"/>
          <w:szCs w:val="24"/>
        </w:rPr>
        <w:lastRenderedPageBreak/>
        <w:t>we use the two-stage</w:t>
      </w:r>
      <w:r w:rsidR="003C324D">
        <w:rPr>
          <w:rFonts w:ascii="Times New Roman" w:hAnsi="Times New Roman" w:cs="Times New Roman"/>
          <w:sz w:val="24"/>
          <w:szCs w:val="24"/>
        </w:rPr>
        <w:t xml:space="preserve"> Bellman equations and apply a two-d</w:t>
      </w:r>
      <w:r w:rsidRPr="0001491C">
        <w:rPr>
          <w:rFonts w:ascii="Times New Roman" w:hAnsi="Times New Roman" w:cs="Times New Roman"/>
          <w:sz w:val="24"/>
          <w:szCs w:val="24"/>
        </w:rPr>
        <w:t xml:space="preserve">imensional lattice. We solve the utility optimization problem by backward induction from age </w:t>
      </w:r>
      <w:r w:rsidR="00437131" w:rsidRPr="0001491C">
        <w:rPr>
          <w:rFonts w:ascii="Times New Roman" w:hAnsi="Times New Roman" w:cs="Times New Roman"/>
          <w:sz w:val="24"/>
          <w:szCs w:val="24"/>
        </w:rPr>
        <w:t xml:space="preserve">100. </w:t>
      </w:r>
      <w:r w:rsidRPr="0001491C">
        <w:rPr>
          <w:rFonts w:ascii="Times New Roman" w:hAnsi="Times New Roman" w:cs="Times New Roman"/>
          <w:sz w:val="24"/>
          <w:szCs w:val="24"/>
        </w:rPr>
        <w:t>We discr</w:t>
      </w:r>
      <w:r w:rsidR="00085E90" w:rsidRPr="0001491C">
        <w:rPr>
          <w:rFonts w:ascii="Times New Roman" w:hAnsi="Times New Roman" w:cs="Times New Roman"/>
          <w:sz w:val="24"/>
          <w:szCs w:val="24"/>
        </w:rPr>
        <w:t xml:space="preserve">etize periodic </w:t>
      </w:r>
      <w:r w:rsidR="00FD0A9F" w:rsidRPr="0001491C">
        <w:rPr>
          <w:rFonts w:ascii="Times New Roman" w:hAnsi="Times New Roman" w:cs="Times New Roman"/>
          <w:sz w:val="24"/>
          <w:szCs w:val="24"/>
        </w:rPr>
        <w:t>asset</w:t>
      </w:r>
      <w:r w:rsidR="00085E90" w:rsidRPr="0001491C">
        <w:rPr>
          <w:rFonts w:ascii="Times New Roman" w:hAnsi="Times New Roman" w:cs="Times New Roman"/>
          <w:sz w:val="24"/>
          <w:szCs w:val="24"/>
        </w:rPr>
        <w:t xml:space="preserve"> value </w:t>
      </w:r>
      <m:oMath>
        <m:r>
          <m:rPr>
            <m:sty m:val="p"/>
          </m:rPr>
          <w:rPr>
            <w:rFonts w:ascii="Cambria Math" w:hAnsi="Cambria Math" w:cs="Times New Roman"/>
            <w:sz w:val="24"/>
            <w:szCs w:val="24"/>
          </w:rPr>
          <m:t>A=[</m:t>
        </m:r>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min</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max</m:t>
            </m:r>
          </m:sub>
        </m:sSub>
        <m:r>
          <m:rPr>
            <m:sty m:val="p"/>
          </m:rPr>
          <w:rPr>
            <w:rFonts w:ascii="Cambria Math" w:hAnsi="Cambria Math" w:cs="Times New Roman"/>
            <w:sz w:val="24"/>
            <w:szCs w:val="24"/>
          </w:rPr>
          <m:t>]</m:t>
        </m:r>
      </m:oMath>
      <w:r w:rsidR="00356A80" w:rsidRPr="0001491C">
        <w:rPr>
          <w:rFonts w:ascii="Times New Roman" w:hAnsi="Times New Roman" w:cs="Times New Roman"/>
          <w:sz w:val="24"/>
          <w:szCs w:val="24"/>
        </w:rPr>
        <w:t xml:space="preserve"> </w:t>
      </w:r>
      <w:r w:rsidRPr="0001491C">
        <w:rPr>
          <w:rFonts w:ascii="Times New Roman" w:hAnsi="Times New Roman" w:cs="Times New Roman"/>
          <w:sz w:val="24"/>
          <w:szCs w:val="24"/>
        </w:rPr>
        <w:t xml:space="preserve">into </w:t>
      </w:r>
      <w:r w:rsidR="00085E90" w:rsidRPr="0001491C">
        <w:rPr>
          <w:rFonts w:ascii="Times New Roman" w:hAnsi="Times New Roman" w:cs="Times New Roman"/>
          <w:sz w:val="24"/>
          <w:szCs w:val="24"/>
        </w:rPr>
        <w:t>3</w:t>
      </w:r>
      <w:r w:rsidRPr="0001491C">
        <w:rPr>
          <w:rFonts w:ascii="Times New Roman" w:hAnsi="Times New Roman" w:cs="Times New Roman"/>
          <w:sz w:val="24"/>
          <w:szCs w:val="24"/>
        </w:rPr>
        <w:t>1 nodes</w:t>
      </w:r>
      <w:r w:rsidR="00F6572B" w:rsidRPr="0001491C">
        <w:rPr>
          <w:rStyle w:val="FootnoteReference"/>
          <w:rFonts w:ascii="Times New Roman" w:hAnsi="Times New Roman" w:cs="Times New Roman"/>
          <w:sz w:val="24"/>
          <w:szCs w:val="24"/>
        </w:rPr>
        <w:footnoteReference w:id="3"/>
      </w:r>
      <w:r w:rsidRPr="0001491C">
        <w:rPr>
          <w:rFonts w:ascii="Times New Roman" w:hAnsi="Times New Roman" w:cs="Times New Roman"/>
          <w:sz w:val="24"/>
          <w:szCs w:val="24"/>
        </w:rPr>
        <w:t xml:space="preserve">. </w:t>
      </w:r>
      <w:r w:rsidR="00120350" w:rsidRPr="0001491C">
        <w:rPr>
          <w:rFonts w:ascii="Times New Roman" w:hAnsi="Times New Roman" w:cs="Times New Roman"/>
          <w:sz w:val="24"/>
          <w:szCs w:val="24"/>
        </w:rPr>
        <w:t>The baseline parameter va</w:t>
      </w:r>
      <w:r w:rsidR="005954EB">
        <w:rPr>
          <w:rFonts w:ascii="Times New Roman" w:hAnsi="Times New Roman" w:cs="Times New Roman"/>
          <w:sz w:val="24"/>
          <w:szCs w:val="24"/>
        </w:rPr>
        <w:t xml:space="preserve">lues are setting as follows. </w:t>
      </w:r>
    </w:p>
    <w:p w14:paraId="080193A8" w14:textId="0B19A2E0" w:rsidR="001071E8" w:rsidRPr="0001491C" w:rsidRDefault="0001491C" w:rsidP="0001491C">
      <w:pPr>
        <w:spacing w:after="0" w:line="240" w:lineRule="auto"/>
        <w:ind w:rightChars="190" w:right="418"/>
        <w:jc w:val="both"/>
        <w:rPr>
          <w:rFonts w:ascii="Times New Roman" w:hAnsi="Times New Roman" w:cs="Times New Roman"/>
          <w:b/>
          <w:sz w:val="20"/>
          <w:szCs w:val="20"/>
        </w:rPr>
      </w:pPr>
      <w:proofErr w:type="gramStart"/>
      <w:r>
        <w:rPr>
          <w:rFonts w:ascii="Times New Roman" w:hAnsi="Times New Roman" w:cs="Times New Roman"/>
          <w:b/>
          <w:sz w:val="20"/>
          <w:szCs w:val="20"/>
        </w:rPr>
        <w:t>Table 2.</w:t>
      </w:r>
      <w:proofErr w:type="gramEnd"/>
      <w:r>
        <w:rPr>
          <w:rFonts w:ascii="Times New Roman" w:hAnsi="Times New Roman" w:cs="Times New Roman"/>
          <w:b/>
          <w:sz w:val="20"/>
          <w:szCs w:val="20"/>
        </w:rPr>
        <w:t xml:space="preserve"> </w:t>
      </w:r>
      <w:r w:rsidR="001071E8" w:rsidRPr="0001491C">
        <w:rPr>
          <w:rFonts w:ascii="Times New Roman" w:hAnsi="Times New Roman" w:cs="Times New Roman"/>
          <w:b/>
          <w:sz w:val="20"/>
          <w:szCs w:val="20"/>
        </w:rPr>
        <w:t>Parameter setting</w:t>
      </w:r>
    </w:p>
    <w:p w14:paraId="0EF09179" w14:textId="77777777" w:rsidR="0001491C" w:rsidRPr="0001491C" w:rsidRDefault="0001491C" w:rsidP="0001491C">
      <w:pPr>
        <w:spacing w:after="0" w:line="240" w:lineRule="auto"/>
        <w:ind w:rightChars="190" w:right="418"/>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985"/>
        <w:gridCol w:w="1972"/>
      </w:tblGrid>
      <w:tr w:rsidR="00120350" w:rsidRPr="0001491C" w14:paraId="352D32BA" w14:textId="77777777" w:rsidTr="00F7265F">
        <w:trPr>
          <w:trHeight w:val="288"/>
        </w:trPr>
        <w:tc>
          <w:tcPr>
            <w:tcW w:w="4673" w:type="dxa"/>
            <w:tcBorders>
              <w:top w:val="single" w:sz="4" w:space="0" w:color="auto"/>
            </w:tcBorders>
          </w:tcPr>
          <w:p w14:paraId="3F8A3C45" w14:textId="77777777" w:rsidR="00120350" w:rsidRPr="00F7265F" w:rsidRDefault="00120350" w:rsidP="0001491C">
            <w:pPr>
              <w:jc w:val="both"/>
              <w:rPr>
                <w:rFonts w:ascii="Times New Roman" w:hAnsi="Times New Roman" w:cs="Times New Roman"/>
                <w:sz w:val="20"/>
                <w:szCs w:val="20"/>
              </w:rPr>
            </w:pPr>
            <w:r w:rsidRPr="00F7265F">
              <w:rPr>
                <w:rFonts w:ascii="Times New Roman" w:hAnsi="Times New Roman" w:cs="Times New Roman"/>
                <w:sz w:val="20"/>
                <w:szCs w:val="20"/>
              </w:rPr>
              <w:t>Subjective discount rate (Annual)</w:t>
            </w:r>
          </w:p>
        </w:tc>
        <w:tc>
          <w:tcPr>
            <w:tcW w:w="1985" w:type="dxa"/>
            <w:tcBorders>
              <w:top w:val="single" w:sz="4" w:space="0" w:color="auto"/>
            </w:tcBorders>
          </w:tcPr>
          <w:p w14:paraId="3536EB4C" w14:textId="0792113E" w:rsidR="00120350" w:rsidRPr="00F7265F" w:rsidRDefault="00F7265F" w:rsidP="0001491C">
            <w:pPr>
              <w:jc w:val="center"/>
              <w:rPr>
                <w:rFonts w:ascii="Times New Roman" w:hAnsi="Times New Roman" w:cs="Times New Roman"/>
                <w:i/>
                <w:sz w:val="20"/>
                <w:szCs w:val="20"/>
              </w:rPr>
            </w:pPr>
            <m:oMathPara>
              <m:oMath>
                <m:r>
                  <w:rPr>
                    <w:rFonts w:ascii="Cambria Math" w:hAnsi="Cambria Math" w:cs="Times New Roman"/>
                    <w:sz w:val="20"/>
                    <w:szCs w:val="20"/>
                  </w:rPr>
                  <m:t>α</m:t>
                </m:r>
              </m:oMath>
            </m:oMathPara>
          </w:p>
        </w:tc>
        <w:tc>
          <w:tcPr>
            <w:tcW w:w="1972" w:type="dxa"/>
            <w:tcBorders>
              <w:top w:val="single" w:sz="4" w:space="0" w:color="auto"/>
            </w:tcBorders>
          </w:tcPr>
          <w:p w14:paraId="16EDA059" w14:textId="77777777" w:rsidR="00120350" w:rsidRPr="00F7265F" w:rsidRDefault="00E04670" w:rsidP="0001491C">
            <w:pPr>
              <w:jc w:val="both"/>
              <w:rPr>
                <w:rFonts w:ascii="Times New Roman" w:hAnsi="Times New Roman" w:cs="Times New Roman"/>
                <w:sz w:val="20"/>
                <w:szCs w:val="20"/>
              </w:rPr>
            </w:pPr>
            <w:r w:rsidRPr="00F7265F">
              <w:rPr>
                <w:rFonts w:ascii="Times New Roman" w:hAnsi="Times New Roman" w:cs="Times New Roman"/>
                <w:sz w:val="20"/>
                <w:szCs w:val="20"/>
              </w:rPr>
              <w:t>1/1.02</w:t>
            </w:r>
            <w:r w:rsidR="00BF2AA2" w:rsidRPr="00F7265F">
              <w:rPr>
                <w:rFonts w:ascii="Times New Roman" w:hAnsi="Times New Roman" w:cs="Times New Roman"/>
                <w:sz w:val="20"/>
                <w:szCs w:val="20"/>
              </w:rPr>
              <w:t>=0.98</w:t>
            </w:r>
          </w:p>
        </w:tc>
      </w:tr>
      <w:tr w:rsidR="00120350" w:rsidRPr="0001491C" w14:paraId="5429D6AE" w14:textId="77777777" w:rsidTr="00F7265F">
        <w:trPr>
          <w:trHeight w:val="288"/>
        </w:trPr>
        <w:tc>
          <w:tcPr>
            <w:tcW w:w="4673" w:type="dxa"/>
          </w:tcPr>
          <w:p w14:paraId="21FFCC7C" w14:textId="77777777" w:rsidR="00120350" w:rsidRPr="00F7265F" w:rsidRDefault="00EE6B49" w:rsidP="0001491C">
            <w:pPr>
              <w:jc w:val="both"/>
              <w:rPr>
                <w:rFonts w:ascii="Times New Roman" w:hAnsi="Times New Roman" w:cs="Times New Roman"/>
                <w:sz w:val="20"/>
                <w:szCs w:val="20"/>
              </w:rPr>
            </w:pPr>
            <w:r w:rsidRPr="00F7265F">
              <w:rPr>
                <w:rFonts w:ascii="Times New Roman" w:hAnsi="Times New Roman" w:cs="Times New Roman"/>
                <w:sz w:val="20"/>
                <w:szCs w:val="20"/>
              </w:rPr>
              <w:t>Risk free rate (Annual)</w:t>
            </w:r>
          </w:p>
        </w:tc>
        <w:tc>
          <w:tcPr>
            <w:tcW w:w="1985" w:type="dxa"/>
          </w:tcPr>
          <w:p w14:paraId="6D546C63" w14:textId="77777777" w:rsidR="00120350" w:rsidRPr="00F7265F" w:rsidRDefault="00EE6B49" w:rsidP="0001491C">
            <w:pPr>
              <w:jc w:val="center"/>
              <w:rPr>
                <w:rFonts w:ascii="Times New Roman" w:hAnsi="Times New Roman" w:cs="Times New Roman"/>
                <w:i/>
                <w:sz w:val="20"/>
                <w:szCs w:val="20"/>
              </w:rPr>
            </w:pPr>
            <w:r w:rsidRPr="00F7265F">
              <w:rPr>
                <w:rFonts w:ascii="Times New Roman" w:hAnsi="Times New Roman" w:cs="Times New Roman"/>
                <w:i/>
                <w:sz w:val="20"/>
                <w:szCs w:val="20"/>
              </w:rPr>
              <w:t>r</w:t>
            </w:r>
          </w:p>
        </w:tc>
        <w:tc>
          <w:tcPr>
            <w:tcW w:w="1972" w:type="dxa"/>
          </w:tcPr>
          <w:p w14:paraId="5ACF0CC5" w14:textId="77777777" w:rsidR="00120350" w:rsidRPr="00F7265F" w:rsidRDefault="00E04670" w:rsidP="0001491C">
            <w:pPr>
              <w:jc w:val="both"/>
              <w:rPr>
                <w:rFonts w:ascii="Times New Roman" w:hAnsi="Times New Roman" w:cs="Times New Roman"/>
                <w:sz w:val="20"/>
                <w:szCs w:val="20"/>
              </w:rPr>
            </w:pPr>
            <w:r w:rsidRPr="00F7265F">
              <w:rPr>
                <w:rFonts w:ascii="Times New Roman" w:hAnsi="Times New Roman" w:cs="Times New Roman"/>
                <w:sz w:val="20"/>
                <w:szCs w:val="20"/>
              </w:rPr>
              <w:t>2</w:t>
            </w:r>
            <w:r w:rsidR="00BF2AA2" w:rsidRPr="00F7265F">
              <w:rPr>
                <w:rFonts w:ascii="Times New Roman" w:hAnsi="Times New Roman" w:cs="Times New Roman"/>
                <w:sz w:val="20"/>
                <w:szCs w:val="20"/>
              </w:rPr>
              <w:t>%</w:t>
            </w:r>
          </w:p>
        </w:tc>
      </w:tr>
      <w:tr w:rsidR="00120350" w:rsidRPr="0001491C" w14:paraId="6E7F60EA" w14:textId="77777777" w:rsidTr="00F7265F">
        <w:trPr>
          <w:trHeight w:val="288"/>
        </w:trPr>
        <w:tc>
          <w:tcPr>
            <w:tcW w:w="4673" w:type="dxa"/>
          </w:tcPr>
          <w:p w14:paraId="641DA760" w14:textId="77777777" w:rsidR="00120350" w:rsidRPr="00F7265F" w:rsidRDefault="00EE6B49" w:rsidP="0001491C">
            <w:pPr>
              <w:jc w:val="both"/>
              <w:rPr>
                <w:rFonts w:ascii="Times New Roman" w:hAnsi="Times New Roman" w:cs="Times New Roman"/>
                <w:sz w:val="20"/>
                <w:szCs w:val="20"/>
              </w:rPr>
            </w:pPr>
            <w:r w:rsidRPr="00F7265F">
              <w:rPr>
                <w:rFonts w:ascii="Times New Roman" w:hAnsi="Times New Roman" w:cs="Times New Roman"/>
                <w:sz w:val="20"/>
                <w:szCs w:val="20"/>
              </w:rPr>
              <w:t>Inflation rate (Annual)</w:t>
            </w:r>
          </w:p>
        </w:tc>
        <w:tc>
          <w:tcPr>
            <w:tcW w:w="1985" w:type="dxa"/>
          </w:tcPr>
          <w:p w14:paraId="60AB09BB" w14:textId="77777777" w:rsidR="00120350" w:rsidRPr="00F7265F" w:rsidRDefault="00EE6B49" w:rsidP="0001491C">
            <w:pPr>
              <w:jc w:val="center"/>
              <w:rPr>
                <w:rFonts w:ascii="Times New Roman" w:hAnsi="Times New Roman" w:cs="Times New Roman"/>
                <w:i/>
                <w:sz w:val="20"/>
                <w:szCs w:val="20"/>
              </w:rPr>
            </w:pPr>
            <w:r w:rsidRPr="00F7265F">
              <w:rPr>
                <w:rFonts w:ascii="Times New Roman" w:hAnsi="Times New Roman" w:cs="Times New Roman"/>
                <w:i/>
                <w:sz w:val="20"/>
                <w:szCs w:val="20"/>
              </w:rPr>
              <w:t>f</w:t>
            </w:r>
          </w:p>
        </w:tc>
        <w:tc>
          <w:tcPr>
            <w:tcW w:w="1972" w:type="dxa"/>
          </w:tcPr>
          <w:p w14:paraId="1CA12E71" w14:textId="77777777" w:rsidR="00120350" w:rsidRPr="00F7265F" w:rsidRDefault="00E04670" w:rsidP="0001491C">
            <w:pPr>
              <w:jc w:val="both"/>
              <w:rPr>
                <w:rFonts w:ascii="Times New Roman" w:hAnsi="Times New Roman" w:cs="Times New Roman"/>
                <w:sz w:val="20"/>
                <w:szCs w:val="20"/>
              </w:rPr>
            </w:pPr>
            <w:r w:rsidRPr="00F7265F">
              <w:rPr>
                <w:rFonts w:ascii="Times New Roman" w:hAnsi="Times New Roman" w:cs="Times New Roman"/>
                <w:sz w:val="20"/>
                <w:szCs w:val="20"/>
              </w:rPr>
              <w:t>1</w:t>
            </w:r>
            <w:r w:rsidR="00BF2AA2" w:rsidRPr="00F7265F">
              <w:rPr>
                <w:rFonts w:ascii="Times New Roman" w:hAnsi="Times New Roman" w:cs="Times New Roman"/>
                <w:sz w:val="20"/>
                <w:szCs w:val="20"/>
              </w:rPr>
              <w:t>%</w:t>
            </w:r>
          </w:p>
        </w:tc>
      </w:tr>
      <w:tr w:rsidR="00EE6B49" w:rsidRPr="0001491C" w14:paraId="5234F305" w14:textId="77777777" w:rsidTr="00F7265F">
        <w:trPr>
          <w:trHeight w:val="288"/>
        </w:trPr>
        <w:tc>
          <w:tcPr>
            <w:tcW w:w="4673" w:type="dxa"/>
          </w:tcPr>
          <w:p w14:paraId="27B5F63B" w14:textId="77777777" w:rsidR="00EE6B49" w:rsidRPr="00F7265F" w:rsidRDefault="00EE6B49" w:rsidP="0001491C">
            <w:pPr>
              <w:jc w:val="both"/>
              <w:rPr>
                <w:rFonts w:ascii="Times New Roman" w:hAnsi="Times New Roman" w:cs="Times New Roman"/>
                <w:sz w:val="20"/>
                <w:szCs w:val="20"/>
              </w:rPr>
            </w:pPr>
            <w:r w:rsidRPr="00F7265F">
              <w:rPr>
                <w:rFonts w:ascii="Times New Roman" w:hAnsi="Times New Roman" w:cs="Times New Roman"/>
                <w:sz w:val="20"/>
                <w:szCs w:val="20"/>
              </w:rPr>
              <w:t>Expected return of risky subaccount (Annual)</w:t>
            </w:r>
          </w:p>
        </w:tc>
        <w:tc>
          <w:tcPr>
            <w:tcW w:w="1985" w:type="dxa"/>
          </w:tcPr>
          <w:p w14:paraId="0AB40DC7" w14:textId="77777777" w:rsidR="00EE6B49" w:rsidRPr="00F7265F" w:rsidRDefault="00EE6B49" w:rsidP="0001491C">
            <w:pPr>
              <w:jc w:val="center"/>
              <w:rPr>
                <w:rFonts w:ascii="Times New Roman" w:hAnsi="Times New Roman" w:cs="Times New Roman"/>
                <w:i/>
                <w:sz w:val="20"/>
                <w:szCs w:val="20"/>
              </w:rPr>
            </w:pPr>
            <w:r w:rsidRPr="00F7265F">
              <w:rPr>
                <w:rFonts w:ascii="Times New Roman" w:hAnsi="Times New Roman" w:cs="Times New Roman"/>
                <w:i/>
                <w:sz w:val="20"/>
                <w:szCs w:val="20"/>
              </w:rPr>
              <w:t>R</w:t>
            </w:r>
          </w:p>
        </w:tc>
        <w:tc>
          <w:tcPr>
            <w:tcW w:w="1972" w:type="dxa"/>
          </w:tcPr>
          <w:p w14:paraId="388144B0" w14:textId="77777777" w:rsidR="00EE6B49" w:rsidRPr="00F7265F" w:rsidRDefault="00E04670" w:rsidP="0001491C">
            <w:pPr>
              <w:jc w:val="both"/>
              <w:rPr>
                <w:rFonts w:ascii="Times New Roman" w:hAnsi="Times New Roman" w:cs="Times New Roman"/>
                <w:sz w:val="20"/>
                <w:szCs w:val="20"/>
              </w:rPr>
            </w:pPr>
            <w:r w:rsidRPr="00F7265F">
              <w:rPr>
                <w:rFonts w:ascii="Times New Roman" w:hAnsi="Times New Roman" w:cs="Times New Roman"/>
                <w:sz w:val="20"/>
                <w:szCs w:val="20"/>
              </w:rPr>
              <w:t>4</w:t>
            </w:r>
            <w:r w:rsidR="00BF2AA2" w:rsidRPr="00F7265F">
              <w:rPr>
                <w:rFonts w:ascii="Times New Roman" w:hAnsi="Times New Roman" w:cs="Times New Roman"/>
                <w:sz w:val="20"/>
                <w:szCs w:val="20"/>
              </w:rPr>
              <w:t>%</w:t>
            </w:r>
          </w:p>
        </w:tc>
      </w:tr>
      <w:tr w:rsidR="00EE6B49" w:rsidRPr="0001491C" w14:paraId="1D9062FF" w14:textId="77777777" w:rsidTr="00F7265F">
        <w:trPr>
          <w:trHeight w:val="288"/>
        </w:trPr>
        <w:tc>
          <w:tcPr>
            <w:tcW w:w="4673" w:type="dxa"/>
          </w:tcPr>
          <w:p w14:paraId="545BF3E9" w14:textId="77777777" w:rsidR="00EE6B49" w:rsidRPr="00F7265F" w:rsidRDefault="00E04670" w:rsidP="0001491C">
            <w:pPr>
              <w:jc w:val="both"/>
              <w:rPr>
                <w:rFonts w:ascii="Times New Roman" w:hAnsi="Times New Roman" w:cs="Times New Roman"/>
                <w:sz w:val="20"/>
                <w:szCs w:val="20"/>
              </w:rPr>
            </w:pPr>
            <w:r w:rsidRPr="00F7265F">
              <w:rPr>
                <w:rFonts w:ascii="Times New Roman" w:hAnsi="Times New Roman" w:cs="Times New Roman"/>
                <w:sz w:val="20"/>
                <w:szCs w:val="20"/>
              </w:rPr>
              <w:t>Standard deviation</w:t>
            </w:r>
            <w:r w:rsidR="00EE6B49" w:rsidRPr="00F7265F">
              <w:rPr>
                <w:rFonts w:ascii="Times New Roman" w:hAnsi="Times New Roman" w:cs="Times New Roman"/>
                <w:sz w:val="20"/>
                <w:szCs w:val="20"/>
              </w:rPr>
              <w:t xml:space="preserve"> of risky return (Annual)</w:t>
            </w:r>
          </w:p>
        </w:tc>
        <w:tc>
          <w:tcPr>
            <w:tcW w:w="1985" w:type="dxa"/>
          </w:tcPr>
          <w:p w14:paraId="66A91D77" w14:textId="088AD7A0" w:rsidR="00EE6B49" w:rsidRPr="00F7265F" w:rsidRDefault="00F7265F" w:rsidP="0001491C">
            <w:pPr>
              <w:jc w:val="center"/>
              <w:rPr>
                <w:rFonts w:ascii="Times New Roman" w:hAnsi="Times New Roman" w:cs="Times New Roman"/>
                <w:i/>
                <w:sz w:val="20"/>
                <w:szCs w:val="20"/>
              </w:rPr>
            </w:pPr>
            <m:oMathPara>
              <m:oMath>
                <m:r>
                  <w:rPr>
                    <w:rFonts w:ascii="Cambria Math" w:hAnsi="Cambria Math" w:cs="Times New Roman"/>
                    <w:sz w:val="20"/>
                    <w:szCs w:val="20"/>
                  </w:rPr>
                  <m:t>σ</m:t>
                </m:r>
              </m:oMath>
            </m:oMathPara>
          </w:p>
        </w:tc>
        <w:tc>
          <w:tcPr>
            <w:tcW w:w="1972" w:type="dxa"/>
          </w:tcPr>
          <w:p w14:paraId="00DC46AF" w14:textId="77777777" w:rsidR="00EE6B49" w:rsidRPr="00F7265F" w:rsidRDefault="00E04670" w:rsidP="0001491C">
            <w:pPr>
              <w:jc w:val="both"/>
              <w:rPr>
                <w:rFonts w:ascii="Times New Roman" w:hAnsi="Times New Roman" w:cs="Times New Roman"/>
                <w:sz w:val="20"/>
                <w:szCs w:val="20"/>
              </w:rPr>
            </w:pPr>
            <w:r w:rsidRPr="00F7265F">
              <w:rPr>
                <w:rFonts w:ascii="Times New Roman" w:hAnsi="Times New Roman" w:cs="Times New Roman"/>
                <w:sz w:val="20"/>
                <w:szCs w:val="20"/>
              </w:rPr>
              <w:t>15</w:t>
            </w:r>
            <w:r w:rsidR="00BF2AA2" w:rsidRPr="00F7265F">
              <w:rPr>
                <w:rFonts w:ascii="Times New Roman" w:hAnsi="Times New Roman" w:cs="Times New Roman"/>
                <w:sz w:val="20"/>
                <w:szCs w:val="20"/>
              </w:rPr>
              <w:t>.</w:t>
            </w:r>
            <w:r w:rsidRPr="00F7265F">
              <w:rPr>
                <w:rFonts w:ascii="Times New Roman" w:hAnsi="Times New Roman" w:cs="Times New Roman"/>
                <w:sz w:val="20"/>
                <w:szCs w:val="20"/>
              </w:rPr>
              <w:t>7</w:t>
            </w:r>
            <w:r w:rsidR="00BF2AA2" w:rsidRPr="00F7265F">
              <w:rPr>
                <w:rFonts w:ascii="Times New Roman" w:hAnsi="Times New Roman" w:cs="Times New Roman"/>
                <w:sz w:val="20"/>
                <w:szCs w:val="20"/>
              </w:rPr>
              <w:t>%</w:t>
            </w:r>
          </w:p>
        </w:tc>
      </w:tr>
      <w:tr w:rsidR="00EE6B49" w:rsidRPr="0001491C" w14:paraId="55C3FABA" w14:textId="77777777" w:rsidTr="00F7265F">
        <w:trPr>
          <w:trHeight w:val="288"/>
        </w:trPr>
        <w:tc>
          <w:tcPr>
            <w:tcW w:w="4673" w:type="dxa"/>
          </w:tcPr>
          <w:p w14:paraId="473285B0" w14:textId="77777777" w:rsidR="00EE6B49" w:rsidRPr="00F7265F" w:rsidRDefault="00EE6B49" w:rsidP="0001491C">
            <w:pPr>
              <w:jc w:val="both"/>
              <w:rPr>
                <w:rFonts w:ascii="Times New Roman" w:hAnsi="Times New Roman" w:cs="Times New Roman"/>
                <w:sz w:val="20"/>
                <w:szCs w:val="20"/>
              </w:rPr>
            </w:pPr>
            <w:r w:rsidRPr="00F7265F">
              <w:rPr>
                <w:rFonts w:ascii="Times New Roman" w:hAnsi="Times New Roman" w:cs="Times New Roman"/>
                <w:sz w:val="20"/>
                <w:szCs w:val="20"/>
              </w:rPr>
              <w:t>Pension income (Monthly)</w:t>
            </w:r>
          </w:p>
        </w:tc>
        <w:tc>
          <w:tcPr>
            <w:tcW w:w="1985" w:type="dxa"/>
          </w:tcPr>
          <w:p w14:paraId="783F86FD" w14:textId="77777777" w:rsidR="00EE6B49" w:rsidRPr="00F7265F" w:rsidRDefault="00EE6B49" w:rsidP="0001491C">
            <w:pPr>
              <w:jc w:val="center"/>
              <w:rPr>
                <w:rFonts w:ascii="Times New Roman" w:hAnsi="Times New Roman" w:cs="Times New Roman"/>
                <w:i/>
                <w:sz w:val="20"/>
                <w:szCs w:val="20"/>
              </w:rPr>
            </w:pPr>
            <w:r w:rsidRPr="00F7265F">
              <w:rPr>
                <w:rFonts w:ascii="Times New Roman" w:hAnsi="Times New Roman" w:cs="Times New Roman"/>
                <w:i/>
                <w:sz w:val="20"/>
                <w:szCs w:val="20"/>
              </w:rPr>
              <w:t>y</w:t>
            </w:r>
          </w:p>
        </w:tc>
        <w:tc>
          <w:tcPr>
            <w:tcW w:w="1972" w:type="dxa"/>
          </w:tcPr>
          <w:p w14:paraId="382A9C89" w14:textId="77777777" w:rsidR="00EE6B49" w:rsidRPr="00F7265F" w:rsidRDefault="00BF2AA2" w:rsidP="0001491C">
            <w:pPr>
              <w:jc w:val="both"/>
              <w:rPr>
                <w:rFonts w:ascii="Times New Roman" w:hAnsi="Times New Roman" w:cs="Times New Roman"/>
                <w:sz w:val="20"/>
                <w:szCs w:val="20"/>
              </w:rPr>
            </w:pPr>
            <w:r w:rsidRPr="00F7265F">
              <w:rPr>
                <w:rFonts w:ascii="Times New Roman" w:hAnsi="Times New Roman" w:cs="Times New Roman"/>
                <w:sz w:val="20"/>
                <w:szCs w:val="20"/>
              </w:rPr>
              <w:t>0.03</w:t>
            </w:r>
          </w:p>
        </w:tc>
      </w:tr>
      <w:tr w:rsidR="00EE6B49" w:rsidRPr="0001491C" w14:paraId="22092E13" w14:textId="77777777" w:rsidTr="00F7265F">
        <w:trPr>
          <w:trHeight w:val="288"/>
        </w:trPr>
        <w:tc>
          <w:tcPr>
            <w:tcW w:w="4673" w:type="dxa"/>
          </w:tcPr>
          <w:p w14:paraId="5A768BEF" w14:textId="77777777" w:rsidR="00EE6B49" w:rsidRPr="00F7265F" w:rsidRDefault="00EE6B49" w:rsidP="0001491C">
            <w:pPr>
              <w:jc w:val="both"/>
              <w:rPr>
                <w:rFonts w:ascii="Times New Roman" w:hAnsi="Times New Roman" w:cs="Times New Roman"/>
                <w:sz w:val="20"/>
                <w:szCs w:val="20"/>
              </w:rPr>
            </w:pPr>
            <w:r w:rsidRPr="00F7265F">
              <w:rPr>
                <w:rFonts w:ascii="Times New Roman" w:hAnsi="Times New Roman" w:cs="Times New Roman"/>
                <w:sz w:val="20"/>
                <w:szCs w:val="20"/>
              </w:rPr>
              <w:t>Coefficient of relative risk aversion</w:t>
            </w:r>
          </w:p>
        </w:tc>
        <w:tc>
          <w:tcPr>
            <w:tcW w:w="1985" w:type="dxa"/>
          </w:tcPr>
          <w:p w14:paraId="10E32BEA" w14:textId="2EDA95EF" w:rsidR="00EE6B49" w:rsidRPr="00F7265F" w:rsidRDefault="00F7265F" w:rsidP="0001491C">
            <w:pPr>
              <w:jc w:val="center"/>
              <w:rPr>
                <w:rFonts w:ascii="Times New Roman" w:hAnsi="Times New Roman" w:cs="Times New Roman"/>
                <w:i/>
                <w:sz w:val="20"/>
                <w:szCs w:val="20"/>
              </w:rPr>
            </w:pPr>
            <m:oMathPara>
              <m:oMath>
                <m:r>
                  <w:rPr>
                    <w:rFonts w:ascii="Cambria Math" w:hAnsi="Cambria Math" w:cs="Times New Roman"/>
                    <w:sz w:val="20"/>
                    <w:szCs w:val="20"/>
                  </w:rPr>
                  <m:t>γ</m:t>
                </m:r>
              </m:oMath>
            </m:oMathPara>
          </w:p>
        </w:tc>
        <w:tc>
          <w:tcPr>
            <w:tcW w:w="1972" w:type="dxa"/>
          </w:tcPr>
          <w:p w14:paraId="76186C8C" w14:textId="77777777" w:rsidR="00EE6B49" w:rsidRPr="00F7265F" w:rsidRDefault="00E04670" w:rsidP="0001491C">
            <w:pPr>
              <w:jc w:val="both"/>
              <w:rPr>
                <w:rFonts w:ascii="Times New Roman" w:hAnsi="Times New Roman" w:cs="Times New Roman"/>
                <w:sz w:val="20"/>
                <w:szCs w:val="20"/>
              </w:rPr>
            </w:pPr>
            <w:r w:rsidRPr="00F7265F">
              <w:rPr>
                <w:rFonts w:ascii="Times New Roman" w:hAnsi="Times New Roman" w:cs="Times New Roman"/>
                <w:sz w:val="20"/>
                <w:szCs w:val="20"/>
              </w:rPr>
              <w:t>3</w:t>
            </w:r>
          </w:p>
        </w:tc>
      </w:tr>
      <w:tr w:rsidR="00EE6B49" w:rsidRPr="0001491C" w14:paraId="70E90EAE" w14:textId="77777777" w:rsidTr="00F7265F">
        <w:trPr>
          <w:trHeight w:val="288"/>
        </w:trPr>
        <w:tc>
          <w:tcPr>
            <w:tcW w:w="4673" w:type="dxa"/>
          </w:tcPr>
          <w:p w14:paraId="55394214" w14:textId="77777777" w:rsidR="00EE6B49" w:rsidRPr="00F7265F" w:rsidRDefault="00EE6B49" w:rsidP="0001491C">
            <w:pPr>
              <w:jc w:val="both"/>
              <w:rPr>
                <w:rFonts w:ascii="Times New Roman" w:hAnsi="Times New Roman" w:cs="Times New Roman"/>
                <w:sz w:val="20"/>
                <w:szCs w:val="20"/>
              </w:rPr>
            </w:pPr>
            <w:r w:rsidRPr="00F7265F">
              <w:rPr>
                <w:rFonts w:ascii="Times New Roman" w:hAnsi="Times New Roman" w:cs="Times New Roman"/>
                <w:sz w:val="20"/>
                <w:szCs w:val="20"/>
              </w:rPr>
              <w:t>Intensity of the bequest motive</w:t>
            </w:r>
            <w:r w:rsidRPr="00F7265F">
              <w:rPr>
                <w:rStyle w:val="FootnoteReference"/>
                <w:rFonts w:ascii="Times New Roman" w:hAnsi="Times New Roman" w:cs="Times New Roman"/>
                <w:sz w:val="20"/>
                <w:szCs w:val="20"/>
              </w:rPr>
              <w:footnoteReference w:id="4"/>
            </w:r>
          </w:p>
        </w:tc>
        <w:tc>
          <w:tcPr>
            <w:tcW w:w="1985" w:type="dxa"/>
          </w:tcPr>
          <w:p w14:paraId="10A8D56E" w14:textId="2CF2D81B" w:rsidR="00EE6B49" w:rsidRPr="00F7265F" w:rsidRDefault="00F7265F" w:rsidP="0001491C">
            <w:pPr>
              <w:jc w:val="center"/>
              <w:rPr>
                <w:rFonts w:ascii="Times New Roman" w:hAnsi="Times New Roman" w:cs="Times New Roman"/>
                <w:i/>
                <w:sz w:val="20"/>
                <w:szCs w:val="20"/>
              </w:rPr>
            </w:pPr>
            <m:oMathPara>
              <m:oMath>
                <m:r>
                  <w:rPr>
                    <w:rFonts w:ascii="Cambria Math" w:hAnsi="Cambria Math" w:cs="Times New Roman"/>
                    <w:sz w:val="20"/>
                    <w:szCs w:val="20"/>
                  </w:rPr>
                  <m:t>η</m:t>
                </m:r>
              </m:oMath>
            </m:oMathPara>
          </w:p>
        </w:tc>
        <w:tc>
          <w:tcPr>
            <w:tcW w:w="1972" w:type="dxa"/>
          </w:tcPr>
          <w:p w14:paraId="3810A079" w14:textId="77777777" w:rsidR="00EE6B49" w:rsidRPr="00F7265F" w:rsidRDefault="00B419B4" w:rsidP="0001491C">
            <w:pPr>
              <w:jc w:val="both"/>
              <w:rPr>
                <w:rFonts w:ascii="Times New Roman" w:hAnsi="Times New Roman" w:cs="Times New Roman"/>
                <w:sz w:val="20"/>
                <w:szCs w:val="20"/>
              </w:rPr>
            </w:pPr>
            <w:r w:rsidRPr="00F7265F">
              <w:rPr>
                <w:rFonts w:ascii="Times New Roman" w:hAnsi="Times New Roman" w:cs="Times New Roman"/>
                <w:sz w:val="20"/>
                <w:szCs w:val="20"/>
              </w:rPr>
              <w:t>47.6</w:t>
            </w:r>
          </w:p>
        </w:tc>
      </w:tr>
      <w:tr w:rsidR="00EE6B49" w:rsidRPr="0001491C" w14:paraId="7EA644B5" w14:textId="77777777" w:rsidTr="00F7265F">
        <w:trPr>
          <w:trHeight w:val="288"/>
        </w:trPr>
        <w:tc>
          <w:tcPr>
            <w:tcW w:w="4673" w:type="dxa"/>
            <w:tcBorders>
              <w:bottom w:val="single" w:sz="4" w:space="0" w:color="auto"/>
            </w:tcBorders>
          </w:tcPr>
          <w:p w14:paraId="37E5296A" w14:textId="77777777" w:rsidR="00EE6B49" w:rsidRPr="00F7265F" w:rsidRDefault="00EE6B49" w:rsidP="0001491C">
            <w:pPr>
              <w:jc w:val="both"/>
              <w:rPr>
                <w:rFonts w:ascii="Times New Roman" w:hAnsi="Times New Roman" w:cs="Times New Roman"/>
                <w:sz w:val="20"/>
                <w:szCs w:val="20"/>
              </w:rPr>
            </w:pPr>
            <w:r w:rsidRPr="00F7265F">
              <w:rPr>
                <w:rFonts w:ascii="Times New Roman" w:hAnsi="Times New Roman" w:cs="Times New Roman"/>
                <w:sz w:val="20"/>
                <w:szCs w:val="20"/>
              </w:rPr>
              <w:t>shift parameter of bequest</w:t>
            </w:r>
          </w:p>
        </w:tc>
        <w:tc>
          <w:tcPr>
            <w:tcW w:w="1985" w:type="dxa"/>
            <w:tcBorders>
              <w:bottom w:val="single" w:sz="4" w:space="0" w:color="auto"/>
            </w:tcBorders>
          </w:tcPr>
          <w:p w14:paraId="6D729941" w14:textId="77777777" w:rsidR="00EE6B49" w:rsidRPr="00F7265F" w:rsidRDefault="00EE6B49" w:rsidP="0001491C">
            <w:pPr>
              <w:jc w:val="center"/>
              <w:rPr>
                <w:rFonts w:ascii="Times New Roman" w:hAnsi="Times New Roman" w:cs="Times New Roman"/>
                <w:sz w:val="20"/>
                <w:szCs w:val="20"/>
              </w:rPr>
            </w:pPr>
            <m:oMathPara>
              <m:oMath>
                <m:r>
                  <w:rPr>
                    <w:rFonts w:ascii="Cambria Math" w:hAnsi="Cambria Math" w:cs="Times New Roman"/>
                    <w:sz w:val="20"/>
                    <w:szCs w:val="20"/>
                  </w:rPr>
                  <m:t>φ</m:t>
                </m:r>
              </m:oMath>
            </m:oMathPara>
          </w:p>
        </w:tc>
        <w:tc>
          <w:tcPr>
            <w:tcW w:w="1972" w:type="dxa"/>
            <w:tcBorders>
              <w:bottom w:val="single" w:sz="4" w:space="0" w:color="auto"/>
            </w:tcBorders>
          </w:tcPr>
          <w:p w14:paraId="606E32F8" w14:textId="77777777" w:rsidR="00EE6B49" w:rsidRPr="00F7265F" w:rsidRDefault="00B419B4" w:rsidP="0001491C">
            <w:pPr>
              <w:jc w:val="both"/>
              <w:rPr>
                <w:rFonts w:ascii="Times New Roman" w:hAnsi="Times New Roman" w:cs="Times New Roman"/>
                <w:sz w:val="20"/>
                <w:szCs w:val="20"/>
              </w:rPr>
            </w:pPr>
            <w:r w:rsidRPr="00F7265F">
              <w:rPr>
                <w:rFonts w:ascii="Times New Roman" w:hAnsi="Times New Roman" w:cs="Times New Roman"/>
                <w:sz w:val="20"/>
                <w:szCs w:val="20"/>
              </w:rPr>
              <w:t>7.28</w:t>
            </w:r>
          </w:p>
        </w:tc>
      </w:tr>
    </w:tbl>
    <w:p w14:paraId="4BA6D42E" w14:textId="4860B782" w:rsidR="00FD0A9F" w:rsidRPr="0001491C" w:rsidRDefault="00C03066" w:rsidP="005954EB">
      <w:pPr>
        <w:spacing w:beforeLines="50" w:before="120"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W</w:t>
      </w:r>
      <w:r w:rsidR="007D56EA" w:rsidRPr="0001491C">
        <w:rPr>
          <w:rFonts w:ascii="Times New Roman" w:hAnsi="Times New Roman" w:cs="Times New Roman"/>
          <w:sz w:val="24"/>
          <w:szCs w:val="24"/>
        </w:rPr>
        <w:t xml:space="preserve">e take health transition probability matrixes for 4 cohorts as 4 basic scenarios for analysis. </w:t>
      </w:r>
      <w:r w:rsidR="001E6BD5" w:rsidRPr="0001491C">
        <w:rPr>
          <w:rFonts w:ascii="Times New Roman" w:hAnsi="Times New Roman" w:cs="Times New Roman"/>
          <w:sz w:val="24"/>
          <w:szCs w:val="24"/>
        </w:rPr>
        <w:t xml:space="preserve">Based on HRS data, we obtain </w:t>
      </w:r>
      <w:r w:rsidR="00EB0E91" w:rsidRPr="0001491C">
        <w:rPr>
          <w:rFonts w:ascii="Times New Roman" w:hAnsi="Times New Roman" w:cs="Times New Roman"/>
          <w:sz w:val="24"/>
          <w:szCs w:val="24"/>
        </w:rPr>
        <w:t>the estimated distribution of</w:t>
      </w:r>
      <w:r w:rsidR="00503D67" w:rsidRPr="0001491C">
        <w:rPr>
          <w:rFonts w:ascii="Times New Roman" w:hAnsi="Times New Roman" w:cs="Times New Roman"/>
          <w:sz w:val="24"/>
          <w:szCs w:val="24"/>
        </w:rPr>
        <w:t xml:space="preserve"> </w:t>
      </w:r>
      <w:r w:rsidR="00EB0E91" w:rsidRPr="0001491C">
        <w:rPr>
          <w:rFonts w:ascii="Times New Roman" w:hAnsi="Times New Roman" w:cs="Times New Roman"/>
          <w:sz w:val="24"/>
          <w:szCs w:val="24"/>
        </w:rPr>
        <w:t>health states 1–3 at 65 as (0.9</w:t>
      </w:r>
      <w:r w:rsidR="006D6F96" w:rsidRPr="0001491C">
        <w:rPr>
          <w:rFonts w:ascii="Times New Roman" w:hAnsi="Times New Roman" w:cs="Times New Roman"/>
          <w:sz w:val="24"/>
          <w:szCs w:val="24"/>
        </w:rPr>
        <w:t>566</w:t>
      </w:r>
      <w:r w:rsidR="00EB0E91" w:rsidRPr="0001491C">
        <w:rPr>
          <w:rFonts w:ascii="Times New Roman" w:hAnsi="Times New Roman" w:cs="Times New Roman"/>
          <w:sz w:val="24"/>
          <w:szCs w:val="24"/>
        </w:rPr>
        <w:t>,</w:t>
      </w:r>
      <w:r w:rsidR="003B02DE" w:rsidRPr="0001491C">
        <w:rPr>
          <w:rFonts w:ascii="Times New Roman" w:hAnsi="Times New Roman" w:cs="Times New Roman"/>
          <w:sz w:val="24"/>
          <w:szCs w:val="24"/>
        </w:rPr>
        <w:t xml:space="preserve"> </w:t>
      </w:r>
      <w:r w:rsidR="00EB0E91" w:rsidRPr="0001491C">
        <w:rPr>
          <w:rFonts w:ascii="Times New Roman" w:hAnsi="Times New Roman" w:cs="Times New Roman"/>
          <w:sz w:val="24"/>
          <w:szCs w:val="24"/>
        </w:rPr>
        <w:t>0.0</w:t>
      </w:r>
      <w:r w:rsidR="006D6F96" w:rsidRPr="0001491C">
        <w:rPr>
          <w:rFonts w:ascii="Times New Roman" w:hAnsi="Times New Roman" w:cs="Times New Roman"/>
          <w:sz w:val="24"/>
          <w:szCs w:val="24"/>
        </w:rPr>
        <w:t>534</w:t>
      </w:r>
      <w:r w:rsidR="00EB0E91" w:rsidRPr="0001491C">
        <w:rPr>
          <w:rFonts w:ascii="Times New Roman" w:hAnsi="Times New Roman" w:cs="Times New Roman"/>
          <w:sz w:val="24"/>
          <w:szCs w:val="24"/>
        </w:rPr>
        <w:t>,</w:t>
      </w:r>
      <w:r w:rsidR="003B02DE" w:rsidRPr="0001491C">
        <w:rPr>
          <w:rFonts w:ascii="Times New Roman" w:hAnsi="Times New Roman" w:cs="Times New Roman"/>
          <w:sz w:val="24"/>
          <w:szCs w:val="24"/>
        </w:rPr>
        <w:t xml:space="preserve"> </w:t>
      </w:r>
      <w:proofErr w:type="gramStart"/>
      <w:r w:rsidR="00EB0E91" w:rsidRPr="0001491C">
        <w:rPr>
          <w:rFonts w:ascii="Times New Roman" w:hAnsi="Times New Roman" w:cs="Times New Roman"/>
          <w:sz w:val="24"/>
          <w:szCs w:val="24"/>
        </w:rPr>
        <w:t>0</w:t>
      </w:r>
      <w:proofErr w:type="gramEnd"/>
      <w:r w:rsidR="00EB0E91" w:rsidRPr="0001491C">
        <w:rPr>
          <w:rFonts w:ascii="Times New Roman" w:hAnsi="Times New Roman" w:cs="Times New Roman"/>
          <w:sz w:val="24"/>
          <w:szCs w:val="24"/>
        </w:rPr>
        <w:t>) for males and (0.</w:t>
      </w:r>
      <w:r w:rsidR="006D6F96" w:rsidRPr="0001491C">
        <w:rPr>
          <w:rFonts w:ascii="Times New Roman" w:hAnsi="Times New Roman" w:cs="Times New Roman"/>
          <w:sz w:val="24"/>
          <w:szCs w:val="24"/>
        </w:rPr>
        <w:t>9425</w:t>
      </w:r>
      <w:r w:rsidR="00EB0E91" w:rsidRPr="0001491C">
        <w:rPr>
          <w:rFonts w:ascii="Times New Roman" w:hAnsi="Times New Roman" w:cs="Times New Roman"/>
          <w:sz w:val="24"/>
          <w:szCs w:val="24"/>
        </w:rPr>
        <w:t>,</w:t>
      </w:r>
      <w:r w:rsidR="003B02DE" w:rsidRPr="0001491C">
        <w:rPr>
          <w:rFonts w:ascii="Times New Roman" w:hAnsi="Times New Roman" w:cs="Times New Roman"/>
          <w:sz w:val="24"/>
          <w:szCs w:val="24"/>
        </w:rPr>
        <w:t xml:space="preserve"> </w:t>
      </w:r>
      <w:r w:rsidR="00EB0E91" w:rsidRPr="0001491C">
        <w:rPr>
          <w:rFonts w:ascii="Times New Roman" w:hAnsi="Times New Roman" w:cs="Times New Roman"/>
          <w:sz w:val="24"/>
          <w:szCs w:val="24"/>
        </w:rPr>
        <w:t>0.0</w:t>
      </w:r>
      <w:r w:rsidR="006D6F96" w:rsidRPr="0001491C">
        <w:rPr>
          <w:rFonts w:ascii="Times New Roman" w:hAnsi="Times New Roman" w:cs="Times New Roman"/>
          <w:sz w:val="24"/>
          <w:szCs w:val="24"/>
        </w:rPr>
        <w:t>5</w:t>
      </w:r>
      <w:r w:rsidR="00EB0E91" w:rsidRPr="0001491C">
        <w:rPr>
          <w:rFonts w:ascii="Times New Roman" w:hAnsi="Times New Roman" w:cs="Times New Roman"/>
          <w:sz w:val="24"/>
          <w:szCs w:val="24"/>
        </w:rPr>
        <w:t>75, 0) for females.</w:t>
      </w:r>
    </w:p>
    <w:p w14:paraId="5A26CF70" w14:textId="005C3F11" w:rsidR="00700C32" w:rsidRPr="0001491C" w:rsidRDefault="005954EB" w:rsidP="000149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sidR="00700C32" w:rsidRPr="0001491C">
        <w:rPr>
          <w:rFonts w:ascii="Times New Roman" w:hAnsi="Times New Roman" w:cs="Times New Roman"/>
          <w:b/>
          <w:sz w:val="24"/>
          <w:szCs w:val="24"/>
        </w:rPr>
        <w:t>Optimal Purchase of Long-Term Care Insurance and Annuity</w:t>
      </w:r>
    </w:p>
    <w:p w14:paraId="1DF0D6A7" w14:textId="10B88D24" w:rsidR="0018630B" w:rsidRPr="0001491C" w:rsidRDefault="0018630B" w:rsidP="005954EB">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We allow retirees to purchase bo</w:t>
      </w:r>
      <w:r w:rsidR="003C324D">
        <w:rPr>
          <w:rFonts w:ascii="Times New Roman" w:hAnsi="Times New Roman" w:cs="Times New Roman"/>
          <w:sz w:val="24"/>
          <w:szCs w:val="24"/>
        </w:rPr>
        <w:t xml:space="preserve">th LTC </w:t>
      </w:r>
      <w:r w:rsidRPr="0001491C">
        <w:rPr>
          <w:rFonts w:ascii="Times New Roman" w:hAnsi="Times New Roman" w:cs="Times New Roman"/>
          <w:sz w:val="24"/>
          <w:szCs w:val="24"/>
        </w:rPr>
        <w:t xml:space="preserve">insurance and annuity simultaneously at the </w:t>
      </w:r>
      <w:r w:rsidR="00AB41C7" w:rsidRPr="0001491C">
        <w:rPr>
          <w:rFonts w:ascii="Times New Roman" w:hAnsi="Times New Roman" w:cs="Times New Roman"/>
          <w:sz w:val="24"/>
          <w:szCs w:val="24"/>
        </w:rPr>
        <w:t>retirement</w:t>
      </w:r>
      <w:r w:rsidRPr="0001491C">
        <w:rPr>
          <w:rFonts w:ascii="Times New Roman" w:hAnsi="Times New Roman" w:cs="Times New Roman"/>
          <w:sz w:val="24"/>
          <w:szCs w:val="24"/>
        </w:rPr>
        <w:t xml:space="preserve">.  </w:t>
      </w:r>
      <w:r w:rsidR="003C324D">
        <w:rPr>
          <w:rFonts w:ascii="Times New Roman" w:hAnsi="Times New Roman" w:cs="Times New Roman"/>
          <w:sz w:val="24"/>
          <w:szCs w:val="24"/>
        </w:rPr>
        <w:t>The retiree</w:t>
      </w:r>
      <w:r w:rsidRPr="0001491C">
        <w:rPr>
          <w:rFonts w:ascii="Times New Roman" w:hAnsi="Times New Roman" w:cs="Times New Roman"/>
          <w:sz w:val="24"/>
          <w:szCs w:val="24"/>
        </w:rPr>
        <w:t>’</w:t>
      </w:r>
      <w:r w:rsidR="003C324D">
        <w:rPr>
          <w:rFonts w:ascii="Times New Roman" w:hAnsi="Times New Roman" w:cs="Times New Roman"/>
          <w:sz w:val="24"/>
          <w:szCs w:val="24"/>
        </w:rPr>
        <w:t>s</w:t>
      </w:r>
      <w:r w:rsidRPr="0001491C">
        <w:rPr>
          <w:rFonts w:ascii="Times New Roman" w:hAnsi="Times New Roman" w:cs="Times New Roman"/>
          <w:sz w:val="24"/>
          <w:szCs w:val="24"/>
        </w:rPr>
        <w:t xml:space="preserve"> optimal </w:t>
      </w:r>
      <w:proofErr w:type="spellStart"/>
      <w:r w:rsidRPr="0001491C">
        <w:rPr>
          <w:rFonts w:ascii="Times New Roman" w:hAnsi="Times New Roman" w:cs="Times New Roman"/>
          <w:sz w:val="24"/>
          <w:szCs w:val="24"/>
        </w:rPr>
        <w:t>annuitization</w:t>
      </w:r>
      <w:proofErr w:type="spellEnd"/>
      <w:r w:rsidRPr="0001491C">
        <w:rPr>
          <w:rFonts w:ascii="Times New Roman" w:hAnsi="Times New Roman" w:cs="Times New Roman"/>
          <w:sz w:val="24"/>
          <w:szCs w:val="24"/>
        </w:rPr>
        <w:t xml:space="preserve"> turns out to be 0 under </w:t>
      </w:r>
      <w:r w:rsidR="00AB41C7" w:rsidRPr="0001491C">
        <w:rPr>
          <w:rFonts w:ascii="Times New Roman" w:hAnsi="Times New Roman" w:cs="Times New Roman"/>
          <w:sz w:val="24"/>
          <w:szCs w:val="24"/>
        </w:rPr>
        <w:t xml:space="preserve">both </w:t>
      </w:r>
      <w:r w:rsidR="003C324D">
        <w:rPr>
          <w:rFonts w:ascii="Times New Roman" w:hAnsi="Times New Roman" w:cs="Times New Roman"/>
          <w:sz w:val="24"/>
          <w:szCs w:val="24"/>
        </w:rPr>
        <w:t xml:space="preserve">the </w:t>
      </w:r>
      <w:r w:rsidRPr="0001491C">
        <w:rPr>
          <w:rFonts w:ascii="Times New Roman" w:hAnsi="Times New Roman" w:cs="Times New Roman"/>
          <w:sz w:val="24"/>
          <w:szCs w:val="24"/>
        </w:rPr>
        <w:t xml:space="preserve">healthy state and </w:t>
      </w:r>
      <w:r w:rsidR="003C324D">
        <w:rPr>
          <w:rFonts w:ascii="Times New Roman" w:hAnsi="Times New Roman" w:cs="Times New Roman"/>
          <w:sz w:val="24"/>
          <w:szCs w:val="24"/>
        </w:rPr>
        <w:t xml:space="preserve">the </w:t>
      </w:r>
      <w:r w:rsidRPr="0001491C">
        <w:rPr>
          <w:rFonts w:ascii="Times New Roman" w:hAnsi="Times New Roman" w:cs="Times New Roman"/>
          <w:sz w:val="24"/>
          <w:szCs w:val="24"/>
        </w:rPr>
        <w:t xml:space="preserve">unhealthy state. </w:t>
      </w:r>
      <w:r w:rsidR="008F6E62" w:rsidRPr="0001491C">
        <w:rPr>
          <w:rFonts w:ascii="Times New Roman" w:hAnsi="Times New Roman" w:cs="Times New Roman"/>
          <w:sz w:val="24"/>
          <w:szCs w:val="24"/>
        </w:rPr>
        <w:t xml:space="preserve">The zero </w:t>
      </w:r>
      <w:proofErr w:type="spellStart"/>
      <w:r w:rsidR="008F6E62" w:rsidRPr="0001491C">
        <w:rPr>
          <w:rFonts w:ascii="Times New Roman" w:hAnsi="Times New Roman" w:cs="Times New Roman"/>
          <w:sz w:val="24"/>
          <w:szCs w:val="24"/>
        </w:rPr>
        <w:t>annuitization</w:t>
      </w:r>
      <w:proofErr w:type="spellEnd"/>
      <w:r w:rsidR="008F6E62" w:rsidRPr="0001491C">
        <w:rPr>
          <w:rFonts w:ascii="Times New Roman" w:hAnsi="Times New Roman" w:cs="Times New Roman"/>
          <w:sz w:val="24"/>
          <w:szCs w:val="24"/>
        </w:rPr>
        <w:t xml:space="preserve"> is driven by two forces. First, </w:t>
      </w:r>
      <w:r w:rsidRPr="0001491C">
        <w:rPr>
          <w:rFonts w:ascii="Times New Roman" w:hAnsi="Times New Roman" w:cs="Times New Roman"/>
          <w:sz w:val="24"/>
          <w:szCs w:val="24"/>
        </w:rPr>
        <w:t>in our parameter setting, a retiree receives social security income 0.03 per month, which plays the same role as annuity and</w:t>
      </w:r>
      <w:r w:rsidR="00AB41C7" w:rsidRPr="0001491C">
        <w:rPr>
          <w:rFonts w:ascii="Times New Roman" w:hAnsi="Times New Roman" w:cs="Times New Roman"/>
          <w:sz w:val="24"/>
          <w:szCs w:val="24"/>
        </w:rPr>
        <w:t xml:space="preserve"> then</w:t>
      </w:r>
      <w:r w:rsidRPr="0001491C">
        <w:rPr>
          <w:rFonts w:ascii="Times New Roman" w:hAnsi="Times New Roman" w:cs="Times New Roman"/>
          <w:sz w:val="24"/>
          <w:szCs w:val="24"/>
        </w:rPr>
        <w:t xml:space="preserve">, as </w:t>
      </w:r>
      <w:proofErr w:type="spellStart"/>
      <w:r w:rsidRPr="0001491C">
        <w:rPr>
          <w:rFonts w:ascii="Times New Roman" w:hAnsi="Times New Roman" w:cs="Times New Roman"/>
          <w:sz w:val="24"/>
          <w:szCs w:val="24"/>
        </w:rPr>
        <w:t>Pashchenko</w:t>
      </w:r>
      <w:proofErr w:type="spellEnd"/>
      <w:r w:rsidR="003B02DE" w:rsidRPr="0001491C">
        <w:rPr>
          <w:rFonts w:ascii="Times New Roman" w:hAnsi="Times New Roman" w:cs="Times New Roman"/>
          <w:sz w:val="24"/>
          <w:szCs w:val="24"/>
        </w:rPr>
        <w:t xml:space="preserve"> </w:t>
      </w:r>
      <w:r w:rsidRPr="0001491C">
        <w:rPr>
          <w:rFonts w:ascii="Times New Roman" w:hAnsi="Times New Roman" w:cs="Times New Roman"/>
          <w:sz w:val="24"/>
          <w:szCs w:val="24"/>
        </w:rPr>
        <w:t>(2013) point</w:t>
      </w:r>
      <w:r w:rsidR="008F6E62" w:rsidRPr="0001491C">
        <w:rPr>
          <w:rFonts w:ascii="Times New Roman" w:hAnsi="Times New Roman" w:cs="Times New Roman"/>
          <w:sz w:val="24"/>
          <w:szCs w:val="24"/>
        </w:rPr>
        <w:t>ed</w:t>
      </w:r>
      <w:r w:rsidRPr="0001491C">
        <w:rPr>
          <w:rFonts w:ascii="Times New Roman" w:hAnsi="Times New Roman" w:cs="Times New Roman"/>
          <w:sz w:val="24"/>
          <w:szCs w:val="24"/>
        </w:rPr>
        <w:t xml:space="preserve"> out, to some extent crows out the demand of annuity. </w:t>
      </w:r>
      <w:r w:rsidR="008F6E62" w:rsidRPr="0001491C">
        <w:rPr>
          <w:rFonts w:ascii="Times New Roman" w:hAnsi="Times New Roman" w:cs="Times New Roman"/>
          <w:sz w:val="24"/>
          <w:szCs w:val="24"/>
        </w:rPr>
        <w:t>Second</w:t>
      </w:r>
      <w:r w:rsidRPr="0001491C">
        <w:rPr>
          <w:rFonts w:ascii="Times New Roman" w:hAnsi="Times New Roman" w:cs="Times New Roman"/>
          <w:sz w:val="24"/>
          <w:szCs w:val="24"/>
        </w:rPr>
        <w:t xml:space="preserve">, as </w:t>
      </w:r>
      <w:proofErr w:type="spellStart"/>
      <w:r w:rsidR="008F6E62" w:rsidRPr="0001491C">
        <w:rPr>
          <w:rFonts w:ascii="Times New Roman" w:hAnsi="Times New Roman" w:cs="Times New Roman"/>
          <w:sz w:val="24"/>
          <w:szCs w:val="24"/>
        </w:rPr>
        <w:t>Reichling</w:t>
      </w:r>
      <w:proofErr w:type="spellEnd"/>
      <w:r w:rsidR="008F6E62" w:rsidRPr="0001491C">
        <w:rPr>
          <w:rFonts w:ascii="Times New Roman" w:hAnsi="Times New Roman" w:cs="Times New Roman"/>
          <w:sz w:val="24"/>
          <w:szCs w:val="24"/>
        </w:rPr>
        <w:t xml:space="preserve"> and </w:t>
      </w:r>
      <w:proofErr w:type="spellStart"/>
      <w:r w:rsidR="008F6E62" w:rsidRPr="0001491C">
        <w:rPr>
          <w:rFonts w:ascii="Times New Roman" w:hAnsi="Times New Roman" w:cs="Times New Roman"/>
          <w:sz w:val="24"/>
          <w:szCs w:val="24"/>
        </w:rPr>
        <w:t>Smetters</w:t>
      </w:r>
      <w:proofErr w:type="spellEnd"/>
      <w:r w:rsidR="008F6E62" w:rsidRPr="0001491C">
        <w:rPr>
          <w:rFonts w:ascii="Times New Roman" w:hAnsi="Times New Roman" w:cs="Times New Roman"/>
          <w:sz w:val="24"/>
          <w:szCs w:val="24"/>
        </w:rPr>
        <w:t xml:space="preserve"> (2015) clarified, when health dynamics and </w:t>
      </w:r>
      <w:r w:rsidR="00AB41C7" w:rsidRPr="0001491C">
        <w:rPr>
          <w:rFonts w:ascii="Times New Roman" w:hAnsi="Times New Roman" w:cs="Times New Roman"/>
          <w:sz w:val="24"/>
          <w:szCs w:val="24"/>
        </w:rPr>
        <w:t xml:space="preserve">the </w:t>
      </w:r>
      <w:r w:rsidR="008F6E62" w:rsidRPr="0001491C">
        <w:rPr>
          <w:rFonts w:ascii="Times New Roman" w:hAnsi="Times New Roman" w:cs="Times New Roman"/>
          <w:sz w:val="24"/>
          <w:szCs w:val="24"/>
        </w:rPr>
        <w:t>resulting stochastic mortality</w:t>
      </w:r>
      <w:r w:rsidR="00AB41C7" w:rsidRPr="0001491C">
        <w:rPr>
          <w:rFonts w:ascii="Times New Roman" w:hAnsi="Times New Roman" w:cs="Times New Roman"/>
          <w:sz w:val="24"/>
          <w:szCs w:val="24"/>
        </w:rPr>
        <w:t xml:space="preserve"> a</w:t>
      </w:r>
      <w:r w:rsidR="003C324D">
        <w:rPr>
          <w:rFonts w:ascii="Times New Roman" w:hAnsi="Times New Roman" w:cs="Times New Roman"/>
          <w:sz w:val="24"/>
          <w:szCs w:val="24"/>
        </w:rPr>
        <w:t xml:space="preserve">nd medical cost </w:t>
      </w:r>
      <w:r w:rsidR="003C324D">
        <w:rPr>
          <w:rFonts w:ascii="Times New Roman" w:hAnsi="Times New Roman" w:cs="Times New Roman"/>
          <w:sz w:val="24"/>
          <w:szCs w:val="24"/>
        </w:rPr>
        <w:lastRenderedPageBreak/>
        <w:t xml:space="preserve">(LTC </w:t>
      </w:r>
      <w:r w:rsidR="00AB41C7" w:rsidRPr="0001491C">
        <w:rPr>
          <w:rFonts w:ascii="Times New Roman" w:hAnsi="Times New Roman" w:cs="Times New Roman"/>
          <w:sz w:val="24"/>
          <w:szCs w:val="24"/>
        </w:rPr>
        <w:t xml:space="preserve">cost in our </w:t>
      </w:r>
      <w:r w:rsidR="003C324D">
        <w:rPr>
          <w:rFonts w:ascii="Times New Roman" w:hAnsi="Times New Roman" w:cs="Times New Roman"/>
          <w:sz w:val="24"/>
          <w:szCs w:val="24"/>
        </w:rPr>
        <w:t>con</w:t>
      </w:r>
      <w:r w:rsidR="00AB41C7" w:rsidRPr="0001491C">
        <w:rPr>
          <w:rFonts w:ascii="Times New Roman" w:hAnsi="Times New Roman" w:cs="Times New Roman"/>
          <w:sz w:val="24"/>
          <w:szCs w:val="24"/>
        </w:rPr>
        <w:t>text)</w:t>
      </w:r>
      <w:r w:rsidR="008F6E62" w:rsidRPr="0001491C">
        <w:rPr>
          <w:rFonts w:ascii="Times New Roman" w:hAnsi="Times New Roman" w:cs="Times New Roman"/>
          <w:sz w:val="24"/>
          <w:szCs w:val="24"/>
        </w:rPr>
        <w:t xml:space="preserve"> are taken into account, individuals’</w:t>
      </w:r>
      <w:r w:rsidR="003B02DE" w:rsidRPr="0001491C">
        <w:rPr>
          <w:rFonts w:ascii="Times New Roman" w:hAnsi="Times New Roman" w:cs="Times New Roman"/>
          <w:sz w:val="24"/>
          <w:szCs w:val="24"/>
        </w:rPr>
        <w:t xml:space="preserve"> </w:t>
      </w:r>
      <w:proofErr w:type="spellStart"/>
      <w:r w:rsidR="003B02DE" w:rsidRPr="0001491C">
        <w:rPr>
          <w:rFonts w:ascii="Times New Roman" w:hAnsi="Times New Roman" w:cs="Times New Roman"/>
          <w:sz w:val="24"/>
          <w:szCs w:val="24"/>
        </w:rPr>
        <w:t>annuitization</w:t>
      </w:r>
      <w:proofErr w:type="spellEnd"/>
      <w:r w:rsidR="003B02DE" w:rsidRPr="0001491C">
        <w:rPr>
          <w:rFonts w:ascii="Times New Roman" w:hAnsi="Times New Roman" w:cs="Times New Roman"/>
          <w:sz w:val="24"/>
          <w:szCs w:val="24"/>
        </w:rPr>
        <w:t xml:space="preserve"> </w:t>
      </w:r>
      <w:r w:rsidR="008F6E62" w:rsidRPr="0001491C">
        <w:rPr>
          <w:rFonts w:ascii="Times New Roman" w:hAnsi="Times New Roman" w:cs="Times New Roman"/>
          <w:sz w:val="24"/>
          <w:szCs w:val="24"/>
        </w:rPr>
        <w:t xml:space="preserve">becomes significantly low. </w:t>
      </w:r>
    </w:p>
    <w:p w14:paraId="35970B20" w14:textId="5F992E33" w:rsidR="0001491C" w:rsidRDefault="003C324D" w:rsidP="005954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retiree’s</w:t>
      </w:r>
      <w:r w:rsidR="00267FAE" w:rsidRPr="0001491C">
        <w:rPr>
          <w:rFonts w:ascii="Times New Roman" w:hAnsi="Times New Roman" w:cs="Times New Roman"/>
          <w:sz w:val="24"/>
          <w:szCs w:val="24"/>
        </w:rPr>
        <w:t xml:space="preserve"> opt</w:t>
      </w:r>
      <w:r>
        <w:rPr>
          <w:rFonts w:ascii="Times New Roman" w:hAnsi="Times New Roman" w:cs="Times New Roman"/>
          <w:sz w:val="24"/>
          <w:szCs w:val="24"/>
        </w:rPr>
        <w:t xml:space="preserve">imal purchase of LTC </w:t>
      </w:r>
      <w:r w:rsidR="00267FAE" w:rsidRPr="0001491C">
        <w:rPr>
          <w:rFonts w:ascii="Times New Roman" w:hAnsi="Times New Roman" w:cs="Times New Roman"/>
          <w:sz w:val="24"/>
          <w:szCs w:val="24"/>
        </w:rPr>
        <w:t xml:space="preserve">insurance </w:t>
      </w:r>
      <w:r w:rsidR="00C169DA" w:rsidRPr="0001491C">
        <w:rPr>
          <w:rFonts w:ascii="Times New Roman" w:hAnsi="Times New Roman" w:cs="Times New Roman"/>
          <w:sz w:val="24"/>
          <w:szCs w:val="24"/>
        </w:rPr>
        <w:t>varies significantly across cohorts and health states. As shown in Figure 1, compared with healthy</w:t>
      </w:r>
      <w:r w:rsidR="00AB41C7" w:rsidRPr="0001491C">
        <w:rPr>
          <w:rFonts w:ascii="Times New Roman" w:hAnsi="Times New Roman" w:cs="Times New Roman"/>
          <w:sz w:val="24"/>
          <w:szCs w:val="24"/>
        </w:rPr>
        <w:t xml:space="preserve"> male</w:t>
      </w:r>
      <w:r w:rsidR="00C169DA" w:rsidRPr="0001491C">
        <w:rPr>
          <w:rFonts w:ascii="Times New Roman" w:hAnsi="Times New Roman" w:cs="Times New Roman"/>
          <w:sz w:val="24"/>
          <w:szCs w:val="24"/>
        </w:rPr>
        <w:t xml:space="preserve"> retirees, the unhealthy </w:t>
      </w:r>
      <w:r w:rsidR="00AB41C7" w:rsidRPr="0001491C">
        <w:rPr>
          <w:rFonts w:ascii="Times New Roman" w:hAnsi="Times New Roman" w:cs="Times New Roman"/>
          <w:sz w:val="24"/>
          <w:szCs w:val="24"/>
        </w:rPr>
        <w:t xml:space="preserve">male </w:t>
      </w:r>
      <w:r w:rsidR="00C169DA" w:rsidRPr="0001491C">
        <w:rPr>
          <w:rFonts w:ascii="Times New Roman" w:hAnsi="Times New Roman" w:cs="Times New Roman"/>
          <w:sz w:val="24"/>
          <w:szCs w:val="24"/>
        </w:rPr>
        <w:t xml:space="preserve">retirees, whatever the older cohort (cohort 1) or the younger cohort (cohort 4), always prefer to purchase more </w:t>
      </w:r>
      <w:r>
        <w:rPr>
          <w:rFonts w:ascii="Times New Roman" w:hAnsi="Times New Roman" w:cs="Times New Roman"/>
          <w:sz w:val="24"/>
          <w:szCs w:val="24"/>
        </w:rPr>
        <w:t xml:space="preserve">LTC </w:t>
      </w:r>
      <w:r w:rsidR="00C169DA" w:rsidRPr="0001491C">
        <w:rPr>
          <w:rFonts w:ascii="Times New Roman" w:hAnsi="Times New Roman" w:cs="Times New Roman"/>
          <w:sz w:val="24"/>
          <w:szCs w:val="24"/>
        </w:rPr>
        <w:t xml:space="preserve">insurance. When retirees are healthy, the </w:t>
      </w:r>
      <w:r w:rsidR="00572915" w:rsidRPr="0001491C">
        <w:rPr>
          <w:rFonts w:ascii="Times New Roman" w:hAnsi="Times New Roman" w:cs="Times New Roman"/>
          <w:sz w:val="24"/>
          <w:szCs w:val="24"/>
        </w:rPr>
        <w:t>younger</w:t>
      </w:r>
      <w:r w:rsidR="00C169DA" w:rsidRPr="0001491C">
        <w:rPr>
          <w:rFonts w:ascii="Times New Roman" w:hAnsi="Times New Roman" w:cs="Times New Roman"/>
          <w:sz w:val="24"/>
          <w:szCs w:val="24"/>
        </w:rPr>
        <w:t xml:space="preserve"> cohort has </w:t>
      </w:r>
      <w:r w:rsidR="00572915" w:rsidRPr="0001491C">
        <w:rPr>
          <w:rFonts w:ascii="Times New Roman" w:hAnsi="Times New Roman" w:cs="Times New Roman"/>
          <w:sz w:val="24"/>
          <w:szCs w:val="24"/>
        </w:rPr>
        <w:t>less</w:t>
      </w:r>
      <w:r w:rsidR="00C169DA" w:rsidRPr="0001491C">
        <w:rPr>
          <w:rFonts w:ascii="Times New Roman" w:hAnsi="Times New Roman" w:cs="Times New Roman"/>
          <w:sz w:val="24"/>
          <w:szCs w:val="24"/>
        </w:rPr>
        <w:t xml:space="preserve"> demand </w:t>
      </w:r>
      <w:r>
        <w:rPr>
          <w:rFonts w:ascii="Times New Roman" w:hAnsi="Times New Roman" w:cs="Times New Roman"/>
          <w:sz w:val="24"/>
          <w:szCs w:val="24"/>
        </w:rPr>
        <w:t xml:space="preserve">on LTC insurance </w:t>
      </w:r>
      <w:r w:rsidR="00C169DA" w:rsidRPr="0001491C">
        <w:rPr>
          <w:rFonts w:ascii="Times New Roman" w:hAnsi="Times New Roman" w:cs="Times New Roman"/>
          <w:sz w:val="24"/>
          <w:szCs w:val="24"/>
        </w:rPr>
        <w:t xml:space="preserve">than the </w:t>
      </w:r>
      <w:r w:rsidR="00572915" w:rsidRPr="0001491C">
        <w:rPr>
          <w:rFonts w:ascii="Times New Roman" w:hAnsi="Times New Roman" w:cs="Times New Roman"/>
          <w:sz w:val="24"/>
          <w:szCs w:val="24"/>
        </w:rPr>
        <w:t>older</w:t>
      </w:r>
      <w:r>
        <w:rPr>
          <w:rFonts w:ascii="Times New Roman" w:hAnsi="Times New Roman" w:cs="Times New Roman"/>
          <w:sz w:val="24"/>
          <w:szCs w:val="24"/>
        </w:rPr>
        <w:t xml:space="preserve"> ones; </w:t>
      </w:r>
      <w:r w:rsidRPr="0001491C">
        <w:rPr>
          <w:rFonts w:ascii="Times New Roman" w:hAnsi="Times New Roman" w:cs="Times New Roman"/>
          <w:sz w:val="24"/>
          <w:szCs w:val="24"/>
        </w:rPr>
        <w:t>when they are unhealthy</w:t>
      </w:r>
      <w:r>
        <w:rPr>
          <w:rFonts w:ascii="Times New Roman" w:hAnsi="Times New Roman" w:cs="Times New Roman"/>
          <w:sz w:val="24"/>
          <w:szCs w:val="24"/>
        </w:rPr>
        <w:t xml:space="preserve">, </w:t>
      </w:r>
      <w:r w:rsidR="00C169DA" w:rsidRPr="0001491C">
        <w:rPr>
          <w:rFonts w:ascii="Times New Roman" w:hAnsi="Times New Roman" w:cs="Times New Roman"/>
          <w:sz w:val="24"/>
          <w:szCs w:val="24"/>
        </w:rPr>
        <w:t xml:space="preserve">the </w:t>
      </w:r>
      <w:r w:rsidR="00572915" w:rsidRPr="0001491C">
        <w:rPr>
          <w:rFonts w:ascii="Times New Roman" w:hAnsi="Times New Roman" w:cs="Times New Roman"/>
          <w:sz w:val="24"/>
          <w:szCs w:val="24"/>
        </w:rPr>
        <w:t xml:space="preserve">younger </w:t>
      </w:r>
      <w:r w:rsidR="00C169DA" w:rsidRPr="0001491C">
        <w:rPr>
          <w:rFonts w:ascii="Times New Roman" w:hAnsi="Times New Roman" w:cs="Times New Roman"/>
          <w:sz w:val="24"/>
          <w:szCs w:val="24"/>
        </w:rPr>
        <w:t xml:space="preserve">cohort has larger demand than the </w:t>
      </w:r>
      <w:r w:rsidR="00572915" w:rsidRPr="0001491C">
        <w:rPr>
          <w:rFonts w:ascii="Times New Roman" w:hAnsi="Times New Roman" w:cs="Times New Roman"/>
          <w:sz w:val="24"/>
          <w:szCs w:val="24"/>
        </w:rPr>
        <w:t>older</w:t>
      </w:r>
      <w:r w:rsidR="00C169DA" w:rsidRPr="0001491C">
        <w:rPr>
          <w:rFonts w:ascii="Times New Roman" w:hAnsi="Times New Roman" w:cs="Times New Roman"/>
          <w:sz w:val="24"/>
          <w:szCs w:val="24"/>
        </w:rPr>
        <w:t xml:space="preserve"> one</w:t>
      </w:r>
      <w:r>
        <w:rPr>
          <w:rFonts w:ascii="Times New Roman" w:hAnsi="Times New Roman" w:cs="Times New Roman"/>
          <w:sz w:val="24"/>
          <w:szCs w:val="24"/>
        </w:rPr>
        <w:t xml:space="preserve">s because younger cohorts’ premiums are lower. </w:t>
      </w:r>
      <w:r w:rsidR="00572915" w:rsidRPr="0001491C">
        <w:rPr>
          <w:rFonts w:ascii="Times New Roman" w:hAnsi="Times New Roman" w:cs="Times New Roman"/>
          <w:sz w:val="24"/>
          <w:szCs w:val="24"/>
        </w:rPr>
        <w:t>As we have shown</w:t>
      </w:r>
      <w:r w:rsidR="00CC3C83" w:rsidRPr="0001491C">
        <w:rPr>
          <w:rFonts w:ascii="Times New Roman" w:hAnsi="Times New Roman" w:cs="Times New Roman"/>
          <w:sz w:val="24"/>
          <w:szCs w:val="24"/>
        </w:rPr>
        <w:t xml:space="preserve"> in Table 1</w:t>
      </w:r>
      <w:r w:rsidR="00572915" w:rsidRPr="0001491C">
        <w:rPr>
          <w:rFonts w:ascii="Times New Roman" w:hAnsi="Times New Roman" w:cs="Times New Roman"/>
          <w:sz w:val="24"/>
          <w:szCs w:val="24"/>
        </w:rPr>
        <w:t xml:space="preserve">, the younger </w:t>
      </w:r>
      <w:r w:rsidR="00CC3C83" w:rsidRPr="0001491C">
        <w:rPr>
          <w:rFonts w:ascii="Times New Roman" w:hAnsi="Times New Roman" w:cs="Times New Roman"/>
          <w:sz w:val="24"/>
          <w:szCs w:val="24"/>
        </w:rPr>
        <w:t xml:space="preserve">male </w:t>
      </w:r>
      <w:r w:rsidR="00572915" w:rsidRPr="0001491C">
        <w:rPr>
          <w:rFonts w:ascii="Times New Roman" w:hAnsi="Times New Roman" w:cs="Times New Roman"/>
          <w:sz w:val="24"/>
          <w:szCs w:val="24"/>
        </w:rPr>
        <w:t xml:space="preserve">cohort has </w:t>
      </w:r>
      <w:r w:rsidR="00341138" w:rsidRPr="0001491C">
        <w:rPr>
          <w:rFonts w:ascii="Times New Roman" w:hAnsi="Times New Roman" w:cs="Times New Roman"/>
          <w:sz w:val="24"/>
          <w:szCs w:val="24"/>
        </w:rPr>
        <w:t xml:space="preserve">longer </w:t>
      </w:r>
      <w:r w:rsidR="00AB41C7" w:rsidRPr="0001491C">
        <w:rPr>
          <w:rFonts w:ascii="Times New Roman" w:hAnsi="Times New Roman" w:cs="Times New Roman"/>
          <w:sz w:val="24"/>
          <w:szCs w:val="24"/>
        </w:rPr>
        <w:t xml:space="preserve">life </w:t>
      </w:r>
      <w:r w:rsidR="00341138" w:rsidRPr="0001491C">
        <w:rPr>
          <w:rFonts w:ascii="Times New Roman" w:hAnsi="Times New Roman" w:cs="Times New Roman"/>
          <w:sz w:val="24"/>
          <w:szCs w:val="24"/>
        </w:rPr>
        <w:t xml:space="preserve">expectancy in both </w:t>
      </w:r>
      <w:r w:rsidR="004F2C7E" w:rsidRPr="0001491C">
        <w:rPr>
          <w:rFonts w:ascii="Times New Roman" w:hAnsi="Times New Roman" w:cs="Times New Roman"/>
          <w:sz w:val="24"/>
          <w:szCs w:val="24"/>
        </w:rPr>
        <w:t xml:space="preserve">good health </w:t>
      </w:r>
      <w:r w:rsidR="00341138" w:rsidRPr="0001491C">
        <w:rPr>
          <w:rFonts w:ascii="Times New Roman" w:hAnsi="Times New Roman" w:cs="Times New Roman"/>
          <w:sz w:val="24"/>
          <w:szCs w:val="24"/>
        </w:rPr>
        <w:t xml:space="preserve">and </w:t>
      </w:r>
      <w:r w:rsidR="004F2C7E" w:rsidRPr="0001491C">
        <w:rPr>
          <w:rFonts w:ascii="Times New Roman" w:hAnsi="Times New Roman" w:cs="Times New Roman"/>
          <w:sz w:val="24"/>
          <w:szCs w:val="24"/>
        </w:rPr>
        <w:t>poor health</w:t>
      </w:r>
      <w:r w:rsidR="00341138" w:rsidRPr="0001491C">
        <w:rPr>
          <w:rFonts w:ascii="Times New Roman" w:hAnsi="Times New Roman" w:cs="Times New Roman"/>
          <w:sz w:val="24"/>
          <w:szCs w:val="24"/>
        </w:rPr>
        <w:t xml:space="preserve"> than the older one, and the younger</w:t>
      </w:r>
      <w:r w:rsidR="00AB41C7" w:rsidRPr="0001491C">
        <w:rPr>
          <w:rFonts w:ascii="Times New Roman" w:hAnsi="Times New Roman" w:cs="Times New Roman"/>
          <w:sz w:val="24"/>
          <w:szCs w:val="24"/>
        </w:rPr>
        <w:t>’s life</w:t>
      </w:r>
      <w:r w:rsidR="00341138" w:rsidRPr="0001491C">
        <w:rPr>
          <w:rFonts w:ascii="Times New Roman" w:hAnsi="Times New Roman" w:cs="Times New Roman"/>
          <w:sz w:val="24"/>
          <w:szCs w:val="24"/>
        </w:rPr>
        <w:t xml:space="preserve"> expectancy in </w:t>
      </w:r>
      <w:r w:rsidR="004F2C7E" w:rsidRPr="0001491C">
        <w:rPr>
          <w:rFonts w:ascii="Times New Roman" w:hAnsi="Times New Roman" w:cs="Times New Roman"/>
          <w:sz w:val="24"/>
          <w:szCs w:val="24"/>
        </w:rPr>
        <w:t xml:space="preserve">good </w:t>
      </w:r>
      <w:r w:rsidR="00341138" w:rsidRPr="0001491C">
        <w:rPr>
          <w:rFonts w:ascii="Times New Roman" w:hAnsi="Times New Roman" w:cs="Times New Roman"/>
          <w:sz w:val="24"/>
          <w:szCs w:val="24"/>
        </w:rPr>
        <w:t xml:space="preserve">health is relatively larger. As a result, healthy younger cohort expects to live </w:t>
      </w:r>
      <w:r w:rsidR="004F2C7E" w:rsidRPr="0001491C">
        <w:rPr>
          <w:rFonts w:ascii="Times New Roman" w:hAnsi="Times New Roman" w:cs="Times New Roman"/>
          <w:sz w:val="24"/>
          <w:szCs w:val="24"/>
        </w:rPr>
        <w:t xml:space="preserve">longer in good </w:t>
      </w:r>
      <w:r w:rsidR="00341138" w:rsidRPr="0001491C">
        <w:rPr>
          <w:rFonts w:ascii="Times New Roman" w:hAnsi="Times New Roman" w:cs="Times New Roman"/>
          <w:sz w:val="24"/>
          <w:szCs w:val="24"/>
        </w:rPr>
        <w:t xml:space="preserve">health than the older cohort and thus has a lower willingness to purchase </w:t>
      </w:r>
      <w:r>
        <w:rPr>
          <w:rFonts w:ascii="Times New Roman" w:hAnsi="Times New Roman" w:cs="Times New Roman"/>
          <w:sz w:val="24"/>
          <w:szCs w:val="24"/>
        </w:rPr>
        <w:t xml:space="preserve">LTC </w:t>
      </w:r>
      <w:r w:rsidR="00341138" w:rsidRPr="0001491C">
        <w:rPr>
          <w:rFonts w:ascii="Times New Roman" w:hAnsi="Times New Roman" w:cs="Times New Roman"/>
          <w:sz w:val="24"/>
          <w:szCs w:val="24"/>
        </w:rPr>
        <w:t xml:space="preserve">insurance. In contrast, unhealthy younger cohort expects to live longer </w:t>
      </w:r>
      <w:r w:rsidR="004F2C7E" w:rsidRPr="0001491C">
        <w:rPr>
          <w:rFonts w:ascii="Times New Roman" w:hAnsi="Times New Roman" w:cs="Times New Roman"/>
          <w:sz w:val="24"/>
          <w:szCs w:val="24"/>
        </w:rPr>
        <w:t xml:space="preserve">in poor </w:t>
      </w:r>
      <w:r w:rsidR="00341138" w:rsidRPr="0001491C">
        <w:rPr>
          <w:rFonts w:ascii="Times New Roman" w:hAnsi="Times New Roman" w:cs="Times New Roman"/>
          <w:sz w:val="24"/>
          <w:szCs w:val="24"/>
        </w:rPr>
        <w:t>health than the older cohort a</w:t>
      </w:r>
      <w:r>
        <w:rPr>
          <w:rFonts w:ascii="Times New Roman" w:hAnsi="Times New Roman" w:cs="Times New Roman"/>
          <w:sz w:val="24"/>
          <w:szCs w:val="24"/>
        </w:rPr>
        <w:t>nd thus has a higher demand on LTC</w:t>
      </w:r>
      <w:r w:rsidR="00341138" w:rsidRPr="0001491C">
        <w:rPr>
          <w:rFonts w:ascii="Times New Roman" w:hAnsi="Times New Roman" w:cs="Times New Roman"/>
          <w:sz w:val="24"/>
          <w:szCs w:val="24"/>
        </w:rPr>
        <w:t xml:space="preserve"> insurance.</w:t>
      </w:r>
      <w:r w:rsidR="00C169DA" w:rsidRPr="0001491C">
        <w:rPr>
          <w:rFonts w:ascii="Times New Roman" w:hAnsi="Times New Roman" w:cs="Times New Roman"/>
          <w:sz w:val="24"/>
          <w:szCs w:val="24"/>
        </w:rPr>
        <w:t xml:space="preserve"> </w:t>
      </w:r>
    </w:p>
    <w:p w14:paraId="3B678BC7" w14:textId="49F35CBA" w:rsidR="008F6E62" w:rsidRPr="0001491C" w:rsidRDefault="0001491C" w:rsidP="0001491C">
      <w:pPr>
        <w:spacing w:after="0" w:line="480" w:lineRule="auto"/>
        <w:jc w:val="both"/>
        <w:rPr>
          <w:rFonts w:ascii="Times New Roman" w:hAnsi="Times New Roman" w:cs="Times New Roman"/>
          <w:b/>
          <w:sz w:val="20"/>
          <w:szCs w:val="20"/>
        </w:rPr>
      </w:pPr>
      <w:proofErr w:type="gramStart"/>
      <w:r w:rsidRPr="0001491C">
        <w:rPr>
          <w:rFonts w:ascii="Times New Roman" w:hAnsi="Times New Roman" w:cs="Times New Roman"/>
          <w:b/>
          <w:sz w:val="20"/>
          <w:szCs w:val="20"/>
        </w:rPr>
        <w:t>Figure 1.</w:t>
      </w:r>
      <w:proofErr w:type="gramEnd"/>
      <w:r w:rsidRPr="0001491C">
        <w:rPr>
          <w:rFonts w:ascii="Times New Roman" w:hAnsi="Times New Roman" w:cs="Times New Roman"/>
          <w:b/>
          <w:sz w:val="20"/>
          <w:szCs w:val="20"/>
        </w:rPr>
        <w:t xml:space="preserve"> Male retirees’ optimal purchase of long-term care insurance</w:t>
      </w:r>
    </w:p>
    <w:p w14:paraId="17CB8441" w14:textId="77777777" w:rsidR="005954EB" w:rsidRDefault="00A45228" w:rsidP="005954EB">
      <w:pPr>
        <w:spacing w:after="0" w:line="480" w:lineRule="auto"/>
        <w:jc w:val="center"/>
        <w:rPr>
          <w:rFonts w:ascii="Times New Roman" w:hAnsi="Times New Roman" w:cs="Times New Roman"/>
          <w:sz w:val="24"/>
          <w:szCs w:val="24"/>
        </w:rPr>
      </w:pPr>
      <w:r w:rsidRPr="0001491C">
        <w:rPr>
          <w:rFonts w:ascii="Times New Roman" w:hAnsi="Times New Roman" w:cs="Times New Roman"/>
          <w:noProof/>
          <w:sz w:val="24"/>
          <w:szCs w:val="24"/>
          <w:lang w:eastAsia="en-US"/>
        </w:rPr>
        <w:drawing>
          <wp:inline distT="0" distB="0" distL="0" distR="0" wp14:anchorId="75B32DE5" wp14:editId="75F4AA18">
            <wp:extent cx="3327400" cy="2253698"/>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328537" cy="2254468"/>
                    </a:xfrm>
                    <a:prstGeom prst="rect">
                      <a:avLst/>
                    </a:prstGeom>
                  </pic:spPr>
                </pic:pic>
              </a:graphicData>
            </a:graphic>
          </wp:inline>
        </w:drawing>
      </w:r>
    </w:p>
    <w:p w14:paraId="77A89172" w14:textId="128E5171" w:rsidR="004A1161" w:rsidRPr="005954EB" w:rsidRDefault="004A1161" w:rsidP="005954EB">
      <w:pPr>
        <w:spacing w:after="0" w:line="480" w:lineRule="auto"/>
        <w:rPr>
          <w:rFonts w:ascii="Times New Roman" w:hAnsi="Times New Roman" w:cs="Times New Roman"/>
          <w:sz w:val="24"/>
          <w:szCs w:val="24"/>
        </w:rPr>
      </w:pPr>
      <w:r w:rsidRPr="0001491C">
        <w:rPr>
          <w:rFonts w:ascii="Times New Roman" w:hAnsi="Times New Roman" w:cs="Times New Roman"/>
          <w:b/>
          <w:sz w:val="24"/>
          <w:szCs w:val="24"/>
        </w:rPr>
        <w:t>4.3</w:t>
      </w:r>
      <w:r w:rsidR="003C324D">
        <w:rPr>
          <w:rFonts w:ascii="Times New Roman" w:hAnsi="Times New Roman" w:cs="Times New Roman"/>
          <w:b/>
          <w:sz w:val="24"/>
          <w:szCs w:val="24"/>
        </w:rPr>
        <w:t>.</w:t>
      </w:r>
      <w:r w:rsidRPr="0001491C">
        <w:rPr>
          <w:rFonts w:ascii="Times New Roman" w:hAnsi="Times New Roman" w:cs="Times New Roman"/>
          <w:b/>
          <w:sz w:val="24"/>
          <w:szCs w:val="24"/>
        </w:rPr>
        <w:t xml:space="preserve"> Optimal consumption and asset allocation</w:t>
      </w:r>
    </w:p>
    <w:p w14:paraId="18E0B296" w14:textId="7AF6D738" w:rsidR="00EF7F81" w:rsidRPr="0001491C" w:rsidRDefault="00EF7F81" w:rsidP="005954EB">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lastRenderedPageBreak/>
        <w:t xml:space="preserve">Retirees’ life-cycle optimal consumption and asset allocation path can also be obtained by numerical analysis. As an illustration, Figure 2 reports male retirees’ life-cycle optimal consumption and asset allocation path over age when their asset is </w:t>
      </w:r>
      <w:r w:rsidR="00C727A1" w:rsidRPr="0001491C">
        <w:rPr>
          <w:rFonts w:ascii="Times New Roman" w:hAnsi="Times New Roman" w:cs="Times New Roman"/>
          <w:sz w:val="24"/>
          <w:szCs w:val="24"/>
        </w:rPr>
        <w:t>$144,255</w:t>
      </w:r>
      <w:r w:rsidR="00367248" w:rsidRPr="0001491C">
        <w:rPr>
          <w:rFonts w:ascii="Times New Roman" w:hAnsi="Times New Roman" w:cs="Times New Roman"/>
          <w:sz w:val="24"/>
          <w:szCs w:val="24"/>
        </w:rPr>
        <w:t xml:space="preserve"> (the similar pattern occurs for other assets)</w:t>
      </w:r>
      <w:r w:rsidRPr="0001491C">
        <w:rPr>
          <w:rFonts w:ascii="Times New Roman" w:hAnsi="Times New Roman" w:cs="Times New Roman"/>
          <w:sz w:val="24"/>
          <w:szCs w:val="24"/>
        </w:rPr>
        <w:t>.</w:t>
      </w:r>
      <w:r w:rsidR="003C324D">
        <w:rPr>
          <w:rFonts w:ascii="Times New Roman" w:hAnsi="Times New Roman" w:cs="Times New Roman"/>
          <w:sz w:val="24"/>
          <w:szCs w:val="24"/>
        </w:rPr>
        <w:t xml:space="preserve"> Retir</w:t>
      </w:r>
      <w:r w:rsidR="00CC73E7" w:rsidRPr="0001491C">
        <w:rPr>
          <w:rFonts w:ascii="Times New Roman" w:hAnsi="Times New Roman" w:cs="Times New Roman"/>
          <w:sz w:val="24"/>
          <w:szCs w:val="24"/>
        </w:rPr>
        <w:t>ees’ consumption and asset allocation exhibits a reasonable pattern: with aging,</w:t>
      </w:r>
      <w:r w:rsidRPr="0001491C">
        <w:rPr>
          <w:rFonts w:ascii="Times New Roman" w:hAnsi="Times New Roman" w:cs="Times New Roman"/>
          <w:sz w:val="24"/>
          <w:szCs w:val="24"/>
        </w:rPr>
        <w:t xml:space="preserve"> </w:t>
      </w:r>
      <w:r w:rsidR="00CC73E7" w:rsidRPr="0001491C">
        <w:rPr>
          <w:rFonts w:ascii="Times New Roman" w:hAnsi="Times New Roman" w:cs="Times New Roman"/>
          <w:sz w:val="24"/>
          <w:szCs w:val="24"/>
        </w:rPr>
        <w:t xml:space="preserve">they consume more and allocate less risky asset. </w:t>
      </w:r>
      <w:r w:rsidR="002D5BBD" w:rsidRPr="0001491C">
        <w:rPr>
          <w:rFonts w:ascii="Times New Roman" w:hAnsi="Times New Roman" w:cs="Times New Roman"/>
          <w:sz w:val="24"/>
          <w:szCs w:val="24"/>
        </w:rPr>
        <w:t>The healthy younger cohort (cohort1) consume less but allocate higher risky asset than the healthy older cohort (cohort1)</w:t>
      </w:r>
      <w:r w:rsidR="00CC73E7" w:rsidRPr="0001491C">
        <w:rPr>
          <w:rFonts w:ascii="Times New Roman" w:hAnsi="Times New Roman" w:cs="Times New Roman"/>
          <w:sz w:val="24"/>
          <w:szCs w:val="24"/>
        </w:rPr>
        <w:t>, re</w:t>
      </w:r>
      <w:r w:rsidR="00367248" w:rsidRPr="0001491C">
        <w:rPr>
          <w:rFonts w:ascii="Times New Roman" w:hAnsi="Times New Roman" w:cs="Times New Roman"/>
          <w:sz w:val="24"/>
          <w:szCs w:val="24"/>
        </w:rPr>
        <w:t>f</w:t>
      </w:r>
      <w:r w:rsidR="00CC73E7" w:rsidRPr="0001491C">
        <w:rPr>
          <w:rFonts w:ascii="Times New Roman" w:hAnsi="Times New Roman" w:cs="Times New Roman"/>
          <w:sz w:val="24"/>
          <w:szCs w:val="24"/>
        </w:rPr>
        <w:t>lecting the fact that the younger cohort has a longer life expectancy</w:t>
      </w:r>
      <w:r w:rsidR="00367248" w:rsidRPr="0001491C">
        <w:rPr>
          <w:rFonts w:ascii="Times New Roman" w:hAnsi="Times New Roman" w:cs="Times New Roman"/>
          <w:sz w:val="24"/>
          <w:szCs w:val="24"/>
        </w:rPr>
        <w:t xml:space="preserve"> in good health</w:t>
      </w:r>
      <w:r w:rsidR="00CC73E7" w:rsidRPr="0001491C">
        <w:rPr>
          <w:rFonts w:ascii="Times New Roman" w:hAnsi="Times New Roman" w:cs="Times New Roman"/>
          <w:sz w:val="24"/>
          <w:szCs w:val="24"/>
        </w:rPr>
        <w:t xml:space="preserve"> than the older one. In contrast, </w:t>
      </w:r>
      <w:r w:rsidR="003B02DE" w:rsidRPr="003C324D">
        <w:rPr>
          <w:rFonts w:ascii="Times New Roman" w:hAnsi="Times New Roman" w:cs="Times New Roman"/>
          <w:sz w:val="24"/>
          <w:szCs w:val="24"/>
        </w:rPr>
        <w:t>t</w:t>
      </w:r>
      <w:r w:rsidR="00CC73E7" w:rsidRPr="003C324D">
        <w:rPr>
          <w:rFonts w:ascii="Times New Roman" w:hAnsi="Times New Roman" w:cs="Times New Roman"/>
          <w:sz w:val="24"/>
          <w:szCs w:val="24"/>
        </w:rPr>
        <w:t>he unhealthy younger cohort’</w:t>
      </w:r>
      <w:r w:rsidR="003B02DE" w:rsidRPr="003C324D">
        <w:rPr>
          <w:rFonts w:ascii="Times New Roman" w:hAnsi="Times New Roman" w:cs="Times New Roman"/>
          <w:sz w:val="24"/>
          <w:szCs w:val="24"/>
        </w:rPr>
        <w:t xml:space="preserve">s </w:t>
      </w:r>
      <w:r w:rsidR="00CC73E7" w:rsidRPr="003C324D">
        <w:rPr>
          <w:rFonts w:ascii="Times New Roman" w:hAnsi="Times New Roman" w:cs="Times New Roman"/>
          <w:sz w:val="24"/>
          <w:szCs w:val="24"/>
        </w:rPr>
        <w:t xml:space="preserve">consumption </w:t>
      </w:r>
      <w:r w:rsidR="003B02DE" w:rsidRPr="003C324D">
        <w:rPr>
          <w:rFonts w:ascii="Times New Roman" w:hAnsi="Times New Roman" w:cs="Times New Roman"/>
          <w:sz w:val="24"/>
          <w:szCs w:val="24"/>
        </w:rPr>
        <w:t xml:space="preserve">and risky asset proportion </w:t>
      </w:r>
      <w:r w:rsidR="001B422C" w:rsidRPr="003C324D">
        <w:rPr>
          <w:rFonts w:ascii="Times New Roman" w:hAnsi="Times New Roman" w:cs="Times New Roman"/>
          <w:sz w:val="24"/>
          <w:szCs w:val="24"/>
        </w:rPr>
        <w:t xml:space="preserve">are </w:t>
      </w:r>
      <w:r w:rsidR="00CC73E7" w:rsidRPr="003C324D">
        <w:rPr>
          <w:rFonts w:ascii="Times New Roman" w:hAnsi="Times New Roman" w:cs="Times New Roman"/>
          <w:sz w:val="24"/>
          <w:szCs w:val="24"/>
        </w:rPr>
        <w:t>close to th</w:t>
      </w:r>
      <w:r w:rsidR="001B422C" w:rsidRPr="003C324D">
        <w:rPr>
          <w:rFonts w:ascii="Times New Roman" w:hAnsi="Times New Roman" w:cs="Times New Roman"/>
          <w:sz w:val="24"/>
          <w:szCs w:val="24"/>
        </w:rPr>
        <w:t>ose</w:t>
      </w:r>
      <w:r w:rsidR="00CC73E7" w:rsidRPr="003C324D">
        <w:rPr>
          <w:rFonts w:ascii="Times New Roman" w:hAnsi="Times New Roman" w:cs="Times New Roman"/>
          <w:sz w:val="24"/>
          <w:szCs w:val="24"/>
        </w:rPr>
        <w:t xml:space="preserve"> of the unhealthy older cohort, </w:t>
      </w:r>
      <w:r w:rsidR="001B422C" w:rsidRPr="003C324D">
        <w:rPr>
          <w:rFonts w:ascii="Times New Roman" w:hAnsi="Times New Roman" w:cs="Times New Roman"/>
          <w:sz w:val="24"/>
          <w:szCs w:val="24"/>
        </w:rPr>
        <w:t>reflecting the trade-off</w:t>
      </w:r>
      <w:r w:rsidR="00AD4C08" w:rsidRPr="003C324D">
        <w:rPr>
          <w:rFonts w:ascii="Times New Roman" w:hAnsi="Times New Roman" w:cs="Times New Roman"/>
          <w:sz w:val="24"/>
          <w:szCs w:val="24"/>
        </w:rPr>
        <w:t xml:space="preserve"> that the younger cohort has a longer life expectancy in </w:t>
      </w:r>
      <w:r w:rsidR="001B422C" w:rsidRPr="003C324D">
        <w:rPr>
          <w:rFonts w:ascii="Times New Roman" w:hAnsi="Times New Roman" w:cs="Times New Roman"/>
          <w:sz w:val="24"/>
          <w:szCs w:val="24"/>
        </w:rPr>
        <w:t xml:space="preserve">both </w:t>
      </w:r>
      <w:r w:rsidR="00AD4C08" w:rsidRPr="003C324D">
        <w:rPr>
          <w:rFonts w:ascii="Times New Roman" w:hAnsi="Times New Roman" w:cs="Times New Roman"/>
          <w:sz w:val="24"/>
          <w:szCs w:val="24"/>
        </w:rPr>
        <w:t xml:space="preserve">poor health </w:t>
      </w:r>
      <w:r w:rsidR="001B422C" w:rsidRPr="003C324D">
        <w:rPr>
          <w:rFonts w:ascii="Times New Roman" w:hAnsi="Times New Roman" w:cs="Times New Roman"/>
          <w:sz w:val="24"/>
          <w:szCs w:val="24"/>
        </w:rPr>
        <w:t xml:space="preserve">and good health </w:t>
      </w:r>
      <w:r w:rsidR="00AD4C08" w:rsidRPr="003C324D">
        <w:rPr>
          <w:rFonts w:ascii="Times New Roman" w:hAnsi="Times New Roman" w:cs="Times New Roman"/>
          <w:sz w:val="24"/>
          <w:szCs w:val="24"/>
        </w:rPr>
        <w:t>than the older one.</w:t>
      </w:r>
    </w:p>
    <w:p w14:paraId="40E572C5" w14:textId="77777777" w:rsidR="0001491C" w:rsidRDefault="00EF7F81" w:rsidP="005954EB">
      <w:pPr>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Figure 3</w:t>
      </w:r>
      <w:r w:rsidR="00E17A88" w:rsidRPr="0001491C">
        <w:rPr>
          <w:rFonts w:ascii="Times New Roman" w:hAnsi="Times New Roman" w:cs="Times New Roman"/>
          <w:sz w:val="24"/>
          <w:szCs w:val="24"/>
        </w:rPr>
        <w:t xml:space="preserve"> </w:t>
      </w:r>
      <w:r w:rsidR="00367248" w:rsidRPr="0001491C">
        <w:rPr>
          <w:rFonts w:ascii="Times New Roman" w:hAnsi="Times New Roman" w:cs="Times New Roman"/>
          <w:sz w:val="24"/>
          <w:szCs w:val="24"/>
        </w:rPr>
        <w:t xml:space="preserve">reports </w:t>
      </w:r>
      <w:r w:rsidR="00E17A88" w:rsidRPr="0001491C">
        <w:rPr>
          <w:rFonts w:ascii="Times New Roman" w:hAnsi="Times New Roman" w:cs="Times New Roman"/>
          <w:sz w:val="24"/>
          <w:szCs w:val="24"/>
        </w:rPr>
        <w:t>optimal consumption and asset allocation path for male retirees aged 80.</w:t>
      </w:r>
      <w:r w:rsidR="009F689D" w:rsidRPr="0001491C">
        <w:rPr>
          <w:rFonts w:ascii="Times New Roman" w:hAnsi="Times New Roman" w:cs="Times New Roman"/>
          <w:sz w:val="24"/>
          <w:szCs w:val="24"/>
        </w:rPr>
        <w:t xml:space="preserve"> With their asset increases, healthy retires’ consumption ratio increases slightly whereas unhealthy ones’ consumption ratio decreases significantly. The asset allocation exhibits different pattern as asset increases: both healthy and unhealthy retirees’ risky asset proportion decreases. The comparison between the younger cohort and the older cohort exhibits the same pattern as shown in Figure 2. </w:t>
      </w:r>
    </w:p>
    <w:p w14:paraId="7F2FD4D1" w14:textId="0F4B7ADB" w:rsidR="00324766" w:rsidRPr="0001491C" w:rsidRDefault="0001491C" w:rsidP="0001491C">
      <w:pPr>
        <w:spacing w:after="0" w:line="480" w:lineRule="auto"/>
        <w:jc w:val="both"/>
        <w:rPr>
          <w:rFonts w:ascii="Times New Roman" w:hAnsi="Times New Roman" w:cs="Times New Roman"/>
          <w:b/>
          <w:sz w:val="20"/>
          <w:szCs w:val="20"/>
        </w:rPr>
      </w:pPr>
      <w:proofErr w:type="gramStart"/>
      <w:r>
        <w:rPr>
          <w:rFonts w:ascii="Times New Roman" w:hAnsi="Times New Roman" w:cs="Times New Roman"/>
          <w:b/>
          <w:sz w:val="20"/>
          <w:szCs w:val="20"/>
        </w:rPr>
        <w:t>Figure 2.</w:t>
      </w:r>
      <w:proofErr w:type="gramEnd"/>
      <w:r>
        <w:rPr>
          <w:rFonts w:ascii="Times New Roman" w:hAnsi="Times New Roman" w:cs="Times New Roman"/>
          <w:b/>
          <w:sz w:val="20"/>
          <w:szCs w:val="20"/>
        </w:rPr>
        <w:t xml:space="preserve"> </w:t>
      </w:r>
      <w:r w:rsidRPr="0001491C">
        <w:rPr>
          <w:rFonts w:ascii="Times New Roman" w:hAnsi="Times New Roman" w:cs="Times New Roman"/>
          <w:b/>
          <w:sz w:val="20"/>
          <w:szCs w:val="20"/>
        </w:rPr>
        <w:t>The optimal consumption and asset allocation over age for male with asset $144,255</w:t>
      </w:r>
    </w:p>
    <w:p w14:paraId="69045C32" w14:textId="77777777" w:rsidR="00374C0C" w:rsidRDefault="00DF2BCC" w:rsidP="0001491C">
      <w:pPr>
        <w:spacing w:after="0" w:line="480" w:lineRule="auto"/>
        <w:jc w:val="center"/>
        <w:rPr>
          <w:rFonts w:ascii="Times New Roman" w:hAnsi="Times New Roman" w:cs="Times New Roman"/>
          <w:sz w:val="24"/>
          <w:szCs w:val="24"/>
        </w:rPr>
      </w:pPr>
      <w:r w:rsidRPr="0001491C">
        <w:rPr>
          <w:rFonts w:ascii="Times New Roman" w:hAnsi="Times New Roman" w:cs="Times New Roman"/>
          <w:noProof/>
          <w:sz w:val="24"/>
          <w:szCs w:val="24"/>
          <w:lang w:eastAsia="en-US"/>
        </w:rPr>
        <w:lastRenderedPageBreak/>
        <w:drawing>
          <wp:inline distT="0" distB="0" distL="0" distR="0" wp14:anchorId="462E4DE2" wp14:editId="796EB7FB">
            <wp:extent cx="4095750" cy="199810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100614" cy="2000473"/>
                    </a:xfrm>
                    <a:prstGeom prst="rect">
                      <a:avLst/>
                    </a:prstGeom>
                  </pic:spPr>
                </pic:pic>
              </a:graphicData>
            </a:graphic>
          </wp:inline>
        </w:drawing>
      </w:r>
    </w:p>
    <w:p w14:paraId="2F4219D1" w14:textId="22B0FAF3" w:rsidR="0001491C" w:rsidRPr="0001491C" w:rsidRDefault="0001491C" w:rsidP="0001491C">
      <w:pPr>
        <w:spacing w:after="0" w:line="480" w:lineRule="auto"/>
        <w:jc w:val="both"/>
        <w:rPr>
          <w:rFonts w:ascii="Times New Roman" w:hAnsi="Times New Roman" w:cs="Times New Roman"/>
          <w:b/>
          <w:sz w:val="20"/>
          <w:szCs w:val="20"/>
        </w:rPr>
      </w:pPr>
      <w:proofErr w:type="gramStart"/>
      <w:r w:rsidRPr="0001491C">
        <w:rPr>
          <w:rFonts w:ascii="Times New Roman" w:hAnsi="Times New Roman" w:cs="Times New Roman"/>
          <w:b/>
          <w:sz w:val="20"/>
          <w:szCs w:val="20"/>
        </w:rPr>
        <w:t>Figure 3</w:t>
      </w:r>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r w:rsidRPr="0001491C">
        <w:rPr>
          <w:rFonts w:ascii="Times New Roman" w:hAnsi="Times New Roman" w:cs="Times New Roman"/>
          <w:b/>
          <w:sz w:val="20"/>
          <w:szCs w:val="20"/>
        </w:rPr>
        <w:t>The optimal consumption and asset allocation over asset for male aged 80</w:t>
      </w:r>
    </w:p>
    <w:p w14:paraId="49B90AED" w14:textId="77777777" w:rsidR="00374C0C" w:rsidRPr="0001491C" w:rsidRDefault="00071ADB" w:rsidP="0001491C">
      <w:pPr>
        <w:spacing w:after="0" w:line="480" w:lineRule="auto"/>
        <w:jc w:val="center"/>
        <w:rPr>
          <w:rFonts w:ascii="Times New Roman" w:hAnsi="Times New Roman" w:cs="Times New Roman"/>
          <w:sz w:val="24"/>
          <w:szCs w:val="24"/>
        </w:rPr>
      </w:pPr>
      <w:r w:rsidRPr="0001491C">
        <w:rPr>
          <w:rFonts w:ascii="Times New Roman" w:hAnsi="Times New Roman" w:cs="Times New Roman"/>
          <w:noProof/>
          <w:sz w:val="24"/>
          <w:szCs w:val="24"/>
          <w:lang w:eastAsia="en-US"/>
        </w:rPr>
        <w:drawing>
          <wp:inline distT="0" distB="0" distL="0" distR="0" wp14:anchorId="27951311" wp14:editId="1D0948D2">
            <wp:extent cx="4032250" cy="1967122"/>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038775" cy="1970305"/>
                    </a:xfrm>
                    <a:prstGeom prst="rect">
                      <a:avLst/>
                    </a:prstGeom>
                  </pic:spPr>
                </pic:pic>
              </a:graphicData>
            </a:graphic>
          </wp:inline>
        </w:drawing>
      </w:r>
    </w:p>
    <w:p w14:paraId="14D92D92" w14:textId="6353F0DE" w:rsidR="004B19DA" w:rsidRDefault="004B19DA" w:rsidP="004B19DA">
      <w:pPr>
        <w:spacing w:after="0" w:line="480" w:lineRule="auto"/>
        <w:rPr>
          <w:rFonts w:ascii="Times New Roman" w:hAnsi="Times New Roman" w:cs="Times New Roman"/>
          <w:b/>
          <w:sz w:val="24"/>
          <w:szCs w:val="24"/>
        </w:rPr>
      </w:pPr>
      <w:r w:rsidRPr="004B19DA">
        <w:rPr>
          <w:rFonts w:ascii="Times New Roman" w:hAnsi="Times New Roman" w:cs="Times New Roman"/>
          <w:b/>
          <w:sz w:val="24"/>
          <w:szCs w:val="24"/>
        </w:rPr>
        <w:t>5. Conclusion</w:t>
      </w:r>
    </w:p>
    <w:p w14:paraId="209AB7A1" w14:textId="7E82FE05" w:rsidR="004B19DA" w:rsidRDefault="004B19DA" w:rsidP="004B19DA">
      <w:pPr>
        <w:autoSpaceDE w:val="0"/>
        <w:autoSpaceDN w:val="0"/>
        <w:adjustRightInd w:val="0"/>
        <w:spacing w:after="0" w:line="480" w:lineRule="auto"/>
        <w:ind w:firstLine="720"/>
        <w:jc w:val="both"/>
        <w:rPr>
          <w:rFonts w:ascii="Times New Roman" w:hAnsi="Times New Roman" w:cs="Times New Roman"/>
          <w:sz w:val="24"/>
          <w:szCs w:val="24"/>
        </w:rPr>
      </w:pPr>
      <w:r w:rsidRPr="0001491C">
        <w:rPr>
          <w:rFonts w:ascii="Times New Roman" w:hAnsi="Times New Roman" w:cs="Times New Roman"/>
          <w:sz w:val="24"/>
          <w:szCs w:val="24"/>
        </w:rPr>
        <w:t>In this paper,</w:t>
      </w:r>
      <w:r w:rsidR="005C35BB">
        <w:rPr>
          <w:rFonts w:ascii="Times New Roman" w:hAnsi="Times New Roman" w:cs="Times New Roman"/>
          <w:sz w:val="24"/>
          <w:szCs w:val="24"/>
        </w:rPr>
        <w:t xml:space="preserve"> w</w:t>
      </w:r>
      <w:r>
        <w:rPr>
          <w:rFonts w:ascii="Times New Roman" w:hAnsi="Times New Roman" w:cs="Times New Roman"/>
          <w:sz w:val="24"/>
          <w:szCs w:val="24"/>
        </w:rPr>
        <w:t xml:space="preserve">e </w:t>
      </w:r>
      <w:r w:rsidRPr="0001491C">
        <w:rPr>
          <w:rFonts w:ascii="Times New Roman" w:hAnsi="Times New Roman" w:cs="Times New Roman"/>
          <w:sz w:val="24"/>
          <w:szCs w:val="24"/>
        </w:rPr>
        <w:t xml:space="preserve">develop a dynamic multistate transition model where the transition probabilities depend on age and calendar time. </w:t>
      </w:r>
      <w:r w:rsidR="005C35BB">
        <w:rPr>
          <w:rFonts w:ascii="Times New Roman" w:hAnsi="Times New Roman" w:cs="Times New Roman"/>
          <w:sz w:val="24"/>
          <w:szCs w:val="24"/>
        </w:rPr>
        <w:t xml:space="preserve">We </w:t>
      </w:r>
      <w:r>
        <w:rPr>
          <w:rFonts w:ascii="Times New Roman" w:hAnsi="Times New Roman" w:cs="Times New Roman"/>
          <w:sz w:val="24"/>
          <w:szCs w:val="24"/>
        </w:rPr>
        <w:t xml:space="preserve">estimate total life expectancy and life expectancy in an unhealthy state. We find that the younger </w:t>
      </w:r>
      <w:proofErr w:type="gramStart"/>
      <w:r>
        <w:rPr>
          <w:rFonts w:ascii="Times New Roman" w:hAnsi="Times New Roman" w:cs="Times New Roman"/>
          <w:sz w:val="24"/>
          <w:szCs w:val="24"/>
        </w:rPr>
        <w:t>cohort exhibit</w:t>
      </w:r>
      <w:proofErr w:type="gramEnd"/>
      <w:r>
        <w:rPr>
          <w:rFonts w:ascii="Times New Roman" w:hAnsi="Times New Roman" w:cs="Times New Roman"/>
          <w:sz w:val="24"/>
          <w:szCs w:val="24"/>
        </w:rPr>
        <w:t xml:space="preserve"> a larger life expectancy </w:t>
      </w:r>
      <w:r w:rsidR="005C35BB">
        <w:rPr>
          <w:rFonts w:ascii="Times New Roman" w:hAnsi="Times New Roman" w:cs="Times New Roman"/>
          <w:sz w:val="24"/>
          <w:szCs w:val="24"/>
        </w:rPr>
        <w:t xml:space="preserve">and that </w:t>
      </w:r>
      <w:r>
        <w:rPr>
          <w:rFonts w:ascii="Times New Roman" w:hAnsi="Times New Roman" w:cs="Times New Roman"/>
          <w:sz w:val="24"/>
          <w:szCs w:val="24"/>
        </w:rPr>
        <w:t>they spe</w:t>
      </w:r>
      <w:r w:rsidR="005C35BB">
        <w:rPr>
          <w:rFonts w:ascii="Times New Roman" w:hAnsi="Times New Roman" w:cs="Times New Roman"/>
          <w:sz w:val="24"/>
          <w:szCs w:val="24"/>
        </w:rPr>
        <w:t>nd relatively less time in an un</w:t>
      </w:r>
      <w:r>
        <w:rPr>
          <w:rFonts w:ascii="Times New Roman" w:hAnsi="Times New Roman" w:cs="Times New Roman"/>
          <w:sz w:val="24"/>
          <w:szCs w:val="24"/>
        </w:rPr>
        <w:t xml:space="preserve">healthy state. This result provides supporting evidence to compression of </w:t>
      </w:r>
      <w:r w:rsidR="005C35BB">
        <w:rPr>
          <w:rFonts w:ascii="Times New Roman" w:hAnsi="Times New Roman" w:cs="Times New Roman"/>
          <w:sz w:val="24"/>
          <w:szCs w:val="24"/>
        </w:rPr>
        <w:t xml:space="preserve">mobility. </w:t>
      </w:r>
    </w:p>
    <w:p w14:paraId="3459899F" w14:textId="77777777" w:rsidR="005C35BB" w:rsidRDefault="005C35BB" w:rsidP="005C35B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Pr="0001491C">
        <w:rPr>
          <w:rFonts w:ascii="Times New Roman" w:hAnsi="Times New Roman" w:cs="Times New Roman"/>
          <w:sz w:val="24"/>
          <w:szCs w:val="24"/>
        </w:rPr>
        <w:t xml:space="preserve">e </w:t>
      </w:r>
      <w:r>
        <w:rPr>
          <w:rFonts w:ascii="Times New Roman" w:hAnsi="Times New Roman" w:cs="Times New Roman"/>
          <w:sz w:val="24"/>
          <w:szCs w:val="24"/>
        </w:rPr>
        <w:t xml:space="preserve">then </w:t>
      </w:r>
      <w:r w:rsidRPr="0001491C">
        <w:rPr>
          <w:rFonts w:ascii="Times New Roman" w:hAnsi="Times New Roman" w:cs="Times New Roman"/>
          <w:sz w:val="24"/>
          <w:szCs w:val="24"/>
        </w:rPr>
        <w:t xml:space="preserve">use a life-cycle model to investigate how the health state transition process affects an individual’s demand for </w:t>
      </w:r>
      <w:r>
        <w:rPr>
          <w:rFonts w:ascii="Times New Roman" w:hAnsi="Times New Roman" w:cs="Times New Roman"/>
          <w:sz w:val="24"/>
          <w:szCs w:val="24"/>
        </w:rPr>
        <w:t>LTC</w:t>
      </w:r>
      <w:r w:rsidRPr="0001491C">
        <w:rPr>
          <w:rFonts w:ascii="Times New Roman" w:hAnsi="Times New Roman" w:cs="Times New Roman"/>
          <w:sz w:val="24"/>
          <w:szCs w:val="24"/>
        </w:rPr>
        <w:t xml:space="preserve"> insurance and life annuity, in addition to other standard investment p</w:t>
      </w:r>
      <w:r>
        <w:rPr>
          <w:rFonts w:ascii="Times New Roman" w:hAnsi="Times New Roman" w:cs="Times New Roman"/>
          <w:sz w:val="24"/>
          <w:szCs w:val="24"/>
        </w:rPr>
        <w:t xml:space="preserve">roducts. We find that an individual purchases zero </w:t>
      </w:r>
      <w:proofErr w:type="gramStart"/>
      <w:r>
        <w:rPr>
          <w:rFonts w:ascii="Times New Roman" w:hAnsi="Times New Roman" w:cs="Times New Roman"/>
          <w:sz w:val="24"/>
          <w:szCs w:val="24"/>
        </w:rPr>
        <w:t>annuity</w:t>
      </w:r>
      <w:proofErr w:type="gramEnd"/>
      <w:r>
        <w:rPr>
          <w:rFonts w:ascii="Times New Roman" w:hAnsi="Times New Roman" w:cs="Times New Roman"/>
          <w:sz w:val="24"/>
          <w:szCs w:val="24"/>
        </w:rPr>
        <w:t xml:space="preserve"> </w:t>
      </w:r>
      <w:r w:rsidRPr="0001491C">
        <w:rPr>
          <w:rFonts w:ascii="Times New Roman" w:hAnsi="Times New Roman" w:cs="Times New Roman"/>
          <w:sz w:val="24"/>
          <w:szCs w:val="24"/>
        </w:rPr>
        <w:t>when health dynamics and the resulting stochastic mortality a</w:t>
      </w:r>
      <w:r>
        <w:rPr>
          <w:rFonts w:ascii="Times New Roman" w:hAnsi="Times New Roman" w:cs="Times New Roman"/>
          <w:sz w:val="24"/>
          <w:szCs w:val="24"/>
        </w:rPr>
        <w:t xml:space="preserve">nd LTC costs are taken into </w:t>
      </w:r>
      <w:r>
        <w:rPr>
          <w:rFonts w:ascii="Times New Roman" w:hAnsi="Times New Roman" w:cs="Times New Roman"/>
          <w:sz w:val="24"/>
          <w:szCs w:val="24"/>
        </w:rPr>
        <w:lastRenderedPageBreak/>
        <w:t xml:space="preserve">account, consistent with the conclusions in </w:t>
      </w:r>
      <w:proofErr w:type="spellStart"/>
      <w:r w:rsidRPr="0001491C">
        <w:rPr>
          <w:rFonts w:ascii="Times New Roman" w:hAnsi="Times New Roman" w:cs="Times New Roman"/>
          <w:sz w:val="24"/>
          <w:szCs w:val="24"/>
        </w:rPr>
        <w:t>Reichling</w:t>
      </w:r>
      <w:proofErr w:type="spellEnd"/>
      <w:r w:rsidRPr="0001491C">
        <w:rPr>
          <w:rFonts w:ascii="Times New Roman" w:hAnsi="Times New Roman" w:cs="Times New Roman"/>
          <w:sz w:val="24"/>
          <w:szCs w:val="24"/>
        </w:rPr>
        <w:t xml:space="preserve"> and </w:t>
      </w:r>
      <w:proofErr w:type="spellStart"/>
      <w:r w:rsidRPr="0001491C">
        <w:rPr>
          <w:rFonts w:ascii="Times New Roman" w:hAnsi="Times New Roman" w:cs="Times New Roman"/>
          <w:sz w:val="24"/>
          <w:szCs w:val="24"/>
        </w:rPr>
        <w:t>Smetters</w:t>
      </w:r>
      <w:proofErr w:type="spellEnd"/>
      <w:r w:rsidRPr="0001491C">
        <w:rPr>
          <w:rFonts w:ascii="Times New Roman" w:hAnsi="Times New Roman" w:cs="Times New Roman"/>
          <w:sz w:val="24"/>
          <w:szCs w:val="24"/>
        </w:rPr>
        <w:t xml:space="preserve"> (2015</w:t>
      </w:r>
      <w:r>
        <w:rPr>
          <w:rFonts w:ascii="Times New Roman" w:hAnsi="Times New Roman" w:cs="Times New Roman"/>
          <w:sz w:val="24"/>
          <w:szCs w:val="24"/>
        </w:rPr>
        <w:t xml:space="preserve">). We also find that the optimal demand for LTC </w:t>
      </w:r>
      <w:r w:rsidRPr="0001491C">
        <w:rPr>
          <w:rFonts w:ascii="Times New Roman" w:hAnsi="Times New Roman" w:cs="Times New Roman"/>
          <w:sz w:val="24"/>
          <w:szCs w:val="24"/>
        </w:rPr>
        <w:t>insurance varies significantly across cohorts</w:t>
      </w:r>
      <w:r>
        <w:rPr>
          <w:rFonts w:ascii="Times New Roman" w:hAnsi="Times New Roman" w:cs="Times New Roman"/>
          <w:sz w:val="24"/>
          <w:szCs w:val="24"/>
        </w:rPr>
        <w:t xml:space="preserve"> and health states: w</w:t>
      </w:r>
      <w:r w:rsidRPr="0001491C">
        <w:rPr>
          <w:rFonts w:ascii="Times New Roman" w:hAnsi="Times New Roman" w:cs="Times New Roman"/>
          <w:sz w:val="24"/>
          <w:szCs w:val="24"/>
        </w:rPr>
        <w:t>hen retirees are</w:t>
      </w:r>
      <w:r>
        <w:rPr>
          <w:rFonts w:ascii="Times New Roman" w:hAnsi="Times New Roman" w:cs="Times New Roman"/>
          <w:sz w:val="24"/>
          <w:szCs w:val="24"/>
        </w:rPr>
        <w:t xml:space="preserve"> healthy, </w:t>
      </w:r>
      <w:r w:rsidRPr="0001491C">
        <w:rPr>
          <w:rFonts w:ascii="Times New Roman" w:hAnsi="Times New Roman" w:cs="Times New Roman"/>
          <w:sz w:val="24"/>
          <w:szCs w:val="24"/>
        </w:rPr>
        <w:t>younger cohort</w:t>
      </w:r>
      <w:r>
        <w:rPr>
          <w:rFonts w:ascii="Times New Roman" w:hAnsi="Times New Roman" w:cs="Times New Roman"/>
          <w:sz w:val="24"/>
          <w:szCs w:val="24"/>
        </w:rPr>
        <w:t>s have</w:t>
      </w:r>
      <w:r w:rsidRPr="0001491C">
        <w:rPr>
          <w:rFonts w:ascii="Times New Roman" w:hAnsi="Times New Roman" w:cs="Times New Roman"/>
          <w:sz w:val="24"/>
          <w:szCs w:val="24"/>
        </w:rPr>
        <w:t xml:space="preserve"> less demand </w:t>
      </w:r>
      <w:r>
        <w:rPr>
          <w:rFonts w:ascii="Times New Roman" w:hAnsi="Times New Roman" w:cs="Times New Roman"/>
          <w:sz w:val="24"/>
          <w:szCs w:val="24"/>
        </w:rPr>
        <w:t xml:space="preserve">on LTC insurance than </w:t>
      </w:r>
      <w:r w:rsidRPr="0001491C">
        <w:rPr>
          <w:rFonts w:ascii="Times New Roman" w:hAnsi="Times New Roman" w:cs="Times New Roman"/>
          <w:sz w:val="24"/>
          <w:szCs w:val="24"/>
        </w:rPr>
        <w:t>older</w:t>
      </w:r>
      <w:r>
        <w:rPr>
          <w:rFonts w:ascii="Times New Roman" w:hAnsi="Times New Roman" w:cs="Times New Roman"/>
          <w:sz w:val="24"/>
          <w:szCs w:val="24"/>
        </w:rPr>
        <w:t xml:space="preserve"> cohorts; </w:t>
      </w:r>
      <w:r w:rsidRPr="0001491C">
        <w:rPr>
          <w:rFonts w:ascii="Times New Roman" w:hAnsi="Times New Roman" w:cs="Times New Roman"/>
          <w:sz w:val="24"/>
          <w:szCs w:val="24"/>
        </w:rPr>
        <w:t>when they are unhealthy</w:t>
      </w:r>
      <w:r>
        <w:rPr>
          <w:rFonts w:ascii="Times New Roman" w:hAnsi="Times New Roman" w:cs="Times New Roman"/>
          <w:sz w:val="24"/>
          <w:szCs w:val="24"/>
        </w:rPr>
        <w:t xml:space="preserve">, </w:t>
      </w:r>
      <w:r w:rsidRPr="0001491C">
        <w:rPr>
          <w:rFonts w:ascii="Times New Roman" w:hAnsi="Times New Roman" w:cs="Times New Roman"/>
          <w:sz w:val="24"/>
          <w:szCs w:val="24"/>
        </w:rPr>
        <w:t>younger cohort</w:t>
      </w:r>
      <w:r>
        <w:rPr>
          <w:rFonts w:ascii="Times New Roman" w:hAnsi="Times New Roman" w:cs="Times New Roman"/>
          <w:sz w:val="24"/>
          <w:szCs w:val="24"/>
        </w:rPr>
        <w:t xml:space="preserve">s have </w:t>
      </w:r>
      <w:r w:rsidRPr="0001491C">
        <w:rPr>
          <w:rFonts w:ascii="Times New Roman" w:hAnsi="Times New Roman" w:cs="Times New Roman"/>
          <w:sz w:val="24"/>
          <w:szCs w:val="24"/>
        </w:rPr>
        <w:t>larger demand</w:t>
      </w:r>
      <w:r>
        <w:rPr>
          <w:rFonts w:ascii="Times New Roman" w:hAnsi="Times New Roman" w:cs="Times New Roman"/>
          <w:sz w:val="24"/>
          <w:szCs w:val="24"/>
        </w:rPr>
        <w:t xml:space="preserve"> than </w:t>
      </w:r>
      <w:r w:rsidRPr="0001491C">
        <w:rPr>
          <w:rFonts w:ascii="Times New Roman" w:hAnsi="Times New Roman" w:cs="Times New Roman"/>
          <w:sz w:val="24"/>
          <w:szCs w:val="24"/>
        </w:rPr>
        <w:t>older</w:t>
      </w:r>
      <w:r>
        <w:rPr>
          <w:rFonts w:ascii="Times New Roman" w:hAnsi="Times New Roman" w:cs="Times New Roman"/>
          <w:sz w:val="24"/>
          <w:szCs w:val="24"/>
        </w:rPr>
        <w:t xml:space="preserve"> cohorts.</w:t>
      </w:r>
    </w:p>
    <w:p w14:paraId="5C6D038A" w14:textId="6A017AFE" w:rsidR="005C35BB" w:rsidRPr="004A57BE" w:rsidRDefault="005C35BB" w:rsidP="005C35B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841789">
        <w:rPr>
          <w:rFonts w:ascii="Times New Roman" w:hAnsi="Times New Roman" w:cs="Times New Roman"/>
          <w:sz w:val="24"/>
          <w:szCs w:val="24"/>
        </w:rPr>
        <w:t xml:space="preserve">ealth status transition </w:t>
      </w:r>
      <w:r>
        <w:rPr>
          <w:rFonts w:ascii="Times New Roman" w:hAnsi="Times New Roman" w:cs="Times New Roman"/>
          <w:sz w:val="24"/>
          <w:szCs w:val="24"/>
        </w:rPr>
        <w:t>(</w:t>
      </w:r>
      <w:r w:rsidRPr="00841789">
        <w:rPr>
          <w:rFonts w:ascii="Times New Roman" w:hAnsi="Times New Roman" w:cs="Times New Roman"/>
          <w:sz w:val="24"/>
          <w:szCs w:val="24"/>
        </w:rPr>
        <w:t>and mortality imp</w:t>
      </w:r>
      <w:r>
        <w:rPr>
          <w:rFonts w:ascii="Times New Roman" w:hAnsi="Times New Roman" w:cs="Times New Roman"/>
          <w:sz w:val="24"/>
          <w:szCs w:val="24"/>
        </w:rPr>
        <w:t xml:space="preserve">roving) </w:t>
      </w:r>
      <w:r w:rsidRPr="00841789">
        <w:rPr>
          <w:rFonts w:ascii="Times New Roman" w:hAnsi="Times New Roman" w:cs="Times New Roman"/>
          <w:sz w:val="24"/>
          <w:szCs w:val="24"/>
        </w:rPr>
        <w:t xml:space="preserve">is </w:t>
      </w:r>
      <w:r>
        <w:rPr>
          <w:rFonts w:ascii="Times New Roman" w:hAnsi="Times New Roman" w:cs="Times New Roman"/>
          <w:sz w:val="24"/>
          <w:szCs w:val="24"/>
        </w:rPr>
        <w:t xml:space="preserve">a </w:t>
      </w:r>
      <w:r w:rsidRPr="00841789">
        <w:rPr>
          <w:rFonts w:ascii="Times New Roman" w:hAnsi="Times New Roman" w:cs="Times New Roman"/>
          <w:sz w:val="24"/>
          <w:szCs w:val="24"/>
        </w:rPr>
        <w:t>stochastic</w:t>
      </w:r>
      <w:r>
        <w:rPr>
          <w:rFonts w:ascii="Times New Roman" w:hAnsi="Times New Roman" w:cs="Times New Roman"/>
          <w:sz w:val="24"/>
          <w:szCs w:val="24"/>
        </w:rPr>
        <w:t xml:space="preserve"> process</w:t>
      </w:r>
      <w:r w:rsidRPr="00841789">
        <w:rPr>
          <w:rFonts w:ascii="Times New Roman" w:hAnsi="Times New Roman" w:cs="Times New Roman"/>
          <w:sz w:val="24"/>
          <w:szCs w:val="24"/>
        </w:rPr>
        <w:t xml:space="preserve">. </w:t>
      </w:r>
      <w:r>
        <w:rPr>
          <w:rFonts w:ascii="Times New Roman" w:hAnsi="Times New Roman" w:cs="Times New Roman"/>
          <w:sz w:val="24"/>
          <w:szCs w:val="24"/>
        </w:rPr>
        <w:t xml:space="preserve">Imprecise knowledge, finite data and inaccurate estimation on </w:t>
      </w:r>
      <w:r w:rsidRPr="00841789">
        <w:rPr>
          <w:rFonts w:ascii="Times New Roman" w:hAnsi="Times New Roman" w:cs="Times New Roman"/>
          <w:sz w:val="24"/>
          <w:szCs w:val="24"/>
        </w:rPr>
        <w:t>the transition probabilities</w:t>
      </w:r>
      <w:r>
        <w:rPr>
          <w:rFonts w:ascii="Times New Roman" w:hAnsi="Times New Roman" w:cs="Times New Roman"/>
          <w:sz w:val="24"/>
          <w:szCs w:val="24"/>
        </w:rPr>
        <w:t xml:space="preserve"> impose great uncertainty on our results. </w:t>
      </w:r>
      <w:r w:rsidRPr="00841789">
        <w:rPr>
          <w:rFonts w:ascii="Times New Roman" w:hAnsi="Times New Roman" w:cs="Times New Roman"/>
          <w:sz w:val="24"/>
          <w:szCs w:val="24"/>
        </w:rPr>
        <w:t xml:space="preserve">Therefore, </w:t>
      </w:r>
      <w:r>
        <w:rPr>
          <w:rFonts w:ascii="Times New Roman" w:hAnsi="Times New Roman" w:cs="Times New Roman"/>
          <w:sz w:val="24"/>
          <w:szCs w:val="24"/>
        </w:rPr>
        <w:t xml:space="preserve">a line of future research is </w:t>
      </w:r>
      <w:r w:rsidRPr="00841789">
        <w:rPr>
          <w:rFonts w:ascii="Times New Roman" w:hAnsi="Times New Roman" w:cs="Times New Roman"/>
          <w:sz w:val="24"/>
          <w:szCs w:val="24"/>
        </w:rPr>
        <w:t xml:space="preserve">to incorporate ambiguity and ambiguity aversion to our model in the sense of Knight (1921). </w:t>
      </w:r>
      <w:r>
        <w:rPr>
          <w:rFonts w:ascii="Times New Roman" w:hAnsi="Times New Roman" w:cs="Times New Roman"/>
          <w:sz w:val="24"/>
          <w:szCs w:val="24"/>
        </w:rPr>
        <w:t>We can resolve the optimal portfolio choice problem in three scenarios. T</w:t>
      </w:r>
      <w:r w:rsidRPr="00841789">
        <w:rPr>
          <w:rFonts w:ascii="Times New Roman" w:hAnsi="Times New Roman" w:cs="Times New Roman"/>
          <w:sz w:val="24"/>
          <w:szCs w:val="24"/>
        </w:rPr>
        <w:t xml:space="preserve">he first scenario is </w:t>
      </w:r>
      <w:r>
        <w:rPr>
          <w:rFonts w:ascii="Times New Roman" w:hAnsi="Times New Roman" w:cs="Times New Roman"/>
          <w:sz w:val="24"/>
          <w:szCs w:val="24"/>
        </w:rPr>
        <w:t xml:space="preserve">the </w:t>
      </w:r>
      <w:r w:rsidRPr="00841789">
        <w:rPr>
          <w:rFonts w:ascii="Times New Roman" w:hAnsi="Times New Roman" w:cs="Times New Roman"/>
          <w:sz w:val="24"/>
          <w:szCs w:val="24"/>
        </w:rPr>
        <w:t xml:space="preserve">baseline model where there is no parameter uncertainty (ambiguity). </w:t>
      </w:r>
      <w:r>
        <w:rPr>
          <w:rFonts w:ascii="Times New Roman" w:hAnsi="Times New Roman" w:cs="Times New Roman"/>
          <w:sz w:val="24"/>
          <w:szCs w:val="24"/>
        </w:rPr>
        <w:t>In the second scenario, w</w:t>
      </w:r>
      <w:r w:rsidRPr="00841789">
        <w:rPr>
          <w:rFonts w:ascii="Times New Roman" w:hAnsi="Times New Roman" w:cs="Times New Roman"/>
          <w:sz w:val="24"/>
          <w:szCs w:val="24"/>
        </w:rPr>
        <w:t xml:space="preserve">e </w:t>
      </w:r>
      <w:r>
        <w:rPr>
          <w:rFonts w:ascii="Times New Roman" w:hAnsi="Times New Roman" w:cs="Times New Roman"/>
          <w:sz w:val="24"/>
          <w:szCs w:val="24"/>
        </w:rPr>
        <w:t xml:space="preserve">can </w:t>
      </w:r>
      <w:r w:rsidRPr="00841789">
        <w:rPr>
          <w:rFonts w:ascii="Times New Roman" w:hAnsi="Times New Roman" w:cs="Times New Roman"/>
          <w:sz w:val="24"/>
          <w:szCs w:val="24"/>
        </w:rPr>
        <w:t xml:space="preserve">assume </w:t>
      </w:r>
      <w:r>
        <w:rPr>
          <w:rFonts w:ascii="Times New Roman" w:hAnsi="Times New Roman" w:cs="Times New Roman"/>
          <w:sz w:val="24"/>
          <w:szCs w:val="24"/>
        </w:rPr>
        <w:t xml:space="preserve">an individual </w:t>
      </w:r>
      <w:r w:rsidRPr="00841789">
        <w:rPr>
          <w:rFonts w:ascii="Times New Roman" w:hAnsi="Times New Roman" w:cs="Times New Roman"/>
          <w:sz w:val="24"/>
          <w:szCs w:val="24"/>
        </w:rPr>
        <w:t xml:space="preserve">recognize </w:t>
      </w:r>
      <w:r>
        <w:rPr>
          <w:rFonts w:ascii="Times New Roman" w:hAnsi="Times New Roman" w:cs="Times New Roman"/>
          <w:sz w:val="24"/>
          <w:szCs w:val="24"/>
        </w:rPr>
        <w:t xml:space="preserve">ambiguity </w:t>
      </w:r>
      <w:r w:rsidRPr="00841789">
        <w:rPr>
          <w:rFonts w:ascii="Times New Roman" w:hAnsi="Times New Roman" w:cs="Times New Roman"/>
          <w:sz w:val="24"/>
          <w:szCs w:val="24"/>
        </w:rPr>
        <w:t>but act in an ambiguity-neutral</w:t>
      </w:r>
      <w:r>
        <w:rPr>
          <w:rFonts w:ascii="Times New Roman" w:hAnsi="Times New Roman" w:cs="Times New Roman"/>
          <w:sz w:val="24"/>
          <w:szCs w:val="24"/>
        </w:rPr>
        <w:t xml:space="preserve"> way</w:t>
      </w:r>
      <w:r w:rsidRPr="00841789">
        <w:rPr>
          <w:rFonts w:ascii="Times New Roman" w:hAnsi="Times New Roman" w:cs="Times New Roman"/>
          <w:sz w:val="24"/>
          <w:szCs w:val="24"/>
        </w:rPr>
        <w:t>.</w:t>
      </w:r>
      <w:r>
        <w:rPr>
          <w:rFonts w:ascii="Times New Roman" w:hAnsi="Times New Roman" w:cs="Times New Roman"/>
          <w:sz w:val="24"/>
          <w:szCs w:val="24"/>
        </w:rPr>
        <w:t xml:space="preserve"> I.e., the retiree can Bayesian update her </w:t>
      </w:r>
      <w:r w:rsidRPr="00841789">
        <w:rPr>
          <w:rFonts w:ascii="Times New Roman" w:hAnsi="Times New Roman" w:cs="Times New Roman"/>
          <w:sz w:val="24"/>
          <w:szCs w:val="24"/>
        </w:rPr>
        <w:t xml:space="preserve">belief </w:t>
      </w:r>
      <w:r>
        <w:rPr>
          <w:rFonts w:ascii="Times New Roman" w:hAnsi="Times New Roman" w:cs="Times New Roman"/>
          <w:sz w:val="24"/>
          <w:szCs w:val="24"/>
        </w:rPr>
        <w:t>about the transition probabilities given available information at the end of each period and then adjust her portfolio choice accordingly.</w:t>
      </w:r>
      <w:r w:rsidRPr="00841789">
        <w:rPr>
          <w:rFonts w:ascii="Times New Roman" w:hAnsi="Times New Roman" w:cs="Times New Roman"/>
          <w:sz w:val="24"/>
          <w:szCs w:val="24"/>
        </w:rPr>
        <w:t xml:space="preserve"> </w:t>
      </w:r>
      <w:r>
        <w:rPr>
          <w:rFonts w:ascii="Times New Roman" w:hAnsi="Times New Roman" w:cs="Times New Roman"/>
          <w:sz w:val="24"/>
          <w:szCs w:val="24"/>
        </w:rPr>
        <w:t>In the third scenario, w</w:t>
      </w:r>
      <w:r w:rsidRPr="00841789">
        <w:rPr>
          <w:rFonts w:ascii="Times New Roman" w:hAnsi="Times New Roman" w:cs="Times New Roman"/>
          <w:sz w:val="24"/>
          <w:szCs w:val="24"/>
        </w:rPr>
        <w:t xml:space="preserve">e </w:t>
      </w:r>
      <w:r>
        <w:rPr>
          <w:rFonts w:ascii="Times New Roman" w:hAnsi="Times New Roman" w:cs="Times New Roman"/>
          <w:sz w:val="24"/>
          <w:szCs w:val="24"/>
        </w:rPr>
        <w:t xml:space="preserve">can </w:t>
      </w:r>
      <w:r w:rsidRPr="00841789">
        <w:rPr>
          <w:rFonts w:ascii="Times New Roman" w:hAnsi="Times New Roman" w:cs="Times New Roman"/>
          <w:sz w:val="24"/>
          <w:szCs w:val="24"/>
        </w:rPr>
        <w:t xml:space="preserve">allow ambiguity aversion </w:t>
      </w:r>
      <w:r>
        <w:rPr>
          <w:rFonts w:ascii="Times New Roman" w:hAnsi="Times New Roman" w:cs="Times New Roman"/>
          <w:sz w:val="24"/>
          <w:szCs w:val="24"/>
        </w:rPr>
        <w:t xml:space="preserve">to play a role. In this way, we can investigate the effect of ambiguity and ambiguity aversion on a retiree’s retirement planning. </w:t>
      </w:r>
    </w:p>
    <w:p w14:paraId="2C23B22A" w14:textId="77777777" w:rsidR="004B19DA" w:rsidRDefault="004B19DA" w:rsidP="00372CC7">
      <w:pPr>
        <w:jc w:val="both"/>
        <w:rPr>
          <w:rFonts w:ascii="Times New Roman" w:hAnsi="Times New Roman" w:cs="Times New Roman"/>
          <w:sz w:val="24"/>
          <w:szCs w:val="24"/>
        </w:rPr>
      </w:pPr>
    </w:p>
    <w:p w14:paraId="44F78B35" w14:textId="77777777" w:rsidR="001130B2" w:rsidRDefault="001130B2" w:rsidP="00372CC7">
      <w:pPr>
        <w:jc w:val="both"/>
        <w:rPr>
          <w:rFonts w:ascii="Times New Roman" w:hAnsi="Times New Roman" w:cs="Times New Roman"/>
          <w:sz w:val="24"/>
          <w:szCs w:val="24"/>
        </w:rPr>
      </w:pPr>
    </w:p>
    <w:p w14:paraId="6FF00DFA" w14:textId="0A6A2610" w:rsidR="009B7B2F" w:rsidRPr="001130B2" w:rsidRDefault="00D73A6A" w:rsidP="001130B2">
      <w:pPr>
        <w:spacing w:after="120"/>
        <w:jc w:val="both"/>
        <w:rPr>
          <w:rFonts w:ascii="Times New Roman" w:hAnsi="Times New Roman" w:cs="Times New Roman"/>
          <w:b/>
          <w:sz w:val="24"/>
          <w:szCs w:val="24"/>
        </w:rPr>
      </w:pPr>
      <w:r w:rsidRPr="00D73A6A">
        <w:rPr>
          <w:rFonts w:ascii="Times New Roman" w:hAnsi="Times New Roman" w:cs="Times New Roman"/>
          <w:b/>
          <w:sz w:val="24"/>
          <w:szCs w:val="24"/>
        </w:rPr>
        <w:t>Reference</w:t>
      </w:r>
      <w:r w:rsidR="0001491C">
        <w:rPr>
          <w:rFonts w:ascii="Times New Roman" w:hAnsi="Times New Roman" w:cs="Times New Roman"/>
          <w:b/>
          <w:sz w:val="24"/>
          <w:szCs w:val="24"/>
        </w:rPr>
        <w:t xml:space="preserve">s: </w:t>
      </w:r>
    </w:p>
    <w:p w14:paraId="6329FE22" w14:textId="10656DF1" w:rsidR="001130B2" w:rsidRPr="001130B2" w:rsidRDefault="001130B2" w:rsidP="001130B2">
      <w:pPr>
        <w:spacing w:after="120" w:line="240" w:lineRule="auto"/>
        <w:ind w:left="720" w:hanging="720"/>
        <w:jc w:val="both"/>
        <w:rPr>
          <w:rFonts w:ascii="Times New Roman" w:hAnsi="Times New Roman" w:cs="Times New Roman"/>
          <w:sz w:val="24"/>
          <w:szCs w:val="24"/>
        </w:rPr>
      </w:pPr>
      <w:r>
        <w:rPr>
          <w:rFonts w:ascii="Palatino-Roman" w:hAnsi="Palatino-Roman" w:cs="Palatino-Roman"/>
          <w:sz w:val="24"/>
          <w:szCs w:val="24"/>
        </w:rPr>
        <w:t>Ai, J., P.L.</w:t>
      </w:r>
      <w:r>
        <w:rPr>
          <w:rFonts w:ascii="Palatino-Roman" w:hAnsi="Palatino-Roman" w:cs="Palatino-Roman" w:hint="eastAsia"/>
          <w:sz w:val="24"/>
          <w:szCs w:val="24"/>
        </w:rPr>
        <w:t xml:space="preserve"> Brockett, L.L.</w:t>
      </w:r>
      <w:r>
        <w:rPr>
          <w:rFonts w:ascii="Palatino-Roman" w:hAnsi="Palatino-Roman" w:cs="Palatino-Roman"/>
          <w:sz w:val="24"/>
          <w:szCs w:val="24"/>
        </w:rPr>
        <w:t xml:space="preserve"> Golden, and W. Zhu, 201</w:t>
      </w:r>
      <w:r>
        <w:rPr>
          <w:rFonts w:ascii="Palatino-Roman" w:hAnsi="Palatino-Roman" w:cs="Palatino-Roman" w:hint="eastAsia"/>
          <w:sz w:val="24"/>
          <w:szCs w:val="24"/>
        </w:rPr>
        <w:t>7</w:t>
      </w:r>
      <w:r>
        <w:rPr>
          <w:rFonts w:ascii="Palatino-Roman" w:hAnsi="Palatino-Roman" w:cs="Palatino-Roman"/>
          <w:sz w:val="24"/>
          <w:szCs w:val="24"/>
        </w:rPr>
        <w:t xml:space="preserve">, Health State Transitions and Longevity Effects on Retirees’ Optimal </w:t>
      </w:r>
      <w:proofErr w:type="spellStart"/>
      <w:r>
        <w:rPr>
          <w:rFonts w:ascii="Palatino-Roman" w:hAnsi="Palatino-Roman" w:cs="Palatino-Roman"/>
          <w:sz w:val="24"/>
          <w:szCs w:val="24"/>
        </w:rPr>
        <w:t>Annuitization</w:t>
      </w:r>
      <w:proofErr w:type="spellEnd"/>
      <w:r>
        <w:rPr>
          <w:rFonts w:ascii="Palatino-Roman" w:hAnsi="Palatino-Roman" w:cs="Palatino-Roman"/>
          <w:sz w:val="24"/>
          <w:szCs w:val="24"/>
        </w:rPr>
        <w:t xml:space="preserve">, </w:t>
      </w:r>
      <w:r w:rsidRPr="009B7B2F">
        <w:rPr>
          <w:rFonts w:ascii="Palatino-Roman" w:hAnsi="Palatino-Roman" w:cs="Palatino-Roman"/>
          <w:i/>
          <w:sz w:val="24"/>
          <w:szCs w:val="24"/>
        </w:rPr>
        <w:t>Journal of Risk and Insurance</w:t>
      </w:r>
      <w:r>
        <w:rPr>
          <w:rFonts w:ascii="Palatino-Roman" w:hAnsi="Palatino-Roman" w:cs="Palatino-Roman"/>
          <w:i/>
          <w:sz w:val="24"/>
          <w:szCs w:val="24"/>
        </w:rPr>
        <w:t xml:space="preserve">, </w:t>
      </w:r>
      <w:r>
        <w:rPr>
          <w:rFonts w:ascii="Palatino-Roman" w:hAnsi="Palatino-Roman" w:cs="Palatino-Roman"/>
          <w:sz w:val="24"/>
          <w:szCs w:val="24"/>
        </w:rPr>
        <w:t>84: 319-343</w:t>
      </w:r>
    </w:p>
    <w:p w14:paraId="7F369AB8" w14:textId="77777777" w:rsidR="001130B2" w:rsidRDefault="001130B2" w:rsidP="001130B2">
      <w:pPr>
        <w:spacing w:after="120" w:line="240" w:lineRule="auto"/>
        <w:ind w:left="720" w:hanging="720"/>
        <w:jc w:val="both"/>
        <w:rPr>
          <w:rFonts w:ascii="Times New Roman" w:hAnsi="Times New Roman" w:cs="Times New Roman"/>
          <w:sz w:val="24"/>
          <w:szCs w:val="24"/>
        </w:rPr>
      </w:pPr>
      <w:r w:rsidRPr="00DB0125">
        <w:rPr>
          <w:rFonts w:ascii="Times New Roman" w:hAnsi="Times New Roman" w:cs="Times New Roman"/>
          <w:sz w:val="24"/>
          <w:szCs w:val="24"/>
        </w:rPr>
        <w:t xml:space="preserve">Alary, D., </w:t>
      </w:r>
      <w:proofErr w:type="spellStart"/>
      <w:r w:rsidRPr="00DB0125">
        <w:rPr>
          <w:rFonts w:ascii="Times New Roman" w:hAnsi="Times New Roman" w:cs="Times New Roman"/>
          <w:sz w:val="24"/>
          <w:szCs w:val="24"/>
        </w:rPr>
        <w:t>Gollier</w:t>
      </w:r>
      <w:proofErr w:type="spellEnd"/>
      <w:r w:rsidRPr="00DB0125">
        <w:rPr>
          <w:rFonts w:ascii="Times New Roman" w:hAnsi="Times New Roman" w:cs="Times New Roman"/>
          <w:sz w:val="24"/>
          <w:szCs w:val="24"/>
        </w:rPr>
        <w:t xml:space="preserve">, C., and </w:t>
      </w:r>
      <w:proofErr w:type="spellStart"/>
      <w:r w:rsidRPr="00DB0125">
        <w:rPr>
          <w:rFonts w:ascii="Times New Roman" w:hAnsi="Times New Roman" w:cs="Times New Roman"/>
          <w:sz w:val="24"/>
          <w:szCs w:val="24"/>
        </w:rPr>
        <w:t>Treich</w:t>
      </w:r>
      <w:proofErr w:type="spellEnd"/>
      <w:r w:rsidRPr="00DB0125">
        <w:rPr>
          <w:rFonts w:ascii="Times New Roman" w:hAnsi="Times New Roman" w:cs="Times New Roman"/>
          <w:sz w:val="24"/>
          <w:szCs w:val="24"/>
        </w:rPr>
        <w:t xml:space="preserve">, N. (2013) </w:t>
      </w:r>
      <w:proofErr w:type="gramStart"/>
      <w:r w:rsidRPr="00DB0125">
        <w:rPr>
          <w:rFonts w:ascii="Times New Roman" w:hAnsi="Times New Roman" w:cs="Times New Roman"/>
          <w:sz w:val="24"/>
          <w:szCs w:val="24"/>
        </w:rPr>
        <w:t>The</w:t>
      </w:r>
      <w:proofErr w:type="gramEnd"/>
      <w:r w:rsidRPr="00DB0125">
        <w:rPr>
          <w:rFonts w:ascii="Times New Roman" w:hAnsi="Times New Roman" w:cs="Times New Roman"/>
          <w:sz w:val="24"/>
          <w:szCs w:val="24"/>
        </w:rPr>
        <w:t xml:space="preserve"> Effect of Ambiguity Aversion on Insurance and Self-Protection, </w:t>
      </w:r>
      <w:r w:rsidRPr="00DB0125">
        <w:rPr>
          <w:rFonts w:ascii="Times New Roman" w:hAnsi="Times New Roman" w:cs="Times New Roman"/>
          <w:i/>
          <w:sz w:val="24"/>
          <w:szCs w:val="24"/>
        </w:rPr>
        <w:t>The Economic Journal</w:t>
      </w:r>
      <w:r w:rsidRPr="00DB0125">
        <w:rPr>
          <w:rFonts w:ascii="Times New Roman" w:hAnsi="Times New Roman" w:cs="Times New Roman"/>
          <w:sz w:val="24"/>
          <w:szCs w:val="24"/>
        </w:rPr>
        <w:t xml:space="preserve">, 123 (573): 1188-1202. </w:t>
      </w:r>
    </w:p>
    <w:p w14:paraId="28D64280" w14:textId="1E376648" w:rsidR="001130B2" w:rsidRDefault="001130B2" w:rsidP="001130B2">
      <w:pPr>
        <w:spacing w:after="120" w:line="240" w:lineRule="auto"/>
        <w:ind w:left="720" w:hanging="720"/>
        <w:jc w:val="both"/>
        <w:rPr>
          <w:rFonts w:ascii="Times New Roman" w:hAnsi="Times New Roman" w:cs="Times New Roman"/>
          <w:sz w:val="24"/>
          <w:szCs w:val="24"/>
        </w:rPr>
      </w:pPr>
      <w:proofErr w:type="spellStart"/>
      <w:r w:rsidRPr="009B7B2F">
        <w:rPr>
          <w:rFonts w:ascii="Palatino-Roman" w:hAnsi="Palatino-Roman" w:cs="Palatino-Roman"/>
          <w:sz w:val="24"/>
          <w:szCs w:val="24"/>
        </w:rPr>
        <w:lastRenderedPageBreak/>
        <w:t>Ameriks</w:t>
      </w:r>
      <w:proofErr w:type="spellEnd"/>
      <w:r w:rsidRPr="009B7B2F">
        <w:rPr>
          <w:rFonts w:ascii="Palatino-Roman" w:hAnsi="Palatino-Roman" w:cs="Palatino-Roman"/>
          <w:sz w:val="24"/>
          <w:szCs w:val="24"/>
        </w:rPr>
        <w:t xml:space="preserve">, J., A. </w:t>
      </w:r>
      <w:proofErr w:type="spellStart"/>
      <w:r w:rsidRPr="009B7B2F">
        <w:rPr>
          <w:rFonts w:ascii="Palatino-Roman" w:hAnsi="Palatino-Roman" w:cs="Palatino-Roman"/>
          <w:sz w:val="24"/>
          <w:szCs w:val="24"/>
        </w:rPr>
        <w:t>Caplin</w:t>
      </w:r>
      <w:proofErr w:type="spellEnd"/>
      <w:r w:rsidRPr="009B7B2F">
        <w:rPr>
          <w:rFonts w:ascii="Palatino-Roman" w:hAnsi="Palatino-Roman" w:cs="Palatino-Roman"/>
          <w:sz w:val="24"/>
          <w:szCs w:val="24"/>
        </w:rPr>
        <w:t xml:space="preserve">, S. </w:t>
      </w:r>
      <w:proofErr w:type="spellStart"/>
      <w:r w:rsidRPr="009B7B2F">
        <w:rPr>
          <w:rFonts w:ascii="Palatino-Roman" w:hAnsi="Palatino-Roman" w:cs="Palatino-Roman"/>
          <w:sz w:val="24"/>
          <w:szCs w:val="24"/>
        </w:rPr>
        <w:t>Laufer</w:t>
      </w:r>
      <w:proofErr w:type="spellEnd"/>
      <w:r w:rsidRPr="009B7B2F">
        <w:rPr>
          <w:rFonts w:ascii="Palatino-Roman" w:hAnsi="Palatino-Roman" w:cs="Palatino-Roman"/>
          <w:sz w:val="24"/>
          <w:szCs w:val="24"/>
        </w:rPr>
        <w:t xml:space="preserve">, and S. Van </w:t>
      </w:r>
      <w:proofErr w:type="spellStart"/>
      <w:r w:rsidRPr="009B7B2F">
        <w:rPr>
          <w:rFonts w:ascii="Palatino-Roman" w:hAnsi="Palatino-Roman" w:cs="Palatino-Roman"/>
          <w:sz w:val="24"/>
          <w:szCs w:val="24"/>
        </w:rPr>
        <w:t>Nieuwerburgh</w:t>
      </w:r>
      <w:proofErr w:type="spellEnd"/>
      <w:r w:rsidRPr="009B7B2F">
        <w:rPr>
          <w:rFonts w:ascii="Palatino-Roman" w:hAnsi="Palatino-Roman" w:cs="Palatino-Roman"/>
          <w:sz w:val="24"/>
          <w:szCs w:val="24"/>
        </w:rPr>
        <w:t xml:space="preserve">, 2011, </w:t>
      </w:r>
      <w:proofErr w:type="gramStart"/>
      <w:r w:rsidRPr="009B7B2F">
        <w:rPr>
          <w:rFonts w:ascii="Palatino-Roman" w:hAnsi="Palatino-Roman" w:cs="Palatino-Roman"/>
          <w:sz w:val="24"/>
          <w:szCs w:val="24"/>
        </w:rPr>
        <w:t>The</w:t>
      </w:r>
      <w:proofErr w:type="gramEnd"/>
      <w:r w:rsidRPr="009B7B2F">
        <w:rPr>
          <w:rFonts w:ascii="Palatino-Roman" w:hAnsi="Palatino-Roman" w:cs="Palatino-Roman"/>
          <w:sz w:val="24"/>
          <w:szCs w:val="24"/>
        </w:rPr>
        <w:t xml:space="preserve"> Joy of Giving</w:t>
      </w:r>
      <w:r>
        <w:rPr>
          <w:rFonts w:ascii="Palatino-Roman" w:hAnsi="Palatino-Roman" w:cs="Palatino-Roman"/>
          <w:sz w:val="24"/>
          <w:szCs w:val="24"/>
        </w:rPr>
        <w:t xml:space="preserve"> </w:t>
      </w:r>
      <w:r w:rsidRPr="009B7B2F">
        <w:rPr>
          <w:rFonts w:ascii="Palatino-Roman" w:hAnsi="Palatino-Roman" w:cs="Palatino-Roman"/>
          <w:sz w:val="24"/>
          <w:szCs w:val="24"/>
        </w:rPr>
        <w:t xml:space="preserve">or Assisted Living? Using Strategic Surveys to Separate Public Care Aversion </w:t>
      </w:r>
      <w:proofErr w:type="gramStart"/>
      <w:r w:rsidRPr="009B7B2F">
        <w:rPr>
          <w:rFonts w:ascii="Palatino-Roman" w:hAnsi="Palatino-Roman" w:cs="Palatino-Roman"/>
          <w:sz w:val="24"/>
          <w:szCs w:val="24"/>
        </w:rPr>
        <w:t>From</w:t>
      </w:r>
      <w:proofErr w:type="gramEnd"/>
      <w:r>
        <w:rPr>
          <w:rFonts w:ascii="Palatino-Roman" w:hAnsi="Palatino-Roman" w:cs="Palatino-Roman"/>
          <w:sz w:val="24"/>
          <w:szCs w:val="24"/>
        </w:rPr>
        <w:t xml:space="preserve"> </w:t>
      </w:r>
      <w:r w:rsidRPr="009B7B2F">
        <w:rPr>
          <w:rFonts w:ascii="Palatino-Roman" w:hAnsi="Palatino-Roman" w:cs="Palatino-Roman"/>
          <w:sz w:val="24"/>
          <w:szCs w:val="24"/>
        </w:rPr>
        <w:t xml:space="preserve">Bequest Motives, </w:t>
      </w:r>
      <w:r w:rsidRPr="009B7B2F">
        <w:rPr>
          <w:rFonts w:ascii="Palatino-Italic" w:hAnsi="Palatino-Italic" w:cs="Palatino-Italic"/>
          <w:i/>
          <w:iCs/>
          <w:sz w:val="24"/>
          <w:szCs w:val="24"/>
        </w:rPr>
        <w:t>Journal of Finance</w:t>
      </w:r>
      <w:r w:rsidRPr="009B7B2F">
        <w:rPr>
          <w:rFonts w:ascii="Palatino-Roman" w:hAnsi="Palatino-Roman" w:cs="Palatino-Roman"/>
          <w:sz w:val="24"/>
          <w:szCs w:val="24"/>
        </w:rPr>
        <w:t>, 66(2): 519-561.</w:t>
      </w:r>
    </w:p>
    <w:p w14:paraId="5199A270" w14:textId="77777777" w:rsidR="001130B2" w:rsidRDefault="001130B2" w:rsidP="001130B2">
      <w:pPr>
        <w:autoSpaceDE w:val="0"/>
        <w:autoSpaceDN w:val="0"/>
        <w:adjustRightInd w:val="0"/>
        <w:spacing w:after="120" w:line="240" w:lineRule="auto"/>
        <w:ind w:left="720" w:hanging="720"/>
        <w:jc w:val="both"/>
        <w:rPr>
          <w:rFonts w:ascii="Times New Roman" w:hAnsi="Times New Roman" w:cs="Times New Roman"/>
          <w:sz w:val="24"/>
          <w:szCs w:val="24"/>
        </w:rPr>
      </w:pPr>
      <w:proofErr w:type="spellStart"/>
      <w:r w:rsidRPr="00DB0125">
        <w:rPr>
          <w:rFonts w:ascii="Times New Roman" w:hAnsi="Times New Roman" w:cs="Times New Roman"/>
          <w:sz w:val="24"/>
          <w:szCs w:val="24"/>
        </w:rPr>
        <w:t>Ameriks</w:t>
      </w:r>
      <w:proofErr w:type="spellEnd"/>
      <w:r w:rsidRPr="00DB0125">
        <w:rPr>
          <w:rFonts w:ascii="Times New Roman" w:hAnsi="Times New Roman" w:cs="Times New Roman"/>
          <w:sz w:val="24"/>
          <w:szCs w:val="24"/>
        </w:rPr>
        <w:t xml:space="preserve">, J., </w:t>
      </w:r>
      <w:proofErr w:type="spellStart"/>
      <w:r w:rsidRPr="00DB0125">
        <w:rPr>
          <w:rFonts w:ascii="Times New Roman" w:hAnsi="Times New Roman" w:cs="Times New Roman"/>
          <w:sz w:val="24"/>
          <w:szCs w:val="24"/>
        </w:rPr>
        <w:t>Caplin</w:t>
      </w:r>
      <w:proofErr w:type="spellEnd"/>
      <w:r w:rsidRPr="00DB0125">
        <w:rPr>
          <w:rFonts w:ascii="Times New Roman" w:hAnsi="Times New Roman" w:cs="Times New Roman"/>
          <w:sz w:val="24"/>
          <w:szCs w:val="24"/>
        </w:rPr>
        <w:t xml:space="preserve">, A., </w:t>
      </w:r>
      <w:proofErr w:type="spellStart"/>
      <w:r w:rsidRPr="00DB0125">
        <w:rPr>
          <w:rFonts w:ascii="Times New Roman" w:hAnsi="Times New Roman" w:cs="Times New Roman"/>
          <w:sz w:val="24"/>
          <w:szCs w:val="24"/>
        </w:rPr>
        <w:t>Laufer</w:t>
      </w:r>
      <w:proofErr w:type="spellEnd"/>
      <w:r w:rsidRPr="00DB0125">
        <w:rPr>
          <w:rFonts w:ascii="Times New Roman" w:hAnsi="Times New Roman" w:cs="Times New Roman"/>
          <w:sz w:val="24"/>
          <w:szCs w:val="24"/>
        </w:rPr>
        <w:t xml:space="preserve">, S., and Van </w:t>
      </w:r>
      <w:proofErr w:type="spellStart"/>
      <w:r w:rsidRPr="00DB0125">
        <w:rPr>
          <w:rFonts w:ascii="Times New Roman" w:hAnsi="Times New Roman" w:cs="Times New Roman"/>
          <w:sz w:val="24"/>
          <w:szCs w:val="24"/>
        </w:rPr>
        <w:t>Nieuwerburgh</w:t>
      </w:r>
      <w:proofErr w:type="spellEnd"/>
      <w:r w:rsidRPr="00DB0125">
        <w:rPr>
          <w:rFonts w:ascii="Times New Roman" w:hAnsi="Times New Roman" w:cs="Times New Roman"/>
          <w:sz w:val="24"/>
          <w:szCs w:val="24"/>
        </w:rPr>
        <w:t xml:space="preserve">, S. (2011). </w:t>
      </w:r>
      <w:proofErr w:type="gramStart"/>
      <w:r w:rsidRPr="00DB0125">
        <w:rPr>
          <w:rFonts w:ascii="Times New Roman" w:hAnsi="Times New Roman" w:cs="Times New Roman"/>
          <w:sz w:val="24"/>
          <w:szCs w:val="24"/>
        </w:rPr>
        <w:t>The joy of giving or assisted living?</w:t>
      </w:r>
      <w:proofErr w:type="gramEnd"/>
      <w:r w:rsidRPr="00DB0125">
        <w:rPr>
          <w:rFonts w:ascii="Times New Roman" w:hAnsi="Times New Roman" w:cs="Times New Roman"/>
          <w:sz w:val="24"/>
          <w:szCs w:val="24"/>
        </w:rPr>
        <w:t xml:space="preserve"> </w:t>
      </w:r>
      <w:proofErr w:type="gramStart"/>
      <w:r w:rsidRPr="00DB0125">
        <w:rPr>
          <w:rFonts w:ascii="Times New Roman" w:hAnsi="Times New Roman" w:cs="Times New Roman"/>
          <w:sz w:val="24"/>
          <w:szCs w:val="24"/>
        </w:rPr>
        <w:t>Using strategic surveys to separate public care aversion from bequest motives.</w:t>
      </w:r>
      <w:proofErr w:type="gramEnd"/>
      <w:r w:rsidRPr="00DB0125">
        <w:rPr>
          <w:rFonts w:ascii="Times New Roman" w:hAnsi="Times New Roman" w:cs="Times New Roman"/>
          <w:sz w:val="24"/>
          <w:szCs w:val="24"/>
        </w:rPr>
        <w:t xml:space="preserve"> </w:t>
      </w:r>
      <w:r w:rsidRPr="00DB0125">
        <w:rPr>
          <w:rFonts w:ascii="Times New Roman" w:hAnsi="Times New Roman" w:cs="Times New Roman"/>
          <w:i/>
          <w:sz w:val="24"/>
          <w:szCs w:val="24"/>
        </w:rPr>
        <w:t>Journal of Finance</w:t>
      </w:r>
      <w:r w:rsidRPr="00DB0125">
        <w:rPr>
          <w:rFonts w:ascii="Times New Roman" w:hAnsi="Times New Roman" w:cs="Times New Roman"/>
          <w:sz w:val="24"/>
          <w:szCs w:val="24"/>
        </w:rPr>
        <w:t xml:space="preserve">, </w:t>
      </w:r>
      <w:proofErr w:type="gramStart"/>
      <w:r w:rsidRPr="00DB0125">
        <w:rPr>
          <w:rFonts w:ascii="Times New Roman" w:hAnsi="Times New Roman" w:cs="Times New Roman"/>
          <w:sz w:val="24"/>
          <w:szCs w:val="24"/>
        </w:rPr>
        <w:t>LXVI(</w:t>
      </w:r>
      <w:proofErr w:type="gramEnd"/>
      <w:r w:rsidRPr="00DB0125">
        <w:rPr>
          <w:rFonts w:ascii="Times New Roman" w:hAnsi="Times New Roman" w:cs="Times New Roman"/>
          <w:sz w:val="24"/>
          <w:szCs w:val="24"/>
        </w:rPr>
        <w:t>2), 519-561.</w:t>
      </w:r>
    </w:p>
    <w:p w14:paraId="0DF9963B" w14:textId="77777777" w:rsidR="001130B2" w:rsidRDefault="001130B2" w:rsidP="001130B2">
      <w:pPr>
        <w:autoSpaceDE w:val="0"/>
        <w:autoSpaceDN w:val="0"/>
        <w:adjustRightInd w:val="0"/>
        <w:spacing w:after="120" w:line="240" w:lineRule="auto"/>
        <w:ind w:left="720" w:hanging="720"/>
        <w:jc w:val="both"/>
        <w:rPr>
          <w:rFonts w:ascii="Times New Roman" w:hAnsi="Times New Roman" w:cs="Times New Roman"/>
          <w:sz w:val="24"/>
          <w:szCs w:val="24"/>
        </w:rPr>
      </w:pPr>
      <w:proofErr w:type="gramStart"/>
      <w:r w:rsidRPr="00DB0125">
        <w:rPr>
          <w:rFonts w:ascii="Times New Roman" w:eastAsia="CMR12" w:hAnsi="Times New Roman" w:cs="Times New Roman"/>
          <w:sz w:val="24"/>
          <w:szCs w:val="24"/>
        </w:rPr>
        <w:t xml:space="preserve">Anderson, E., Hansen, L.P., and Sargent, T. (2000) </w:t>
      </w:r>
      <w:r w:rsidRPr="00DB0125">
        <w:rPr>
          <w:rFonts w:ascii="Times New Roman" w:eastAsia="CMR12" w:hAnsi="Times New Roman" w:cs="Times New Roman"/>
          <w:i/>
          <w:sz w:val="24"/>
          <w:szCs w:val="24"/>
        </w:rPr>
        <w:t>Robustness, Detection and the Price of Risk</w:t>
      </w:r>
      <w:r w:rsidRPr="00DB0125">
        <w:rPr>
          <w:rFonts w:ascii="Times New Roman" w:eastAsia="CMR12" w:hAnsi="Times New Roman" w:cs="Times New Roman"/>
          <w:sz w:val="24"/>
          <w:szCs w:val="24"/>
        </w:rPr>
        <w:t>.</w:t>
      </w:r>
      <w:proofErr w:type="gramEnd"/>
      <w:r w:rsidRPr="00DB0125">
        <w:rPr>
          <w:rFonts w:ascii="Times New Roman" w:eastAsia="CMR12" w:hAnsi="Times New Roman" w:cs="Times New Roman"/>
          <w:sz w:val="24"/>
          <w:szCs w:val="24"/>
        </w:rPr>
        <w:t xml:space="preserve"> </w:t>
      </w:r>
      <w:proofErr w:type="gramStart"/>
      <w:r w:rsidRPr="00DB0125">
        <w:rPr>
          <w:rFonts w:ascii="Times New Roman" w:eastAsia="CMR12" w:hAnsi="Times New Roman" w:cs="Times New Roman"/>
          <w:sz w:val="24"/>
          <w:szCs w:val="24"/>
        </w:rPr>
        <w:t>Mimeo.</w:t>
      </w:r>
      <w:proofErr w:type="gramEnd"/>
    </w:p>
    <w:p w14:paraId="3B050C5B" w14:textId="77777777" w:rsidR="001130B2" w:rsidRPr="00DB0125" w:rsidRDefault="001130B2" w:rsidP="001130B2">
      <w:pPr>
        <w:autoSpaceDE w:val="0"/>
        <w:autoSpaceDN w:val="0"/>
        <w:adjustRightInd w:val="0"/>
        <w:spacing w:after="120" w:line="240" w:lineRule="auto"/>
        <w:ind w:left="720" w:hanging="720"/>
        <w:jc w:val="both"/>
        <w:rPr>
          <w:rFonts w:ascii="Times New Roman" w:hAnsi="Times New Roman" w:cs="Times New Roman"/>
          <w:sz w:val="24"/>
          <w:szCs w:val="24"/>
        </w:rPr>
      </w:pPr>
      <w:proofErr w:type="gramStart"/>
      <w:r w:rsidRPr="00DB0125">
        <w:rPr>
          <w:rFonts w:ascii="Times New Roman" w:hAnsi="Times New Roman" w:cs="Times New Roman"/>
          <w:sz w:val="24"/>
          <w:szCs w:val="24"/>
        </w:rPr>
        <w:t xml:space="preserve">Colombo, F., </w:t>
      </w:r>
      <w:proofErr w:type="spellStart"/>
      <w:r w:rsidRPr="00DB0125">
        <w:rPr>
          <w:rFonts w:ascii="Times New Roman" w:hAnsi="Times New Roman" w:cs="Times New Roman"/>
          <w:sz w:val="24"/>
          <w:szCs w:val="24"/>
        </w:rPr>
        <w:t>Llena-Nozal</w:t>
      </w:r>
      <w:proofErr w:type="spellEnd"/>
      <w:r w:rsidRPr="00DB0125">
        <w:rPr>
          <w:rFonts w:ascii="Times New Roman" w:hAnsi="Times New Roman" w:cs="Times New Roman"/>
          <w:sz w:val="24"/>
          <w:szCs w:val="24"/>
        </w:rPr>
        <w:t xml:space="preserve">, A., Mercier, J., and </w:t>
      </w:r>
      <w:proofErr w:type="spellStart"/>
      <w:r w:rsidRPr="00DB0125">
        <w:rPr>
          <w:rFonts w:ascii="Times New Roman" w:hAnsi="Times New Roman" w:cs="Times New Roman"/>
          <w:sz w:val="24"/>
          <w:szCs w:val="24"/>
        </w:rPr>
        <w:t>Tjadens</w:t>
      </w:r>
      <w:proofErr w:type="spellEnd"/>
      <w:r w:rsidRPr="00DB0125">
        <w:rPr>
          <w:rFonts w:ascii="Times New Roman" w:hAnsi="Times New Roman" w:cs="Times New Roman"/>
          <w:sz w:val="24"/>
          <w:szCs w:val="24"/>
        </w:rPr>
        <w:t>, F. (2011).</w:t>
      </w:r>
      <w:proofErr w:type="gramEnd"/>
      <w:r w:rsidRPr="00DB0125">
        <w:rPr>
          <w:rFonts w:ascii="Times New Roman" w:hAnsi="Times New Roman" w:cs="Times New Roman"/>
          <w:sz w:val="24"/>
          <w:szCs w:val="24"/>
        </w:rPr>
        <w:t xml:space="preserve"> Help wanted? Providing and paying for long-term care. </w:t>
      </w:r>
      <w:proofErr w:type="gramStart"/>
      <w:r w:rsidRPr="00DB0125">
        <w:rPr>
          <w:rFonts w:ascii="Times New Roman" w:hAnsi="Times New Roman" w:cs="Times New Roman"/>
          <w:sz w:val="24"/>
          <w:szCs w:val="24"/>
        </w:rPr>
        <w:t>OECD Health Policy Studies.</w:t>
      </w:r>
      <w:proofErr w:type="gramEnd"/>
      <w:r w:rsidRPr="00DB0125">
        <w:rPr>
          <w:rFonts w:ascii="Times New Roman" w:hAnsi="Times New Roman" w:cs="Times New Roman"/>
          <w:sz w:val="24"/>
          <w:szCs w:val="24"/>
        </w:rPr>
        <w:t xml:space="preserve"> </w:t>
      </w:r>
      <w:proofErr w:type="gramStart"/>
      <w:r w:rsidRPr="00DB0125">
        <w:rPr>
          <w:rFonts w:ascii="Times New Roman" w:hAnsi="Times New Roman" w:cs="Times New Roman"/>
          <w:sz w:val="24"/>
          <w:szCs w:val="24"/>
        </w:rPr>
        <w:t>OECD Publishing, Paris, France.</w:t>
      </w:r>
      <w:proofErr w:type="gramEnd"/>
    </w:p>
    <w:p w14:paraId="4BB7DE5E" w14:textId="77777777" w:rsidR="001130B2" w:rsidRPr="00DB0125" w:rsidRDefault="001130B2" w:rsidP="001130B2">
      <w:pPr>
        <w:autoSpaceDE w:val="0"/>
        <w:autoSpaceDN w:val="0"/>
        <w:adjustRightInd w:val="0"/>
        <w:spacing w:after="120" w:line="240" w:lineRule="auto"/>
        <w:ind w:left="720" w:hanging="720"/>
        <w:jc w:val="both"/>
        <w:rPr>
          <w:rFonts w:ascii="Times New Roman" w:hAnsi="Times New Roman" w:cs="Times New Roman"/>
          <w:sz w:val="24"/>
          <w:szCs w:val="24"/>
        </w:rPr>
      </w:pPr>
      <w:r w:rsidRPr="00DB0125">
        <w:rPr>
          <w:rFonts w:ascii="Times New Roman" w:hAnsi="Times New Roman" w:cs="Times New Roman"/>
          <w:sz w:val="24"/>
          <w:szCs w:val="24"/>
        </w:rPr>
        <w:t xml:space="preserve">Chapman, </w:t>
      </w:r>
      <w:proofErr w:type="spellStart"/>
      <w:r w:rsidRPr="00DB0125">
        <w:rPr>
          <w:rFonts w:ascii="Times New Roman" w:hAnsi="Times New Roman" w:cs="Times New Roman"/>
          <w:sz w:val="24"/>
          <w:szCs w:val="24"/>
        </w:rPr>
        <w:t>Corin</w:t>
      </w:r>
      <w:proofErr w:type="spellEnd"/>
      <w:r w:rsidRPr="00DB0125">
        <w:rPr>
          <w:rFonts w:ascii="Times New Roman" w:hAnsi="Times New Roman" w:cs="Times New Roman"/>
          <w:sz w:val="24"/>
          <w:szCs w:val="24"/>
        </w:rPr>
        <w:t xml:space="preserve"> R., (2012), </w:t>
      </w:r>
      <w:proofErr w:type="gramStart"/>
      <w:r w:rsidRPr="00DB0125">
        <w:rPr>
          <w:rFonts w:ascii="Times New Roman" w:hAnsi="Times New Roman" w:cs="Times New Roman"/>
          <w:sz w:val="24"/>
          <w:szCs w:val="24"/>
        </w:rPr>
        <w:t>A</w:t>
      </w:r>
      <w:proofErr w:type="gramEnd"/>
      <w:r w:rsidRPr="00DB0125">
        <w:rPr>
          <w:rFonts w:ascii="Times New Roman" w:hAnsi="Times New Roman" w:cs="Times New Roman"/>
          <w:sz w:val="24"/>
          <w:szCs w:val="24"/>
        </w:rPr>
        <w:t xml:space="preserve"> Conversation on Responsibility, </w:t>
      </w:r>
      <w:r w:rsidRPr="00DB0125">
        <w:rPr>
          <w:rFonts w:ascii="Times New Roman" w:hAnsi="Times New Roman" w:cs="Times New Roman"/>
          <w:i/>
          <w:iCs/>
          <w:sz w:val="24"/>
          <w:szCs w:val="24"/>
        </w:rPr>
        <w:t>The Actuary</w:t>
      </w:r>
      <w:r w:rsidRPr="00DB0125">
        <w:rPr>
          <w:rFonts w:ascii="Times New Roman" w:hAnsi="Times New Roman" w:cs="Times New Roman"/>
          <w:sz w:val="24"/>
          <w:szCs w:val="24"/>
        </w:rPr>
        <w:t>, Society of Actuaries, 8:6, p. 8</w:t>
      </w:r>
      <w:r w:rsidRPr="00DB0125">
        <w:rPr>
          <w:rFonts w:ascii="Cambria Math" w:hAnsi="Cambria Math" w:cs="Cambria Math"/>
          <w:sz w:val="24"/>
          <w:szCs w:val="24"/>
        </w:rPr>
        <w:t>‐</w:t>
      </w:r>
      <w:r w:rsidRPr="00DB0125">
        <w:rPr>
          <w:rFonts w:ascii="Times New Roman" w:hAnsi="Times New Roman" w:cs="Times New Roman"/>
          <w:sz w:val="24"/>
          <w:szCs w:val="24"/>
        </w:rPr>
        <w:t xml:space="preserve">10. </w:t>
      </w:r>
    </w:p>
    <w:p w14:paraId="7BE86BDF" w14:textId="77777777" w:rsidR="001130B2" w:rsidRDefault="001130B2" w:rsidP="001130B2">
      <w:pPr>
        <w:autoSpaceDE w:val="0"/>
        <w:autoSpaceDN w:val="0"/>
        <w:adjustRightInd w:val="0"/>
        <w:spacing w:after="120" w:line="240" w:lineRule="auto"/>
        <w:ind w:left="720" w:hanging="720"/>
        <w:jc w:val="both"/>
        <w:rPr>
          <w:rFonts w:ascii="Times New Roman" w:hAnsi="Times New Roman" w:cs="Times New Roman"/>
          <w:sz w:val="24"/>
          <w:szCs w:val="24"/>
        </w:rPr>
      </w:pPr>
      <w:proofErr w:type="gramStart"/>
      <w:r w:rsidRPr="00DB0125">
        <w:rPr>
          <w:rFonts w:ascii="Times New Roman" w:hAnsi="Times New Roman" w:cs="Times New Roman"/>
          <w:sz w:val="24"/>
          <w:szCs w:val="24"/>
        </w:rPr>
        <w:t>Chen, Hua, Samuel H. Cox and Shaun S. Wang (2010).</w:t>
      </w:r>
      <w:proofErr w:type="gramEnd"/>
      <w:r w:rsidRPr="00DB0125">
        <w:rPr>
          <w:rFonts w:ascii="Times New Roman" w:hAnsi="Times New Roman" w:cs="Times New Roman"/>
          <w:sz w:val="24"/>
          <w:szCs w:val="24"/>
        </w:rPr>
        <w:t xml:space="preserve"> Is the Home Equity Conversion Program in the United States Sustainable? Evidence from Pricing Mortgage Insurance Premiums and Non- Recourse Provisions Using the Conditional </w:t>
      </w:r>
      <w:proofErr w:type="spellStart"/>
      <w:r w:rsidRPr="00DB0125">
        <w:rPr>
          <w:rFonts w:ascii="Times New Roman" w:hAnsi="Times New Roman" w:cs="Times New Roman"/>
          <w:sz w:val="24"/>
          <w:szCs w:val="24"/>
        </w:rPr>
        <w:t>Esscher</w:t>
      </w:r>
      <w:proofErr w:type="spellEnd"/>
      <w:r w:rsidRPr="00DB0125">
        <w:rPr>
          <w:rFonts w:ascii="Times New Roman" w:hAnsi="Times New Roman" w:cs="Times New Roman"/>
          <w:sz w:val="24"/>
          <w:szCs w:val="24"/>
        </w:rPr>
        <w:t xml:space="preserve"> Transform, </w:t>
      </w:r>
      <w:r w:rsidRPr="00DB0125">
        <w:rPr>
          <w:rFonts w:ascii="Times New Roman" w:hAnsi="Times New Roman" w:cs="Times New Roman"/>
          <w:bCs/>
          <w:i/>
          <w:iCs/>
          <w:sz w:val="24"/>
          <w:szCs w:val="24"/>
        </w:rPr>
        <w:t>Insurance: Mathematics and</w:t>
      </w:r>
      <w:r w:rsidRPr="00DB0125">
        <w:rPr>
          <w:rFonts w:ascii="Times New Roman" w:hAnsi="Times New Roman" w:cs="Times New Roman"/>
          <w:sz w:val="24"/>
          <w:szCs w:val="24"/>
        </w:rPr>
        <w:t xml:space="preserve"> </w:t>
      </w:r>
      <w:r w:rsidRPr="00DB0125">
        <w:rPr>
          <w:rFonts w:ascii="Times New Roman" w:hAnsi="Times New Roman" w:cs="Times New Roman"/>
          <w:bCs/>
          <w:i/>
          <w:iCs/>
          <w:sz w:val="24"/>
          <w:szCs w:val="24"/>
        </w:rPr>
        <w:t>Economics</w:t>
      </w:r>
      <w:r>
        <w:rPr>
          <w:rFonts w:ascii="Times New Roman" w:hAnsi="Times New Roman" w:cs="Times New Roman"/>
          <w:sz w:val="24"/>
          <w:szCs w:val="24"/>
        </w:rPr>
        <w:t>, 46(2): 371-384.</w:t>
      </w:r>
    </w:p>
    <w:p w14:paraId="55B104C8" w14:textId="3C4F302A" w:rsidR="001130B2" w:rsidRDefault="001130B2" w:rsidP="001130B2">
      <w:pPr>
        <w:autoSpaceDE w:val="0"/>
        <w:autoSpaceDN w:val="0"/>
        <w:adjustRightInd w:val="0"/>
        <w:spacing w:after="120" w:line="240" w:lineRule="auto"/>
        <w:ind w:left="720" w:hanging="720"/>
        <w:jc w:val="both"/>
        <w:rPr>
          <w:rFonts w:ascii="Times New Roman" w:hAnsi="Times New Roman" w:cs="Times New Roman"/>
          <w:sz w:val="24"/>
          <w:szCs w:val="24"/>
        </w:rPr>
      </w:pPr>
      <w:r w:rsidRPr="00200204">
        <w:rPr>
          <w:rFonts w:ascii="Palatino-Roman" w:hAnsi="Palatino-Roman" w:cs="Palatino-Roman"/>
          <w:sz w:val="24"/>
          <w:szCs w:val="24"/>
        </w:rPr>
        <w:t xml:space="preserve">De </w:t>
      </w:r>
      <w:proofErr w:type="spellStart"/>
      <w:r w:rsidRPr="00200204">
        <w:rPr>
          <w:rFonts w:ascii="Palatino-Roman" w:hAnsi="Palatino-Roman" w:cs="Palatino-Roman"/>
          <w:sz w:val="24"/>
          <w:szCs w:val="24"/>
        </w:rPr>
        <w:t>Nardi</w:t>
      </w:r>
      <w:proofErr w:type="spellEnd"/>
      <w:r w:rsidRPr="00200204">
        <w:rPr>
          <w:rFonts w:ascii="Palatino-Roman" w:hAnsi="Palatino-Roman" w:cs="Palatino-Roman"/>
          <w:sz w:val="24"/>
          <w:szCs w:val="24"/>
        </w:rPr>
        <w:t>, M., E. French, and J. B. Jones, 2010, Why Do the Elderly Save? The Role of</w:t>
      </w:r>
      <w:r>
        <w:rPr>
          <w:rFonts w:ascii="Times New Roman" w:hAnsi="Times New Roman" w:cs="Times New Roman"/>
          <w:sz w:val="24"/>
          <w:szCs w:val="24"/>
        </w:rPr>
        <w:t xml:space="preserve"> </w:t>
      </w:r>
      <w:r w:rsidRPr="00200204">
        <w:rPr>
          <w:rFonts w:ascii="Palatino-Roman" w:hAnsi="Palatino-Roman" w:cs="Palatino-Roman"/>
          <w:sz w:val="24"/>
          <w:szCs w:val="24"/>
        </w:rPr>
        <w:t xml:space="preserve">Medical Expenses, </w:t>
      </w:r>
      <w:r w:rsidRPr="00200204">
        <w:rPr>
          <w:rFonts w:ascii="Palatino-Roman" w:hAnsi="Palatino-Roman" w:cs="Palatino-Roman"/>
          <w:i/>
          <w:sz w:val="24"/>
          <w:szCs w:val="24"/>
        </w:rPr>
        <w:t>Journal of Political Economy</w:t>
      </w:r>
      <w:r w:rsidRPr="00200204">
        <w:rPr>
          <w:rFonts w:ascii="Palatino-Roman" w:hAnsi="Palatino-Roman" w:cs="Palatino-Roman"/>
          <w:sz w:val="24"/>
          <w:szCs w:val="24"/>
        </w:rPr>
        <w:t>, 118(1): 39-75.</w:t>
      </w:r>
    </w:p>
    <w:p w14:paraId="47FDD97A" w14:textId="77777777" w:rsidR="001130B2" w:rsidRPr="00DB0125" w:rsidRDefault="001130B2" w:rsidP="001130B2">
      <w:pPr>
        <w:autoSpaceDE w:val="0"/>
        <w:autoSpaceDN w:val="0"/>
        <w:adjustRightInd w:val="0"/>
        <w:spacing w:after="120" w:line="240" w:lineRule="auto"/>
        <w:ind w:left="720" w:hanging="720"/>
        <w:jc w:val="both"/>
        <w:rPr>
          <w:rFonts w:ascii="Times New Roman" w:hAnsi="Times New Roman" w:cs="Times New Roman"/>
          <w:sz w:val="24"/>
          <w:szCs w:val="24"/>
        </w:rPr>
      </w:pPr>
      <w:proofErr w:type="gramStart"/>
      <w:r w:rsidRPr="00DB0125">
        <w:rPr>
          <w:rFonts w:ascii="Times New Roman" w:hAnsi="Times New Roman" w:cs="Times New Roman"/>
          <w:sz w:val="24"/>
          <w:szCs w:val="24"/>
        </w:rPr>
        <w:t>Davidoff, T. (2010).</w:t>
      </w:r>
      <w:proofErr w:type="gramEnd"/>
      <w:r w:rsidRPr="00DB0125">
        <w:rPr>
          <w:rFonts w:ascii="Times New Roman" w:hAnsi="Times New Roman" w:cs="Times New Roman"/>
          <w:sz w:val="24"/>
          <w:szCs w:val="24"/>
        </w:rPr>
        <w:t xml:space="preserve"> Home equity commitment and long-term care insurance demand. </w:t>
      </w:r>
      <w:r w:rsidRPr="00DB0125">
        <w:rPr>
          <w:rFonts w:ascii="Times New Roman" w:hAnsi="Times New Roman" w:cs="Times New Roman"/>
          <w:i/>
          <w:sz w:val="24"/>
          <w:szCs w:val="24"/>
        </w:rPr>
        <w:t>Journal of Public Economics</w:t>
      </w:r>
      <w:r w:rsidRPr="00DB0125">
        <w:rPr>
          <w:rFonts w:ascii="Times New Roman" w:hAnsi="Times New Roman" w:cs="Times New Roman"/>
          <w:sz w:val="24"/>
          <w:szCs w:val="24"/>
        </w:rPr>
        <w:t>, 94: 44-49.</w:t>
      </w:r>
    </w:p>
    <w:p w14:paraId="708D06E4" w14:textId="77777777" w:rsidR="001130B2" w:rsidRPr="00DB0125" w:rsidRDefault="001130B2" w:rsidP="001130B2">
      <w:pPr>
        <w:autoSpaceDE w:val="0"/>
        <w:autoSpaceDN w:val="0"/>
        <w:adjustRightInd w:val="0"/>
        <w:spacing w:after="120" w:line="240" w:lineRule="auto"/>
        <w:ind w:left="720" w:hanging="720"/>
        <w:jc w:val="both"/>
        <w:rPr>
          <w:rFonts w:ascii="Times New Roman" w:hAnsi="Times New Roman" w:cs="Times New Roman"/>
          <w:sz w:val="24"/>
          <w:szCs w:val="24"/>
        </w:rPr>
      </w:pPr>
      <w:r w:rsidRPr="00DB0125">
        <w:rPr>
          <w:rFonts w:ascii="Times New Roman" w:hAnsi="Times New Roman" w:cs="Times New Roman"/>
          <w:sz w:val="24"/>
          <w:szCs w:val="24"/>
        </w:rPr>
        <w:t xml:space="preserve">Ellsberg, D. (1961) Risk, Ambiguity, and the Savage Axioms, </w:t>
      </w:r>
      <w:r w:rsidRPr="00DB0125">
        <w:rPr>
          <w:rFonts w:ascii="Times New Roman" w:hAnsi="Times New Roman" w:cs="Times New Roman"/>
          <w:i/>
          <w:sz w:val="24"/>
          <w:szCs w:val="24"/>
        </w:rPr>
        <w:t>Quarterly Journal of Economics</w:t>
      </w:r>
      <w:r w:rsidRPr="00DB0125">
        <w:rPr>
          <w:rFonts w:ascii="Times New Roman" w:hAnsi="Times New Roman" w:cs="Times New Roman"/>
          <w:sz w:val="24"/>
          <w:szCs w:val="24"/>
        </w:rPr>
        <w:t xml:space="preserve"> 75(4): 643-669.</w:t>
      </w:r>
    </w:p>
    <w:p w14:paraId="6D4E5668" w14:textId="77777777" w:rsidR="001130B2" w:rsidRPr="00DB0125" w:rsidRDefault="001130B2" w:rsidP="001130B2">
      <w:pPr>
        <w:autoSpaceDE w:val="0"/>
        <w:autoSpaceDN w:val="0"/>
        <w:adjustRightInd w:val="0"/>
        <w:spacing w:after="120" w:line="240" w:lineRule="auto"/>
        <w:ind w:left="720" w:hanging="720"/>
        <w:jc w:val="both"/>
        <w:rPr>
          <w:rFonts w:ascii="Times New Roman" w:hAnsi="Times New Roman" w:cs="Times New Roman"/>
          <w:sz w:val="24"/>
          <w:szCs w:val="24"/>
        </w:rPr>
      </w:pPr>
      <w:proofErr w:type="gramStart"/>
      <w:r w:rsidRPr="00DB0125">
        <w:rPr>
          <w:rFonts w:ascii="Times New Roman" w:hAnsi="Times New Roman" w:cs="Times New Roman"/>
          <w:bCs/>
          <w:sz w:val="24"/>
          <w:szCs w:val="24"/>
        </w:rPr>
        <w:t xml:space="preserve">Epstein, L., and Schneider, M. (2003) Recursive Multiple-priors, </w:t>
      </w:r>
      <w:r w:rsidRPr="00DB0125">
        <w:rPr>
          <w:rFonts w:ascii="Times New Roman" w:hAnsi="Times New Roman" w:cs="Times New Roman"/>
          <w:bCs/>
          <w:i/>
          <w:sz w:val="24"/>
          <w:szCs w:val="24"/>
        </w:rPr>
        <w:t>Journal of Economic Theory</w:t>
      </w:r>
      <w:r w:rsidRPr="00DB0125">
        <w:rPr>
          <w:rFonts w:ascii="Times New Roman" w:hAnsi="Times New Roman" w:cs="Times New Roman"/>
          <w:bCs/>
          <w:sz w:val="24"/>
          <w:szCs w:val="24"/>
        </w:rPr>
        <w:t>, 113:1-31.</w:t>
      </w:r>
      <w:proofErr w:type="gramEnd"/>
    </w:p>
    <w:p w14:paraId="7155BE1A" w14:textId="77777777" w:rsidR="001130B2" w:rsidRPr="00DB0125" w:rsidRDefault="001130B2" w:rsidP="001130B2">
      <w:pPr>
        <w:autoSpaceDE w:val="0"/>
        <w:autoSpaceDN w:val="0"/>
        <w:adjustRightInd w:val="0"/>
        <w:spacing w:after="120" w:line="240" w:lineRule="auto"/>
        <w:ind w:left="720" w:hanging="720"/>
        <w:jc w:val="both"/>
        <w:rPr>
          <w:rFonts w:ascii="Times New Roman" w:hAnsi="Times New Roman" w:cs="Times New Roman"/>
          <w:sz w:val="24"/>
          <w:szCs w:val="24"/>
        </w:rPr>
      </w:pPr>
      <w:proofErr w:type="gramStart"/>
      <w:r w:rsidRPr="00DB0125">
        <w:rPr>
          <w:rFonts w:ascii="Times New Roman" w:hAnsi="Times New Roman" w:cs="Times New Roman"/>
          <w:sz w:val="24"/>
          <w:szCs w:val="24"/>
        </w:rPr>
        <w:t xml:space="preserve">Fong, J. H., Shao, A. W., and </w:t>
      </w:r>
      <w:proofErr w:type="spellStart"/>
      <w:r w:rsidRPr="00DB0125">
        <w:rPr>
          <w:rFonts w:ascii="Times New Roman" w:hAnsi="Times New Roman" w:cs="Times New Roman"/>
          <w:sz w:val="24"/>
          <w:szCs w:val="24"/>
        </w:rPr>
        <w:t>Sherris</w:t>
      </w:r>
      <w:proofErr w:type="spellEnd"/>
      <w:r w:rsidRPr="00DB0125">
        <w:rPr>
          <w:rFonts w:ascii="Times New Roman" w:hAnsi="Times New Roman" w:cs="Times New Roman"/>
          <w:sz w:val="24"/>
          <w:szCs w:val="24"/>
        </w:rPr>
        <w:t>, M. (2015).</w:t>
      </w:r>
      <w:proofErr w:type="gramEnd"/>
      <w:r w:rsidRPr="00DB0125">
        <w:rPr>
          <w:rFonts w:ascii="Times New Roman" w:hAnsi="Times New Roman" w:cs="Times New Roman"/>
          <w:sz w:val="24"/>
          <w:szCs w:val="24"/>
        </w:rPr>
        <w:t xml:space="preserve"> </w:t>
      </w:r>
      <w:proofErr w:type="gramStart"/>
      <w:r w:rsidRPr="00DB0125">
        <w:rPr>
          <w:rFonts w:ascii="Times New Roman" w:hAnsi="Times New Roman" w:cs="Times New Roman"/>
          <w:sz w:val="24"/>
          <w:szCs w:val="24"/>
        </w:rPr>
        <w:t>Multi-state actuarial models of functional disability.</w:t>
      </w:r>
      <w:proofErr w:type="gramEnd"/>
      <w:r w:rsidRPr="00DB0125">
        <w:rPr>
          <w:rFonts w:ascii="Times New Roman" w:hAnsi="Times New Roman" w:cs="Times New Roman"/>
          <w:sz w:val="24"/>
          <w:szCs w:val="24"/>
        </w:rPr>
        <w:t xml:space="preserve"> </w:t>
      </w:r>
      <w:r w:rsidRPr="00DB0125">
        <w:rPr>
          <w:rFonts w:ascii="Times New Roman" w:hAnsi="Times New Roman" w:cs="Times New Roman"/>
          <w:i/>
          <w:sz w:val="24"/>
          <w:szCs w:val="24"/>
        </w:rPr>
        <w:t>North American Actuarial Journal</w:t>
      </w:r>
      <w:r w:rsidRPr="00DB0125">
        <w:rPr>
          <w:rFonts w:ascii="Times New Roman" w:hAnsi="Times New Roman" w:cs="Times New Roman"/>
          <w:sz w:val="24"/>
          <w:szCs w:val="24"/>
        </w:rPr>
        <w:t>, 19</w:t>
      </w:r>
      <w:r>
        <w:rPr>
          <w:rFonts w:ascii="Times New Roman" w:hAnsi="Times New Roman" w:cs="Times New Roman"/>
          <w:sz w:val="24"/>
          <w:szCs w:val="24"/>
        </w:rPr>
        <w:t>(1), 41-</w:t>
      </w:r>
      <w:r w:rsidRPr="00DB0125">
        <w:rPr>
          <w:rFonts w:ascii="Times New Roman" w:hAnsi="Times New Roman" w:cs="Times New Roman"/>
          <w:sz w:val="24"/>
          <w:szCs w:val="24"/>
        </w:rPr>
        <w:t>59.</w:t>
      </w:r>
    </w:p>
    <w:p w14:paraId="016AE210" w14:textId="77777777" w:rsidR="001130B2" w:rsidRPr="00DB0125" w:rsidRDefault="001130B2" w:rsidP="001130B2">
      <w:pPr>
        <w:autoSpaceDE w:val="0"/>
        <w:autoSpaceDN w:val="0"/>
        <w:adjustRightInd w:val="0"/>
        <w:spacing w:after="120" w:line="240" w:lineRule="auto"/>
        <w:ind w:left="720" w:hanging="720"/>
        <w:jc w:val="both"/>
        <w:rPr>
          <w:rFonts w:ascii="Times New Roman" w:hAnsi="Times New Roman" w:cs="Times New Roman"/>
          <w:bCs/>
          <w:sz w:val="24"/>
          <w:szCs w:val="24"/>
        </w:rPr>
      </w:pPr>
      <w:proofErr w:type="spellStart"/>
      <w:r w:rsidRPr="00DB0125">
        <w:rPr>
          <w:rFonts w:ascii="Times New Roman" w:hAnsi="Times New Roman" w:cs="Times New Roman"/>
          <w:bCs/>
          <w:sz w:val="24"/>
          <w:szCs w:val="24"/>
        </w:rPr>
        <w:t>Gilboa</w:t>
      </w:r>
      <w:proofErr w:type="gramStart"/>
      <w:r w:rsidRPr="00DB0125">
        <w:rPr>
          <w:rFonts w:ascii="Times New Roman" w:hAnsi="Times New Roman" w:cs="Times New Roman"/>
          <w:bCs/>
          <w:sz w:val="24"/>
          <w:szCs w:val="24"/>
        </w:rPr>
        <w:t>,I</w:t>
      </w:r>
      <w:proofErr w:type="spellEnd"/>
      <w:proofErr w:type="gramEnd"/>
      <w:r w:rsidRPr="00DB0125">
        <w:rPr>
          <w:rFonts w:ascii="Times New Roman" w:hAnsi="Times New Roman" w:cs="Times New Roman"/>
          <w:bCs/>
          <w:sz w:val="24"/>
          <w:szCs w:val="24"/>
        </w:rPr>
        <w:t xml:space="preserve"> ., and </w:t>
      </w:r>
      <w:proofErr w:type="spellStart"/>
      <w:r w:rsidRPr="00DB0125">
        <w:rPr>
          <w:rFonts w:ascii="Times New Roman" w:hAnsi="Times New Roman" w:cs="Times New Roman"/>
          <w:bCs/>
          <w:sz w:val="24"/>
          <w:szCs w:val="24"/>
        </w:rPr>
        <w:t>Schmeidler</w:t>
      </w:r>
      <w:proofErr w:type="spellEnd"/>
      <w:r w:rsidRPr="00DB0125">
        <w:rPr>
          <w:rFonts w:ascii="Times New Roman" w:hAnsi="Times New Roman" w:cs="Times New Roman"/>
          <w:bCs/>
          <w:sz w:val="24"/>
          <w:szCs w:val="24"/>
        </w:rPr>
        <w:t xml:space="preserve">, D. (1989) </w:t>
      </w:r>
      <w:proofErr w:type="spellStart"/>
      <w:r w:rsidRPr="00DB0125">
        <w:rPr>
          <w:rFonts w:ascii="Times New Roman" w:hAnsi="Times New Roman" w:cs="Times New Roman"/>
          <w:bCs/>
          <w:sz w:val="24"/>
          <w:szCs w:val="24"/>
        </w:rPr>
        <w:t>Maxmin</w:t>
      </w:r>
      <w:proofErr w:type="spellEnd"/>
      <w:r w:rsidRPr="00DB0125">
        <w:rPr>
          <w:rFonts w:ascii="Times New Roman" w:hAnsi="Times New Roman" w:cs="Times New Roman"/>
          <w:bCs/>
          <w:sz w:val="24"/>
          <w:szCs w:val="24"/>
        </w:rPr>
        <w:t xml:space="preserve"> Expected Utility Theory with Non-unique Prior. </w:t>
      </w:r>
      <w:r w:rsidRPr="00DB0125">
        <w:rPr>
          <w:rFonts w:ascii="Times New Roman" w:hAnsi="Times New Roman" w:cs="Times New Roman"/>
          <w:bCs/>
          <w:i/>
          <w:sz w:val="24"/>
          <w:szCs w:val="24"/>
        </w:rPr>
        <w:t>Journal of Mathematical Economics</w:t>
      </w:r>
      <w:r w:rsidRPr="00DB0125">
        <w:rPr>
          <w:rFonts w:ascii="Times New Roman" w:hAnsi="Times New Roman" w:cs="Times New Roman"/>
          <w:bCs/>
          <w:sz w:val="24"/>
          <w:szCs w:val="24"/>
        </w:rPr>
        <w:t xml:space="preserve"> 18: 141-153.</w:t>
      </w:r>
    </w:p>
    <w:p w14:paraId="7C6F219A" w14:textId="77777777" w:rsidR="001130B2" w:rsidRPr="00DB0125" w:rsidRDefault="001130B2" w:rsidP="001130B2">
      <w:pPr>
        <w:autoSpaceDE w:val="0"/>
        <w:autoSpaceDN w:val="0"/>
        <w:adjustRightInd w:val="0"/>
        <w:spacing w:after="120" w:line="240" w:lineRule="auto"/>
        <w:ind w:left="720" w:hanging="720"/>
        <w:jc w:val="both"/>
        <w:rPr>
          <w:rFonts w:ascii="Times New Roman" w:eastAsia="CMR12" w:hAnsi="Times New Roman" w:cs="Times New Roman"/>
          <w:sz w:val="24"/>
          <w:szCs w:val="24"/>
        </w:rPr>
      </w:pPr>
      <w:r w:rsidRPr="00DB0125">
        <w:rPr>
          <w:rFonts w:ascii="Times New Roman" w:eastAsia="CMR12" w:hAnsi="Times New Roman" w:cs="Times New Roman"/>
          <w:sz w:val="24"/>
          <w:szCs w:val="24"/>
        </w:rPr>
        <w:t xml:space="preserve">Hansen, L. P. and Sargent, T.J. (2001) Robust Control and Model Uncertainty, </w:t>
      </w:r>
      <w:r w:rsidRPr="00DB0125">
        <w:rPr>
          <w:rFonts w:ascii="Times New Roman" w:eastAsia="CMR12" w:hAnsi="Times New Roman" w:cs="Times New Roman"/>
          <w:i/>
          <w:sz w:val="24"/>
          <w:szCs w:val="24"/>
        </w:rPr>
        <w:t>American Economic Review</w:t>
      </w:r>
      <w:r w:rsidRPr="00DB0125">
        <w:rPr>
          <w:rFonts w:ascii="Times New Roman" w:eastAsia="CMR12" w:hAnsi="Times New Roman" w:cs="Times New Roman"/>
          <w:sz w:val="24"/>
          <w:szCs w:val="24"/>
        </w:rPr>
        <w:t xml:space="preserve"> 91: 60–66.</w:t>
      </w:r>
    </w:p>
    <w:p w14:paraId="4E690E14" w14:textId="77777777" w:rsidR="001130B2" w:rsidRPr="00DB0125" w:rsidRDefault="001130B2" w:rsidP="001130B2">
      <w:pPr>
        <w:autoSpaceDE w:val="0"/>
        <w:autoSpaceDN w:val="0"/>
        <w:adjustRightInd w:val="0"/>
        <w:spacing w:after="120" w:line="240" w:lineRule="auto"/>
        <w:ind w:left="720" w:hanging="720"/>
        <w:jc w:val="both"/>
        <w:rPr>
          <w:rFonts w:ascii="Times New Roman" w:hAnsi="Times New Roman" w:cs="Times New Roman"/>
          <w:sz w:val="24"/>
          <w:szCs w:val="24"/>
        </w:rPr>
      </w:pPr>
      <w:proofErr w:type="spellStart"/>
      <w:r w:rsidRPr="00DB0125">
        <w:rPr>
          <w:rFonts w:ascii="Times New Roman" w:hAnsi="Times New Roman" w:cs="Times New Roman"/>
          <w:sz w:val="24"/>
          <w:szCs w:val="24"/>
        </w:rPr>
        <w:t>Hanewald</w:t>
      </w:r>
      <w:proofErr w:type="spellEnd"/>
      <w:r w:rsidRPr="00DB0125">
        <w:rPr>
          <w:rFonts w:ascii="Times New Roman" w:hAnsi="Times New Roman" w:cs="Times New Roman"/>
          <w:sz w:val="24"/>
          <w:szCs w:val="24"/>
        </w:rPr>
        <w:t xml:space="preserve">, K., Post, T., and </w:t>
      </w:r>
      <w:proofErr w:type="spellStart"/>
      <w:r w:rsidRPr="00DB0125">
        <w:rPr>
          <w:rFonts w:ascii="Times New Roman" w:hAnsi="Times New Roman" w:cs="Times New Roman"/>
          <w:sz w:val="24"/>
          <w:szCs w:val="24"/>
        </w:rPr>
        <w:t>Sherris</w:t>
      </w:r>
      <w:proofErr w:type="spellEnd"/>
      <w:r w:rsidRPr="00DB0125">
        <w:rPr>
          <w:rFonts w:ascii="Times New Roman" w:hAnsi="Times New Roman" w:cs="Times New Roman"/>
          <w:sz w:val="24"/>
          <w:szCs w:val="24"/>
        </w:rPr>
        <w:t xml:space="preserve">, M. (2013). </w:t>
      </w:r>
      <w:proofErr w:type="gramStart"/>
      <w:r w:rsidRPr="00DB0125">
        <w:rPr>
          <w:rFonts w:ascii="Times New Roman" w:hAnsi="Times New Roman" w:cs="Times New Roman"/>
          <w:sz w:val="24"/>
          <w:szCs w:val="24"/>
        </w:rPr>
        <w:t>Portfolio choice in retirement - What is the optimal home Equity release product?</w:t>
      </w:r>
      <w:proofErr w:type="gramEnd"/>
      <w:r w:rsidRPr="00DB0125">
        <w:rPr>
          <w:rFonts w:ascii="Times New Roman" w:hAnsi="Times New Roman" w:cs="Times New Roman"/>
          <w:sz w:val="24"/>
          <w:szCs w:val="24"/>
        </w:rPr>
        <w:t xml:space="preserve"> </w:t>
      </w:r>
      <w:proofErr w:type="gramStart"/>
      <w:r w:rsidRPr="00DB0125">
        <w:rPr>
          <w:rFonts w:ascii="Times New Roman" w:hAnsi="Times New Roman" w:cs="Times New Roman"/>
          <w:sz w:val="24"/>
          <w:szCs w:val="24"/>
        </w:rPr>
        <w:t>UNSW Australian School of Business Research Paper No. 2013ACTL16.</w:t>
      </w:r>
      <w:proofErr w:type="gramEnd"/>
    </w:p>
    <w:p w14:paraId="630ACE1F" w14:textId="77777777" w:rsidR="001130B2" w:rsidRDefault="001130B2" w:rsidP="001130B2">
      <w:pPr>
        <w:autoSpaceDE w:val="0"/>
        <w:autoSpaceDN w:val="0"/>
        <w:adjustRightInd w:val="0"/>
        <w:spacing w:after="120" w:line="240" w:lineRule="auto"/>
        <w:ind w:left="720" w:hanging="720"/>
        <w:jc w:val="both"/>
        <w:rPr>
          <w:rFonts w:ascii="Times New Roman" w:hAnsi="Times New Roman" w:cs="Times New Roman"/>
          <w:sz w:val="24"/>
          <w:szCs w:val="24"/>
        </w:rPr>
      </w:pPr>
      <w:proofErr w:type="gramStart"/>
      <w:r w:rsidRPr="00DB0125">
        <w:rPr>
          <w:rFonts w:ascii="Times New Roman" w:hAnsi="Times New Roman" w:cs="Times New Roman"/>
          <w:sz w:val="24"/>
          <w:szCs w:val="24"/>
        </w:rPr>
        <w:t>International Monetary Fund (2012).</w:t>
      </w:r>
      <w:proofErr w:type="gramEnd"/>
      <w:r w:rsidRPr="00DB0125">
        <w:rPr>
          <w:rFonts w:ascii="Times New Roman" w:hAnsi="Times New Roman" w:cs="Times New Roman"/>
          <w:sz w:val="24"/>
          <w:szCs w:val="24"/>
        </w:rPr>
        <w:t xml:space="preserve"> Global Financial Stability Report, April 2012. World Economic and Financial Surveys 0258-7440</w:t>
      </w:r>
      <w:bookmarkStart w:id="12" w:name="OLE_LINK1"/>
      <w:bookmarkStart w:id="13" w:name="OLE_LINK2"/>
    </w:p>
    <w:p w14:paraId="05417BF1" w14:textId="7DD99E6F" w:rsidR="001130B2" w:rsidRPr="00DB0125" w:rsidRDefault="001130B2" w:rsidP="001130B2">
      <w:pPr>
        <w:autoSpaceDE w:val="0"/>
        <w:autoSpaceDN w:val="0"/>
        <w:adjustRightInd w:val="0"/>
        <w:spacing w:after="120" w:line="240" w:lineRule="auto"/>
        <w:ind w:left="720" w:hanging="720"/>
        <w:jc w:val="both"/>
        <w:rPr>
          <w:rFonts w:ascii="Times New Roman" w:hAnsi="Times New Roman" w:cs="Times New Roman"/>
          <w:sz w:val="24"/>
          <w:szCs w:val="24"/>
        </w:rPr>
      </w:pPr>
      <w:proofErr w:type="spellStart"/>
      <w:r w:rsidRPr="00254E3F">
        <w:rPr>
          <w:rFonts w:ascii="Palatino-Roman" w:hAnsi="Palatino-Roman" w:cs="Palatino-Roman"/>
          <w:sz w:val="24"/>
          <w:szCs w:val="24"/>
        </w:rPr>
        <w:t>Koijen</w:t>
      </w:r>
      <w:bookmarkEnd w:id="12"/>
      <w:bookmarkEnd w:id="13"/>
      <w:proofErr w:type="spellEnd"/>
      <w:r w:rsidRPr="00254E3F">
        <w:rPr>
          <w:rFonts w:ascii="Palatino-Roman" w:hAnsi="Palatino-Roman" w:cs="Palatino-Roman"/>
          <w:sz w:val="24"/>
          <w:szCs w:val="24"/>
        </w:rPr>
        <w:t xml:space="preserve"> R</w:t>
      </w:r>
      <w:r>
        <w:rPr>
          <w:rFonts w:ascii="Palatino-Roman" w:hAnsi="Palatino-Roman" w:cs="Palatino-Roman" w:hint="eastAsia"/>
          <w:sz w:val="24"/>
          <w:szCs w:val="24"/>
        </w:rPr>
        <w:t>.</w:t>
      </w:r>
      <w:r w:rsidRPr="00254E3F">
        <w:rPr>
          <w:rFonts w:ascii="Palatino-Roman" w:hAnsi="Palatino-Roman" w:cs="Palatino-Roman"/>
          <w:sz w:val="24"/>
          <w:szCs w:val="24"/>
        </w:rPr>
        <w:t xml:space="preserve">, </w:t>
      </w:r>
      <w:r>
        <w:rPr>
          <w:rFonts w:ascii="Palatino-Roman" w:hAnsi="Palatino-Roman" w:cs="Palatino-Roman" w:hint="eastAsia"/>
          <w:sz w:val="24"/>
          <w:szCs w:val="24"/>
        </w:rPr>
        <w:t xml:space="preserve">S. </w:t>
      </w:r>
      <w:r w:rsidRPr="00254E3F">
        <w:rPr>
          <w:rFonts w:ascii="Palatino-Roman" w:hAnsi="Palatino-Roman" w:cs="Palatino-Roman"/>
          <w:sz w:val="24"/>
          <w:szCs w:val="24"/>
        </w:rPr>
        <w:t xml:space="preserve">Van </w:t>
      </w:r>
      <w:proofErr w:type="spellStart"/>
      <w:r w:rsidRPr="00254E3F">
        <w:rPr>
          <w:rFonts w:ascii="Palatino-Roman" w:hAnsi="Palatino-Roman" w:cs="Palatino-Roman"/>
          <w:sz w:val="24"/>
          <w:szCs w:val="24"/>
        </w:rPr>
        <w:t>Nieuwerburgh</w:t>
      </w:r>
      <w:proofErr w:type="spellEnd"/>
      <w:r w:rsidRPr="00254E3F">
        <w:rPr>
          <w:rFonts w:ascii="Palatino-Roman" w:hAnsi="Palatino-Roman" w:cs="Palatino-Roman"/>
          <w:sz w:val="24"/>
          <w:szCs w:val="24"/>
        </w:rPr>
        <w:t>,</w:t>
      </w:r>
      <w:r>
        <w:rPr>
          <w:rFonts w:ascii="Palatino-Roman" w:hAnsi="Palatino-Roman" w:cs="Palatino-Roman" w:hint="eastAsia"/>
          <w:sz w:val="24"/>
          <w:szCs w:val="24"/>
        </w:rPr>
        <w:t xml:space="preserve"> M.</w:t>
      </w:r>
      <w:r w:rsidRPr="00254E3F">
        <w:rPr>
          <w:rFonts w:ascii="Palatino-Roman" w:hAnsi="Palatino-Roman" w:cs="Palatino-Roman"/>
          <w:sz w:val="24"/>
          <w:szCs w:val="24"/>
        </w:rPr>
        <w:t xml:space="preserve"> </w:t>
      </w:r>
      <w:proofErr w:type="spellStart"/>
      <w:r w:rsidRPr="00254E3F">
        <w:rPr>
          <w:rFonts w:ascii="Palatino-Roman" w:hAnsi="Palatino-Roman" w:cs="Palatino-Roman"/>
          <w:sz w:val="24"/>
          <w:szCs w:val="24"/>
        </w:rPr>
        <w:t>Yogo</w:t>
      </w:r>
      <w:proofErr w:type="spellEnd"/>
      <w:r>
        <w:rPr>
          <w:rFonts w:ascii="Palatino-Roman" w:hAnsi="Palatino-Roman" w:cs="Palatino-Roman" w:hint="eastAsia"/>
          <w:sz w:val="24"/>
          <w:szCs w:val="24"/>
        </w:rPr>
        <w:t>, 2016,</w:t>
      </w:r>
      <w:r w:rsidRPr="00254E3F">
        <w:rPr>
          <w:rFonts w:ascii="Palatino-Roman" w:hAnsi="Palatino-Roman" w:cs="Palatino-Roman"/>
          <w:sz w:val="24"/>
          <w:szCs w:val="24"/>
        </w:rPr>
        <w:t xml:space="preserve"> Health and Mortality Delta: Assessing the Welfare Cost of Household Insurance Choice</w:t>
      </w:r>
      <w:r>
        <w:rPr>
          <w:rFonts w:ascii="Palatino-Roman" w:hAnsi="Palatino-Roman" w:cs="Palatino-Roman" w:hint="eastAsia"/>
          <w:sz w:val="24"/>
          <w:szCs w:val="24"/>
        </w:rPr>
        <w:t>, Journal of Finance,</w:t>
      </w:r>
      <w:r w:rsidRPr="00254E3F">
        <w:rPr>
          <w:rFonts w:ascii="Palatino-Roman" w:hAnsi="Palatino-Roman" w:cs="Palatino-Roman"/>
          <w:sz w:val="24"/>
          <w:szCs w:val="24"/>
        </w:rPr>
        <w:t xml:space="preserve"> 71(2)</w:t>
      </w:r>
      <w:r>
        <w:rPr>
          <w:rFonts w:ascii="Palatino-Roman" w:hAnsi="Palatino-Roman" w:cs="Palatino-Roman" w:hint="eastAsia"/>
          <w:sz w:val="24"/>
          <w:szCs w:val="24"/>
        </w:rPr>
        <w:t>: 957-1009</w:t>
      </w:r>
      <w:r w:rsidRPr="00254E3F">
        <w:rPr>
          <w:rFonts w:ascii="Palatino-Roman" w:hAnsi="Palatino-Roman" w:cs="Palatino-Roman"/>
          <w:sz w:val="24"/>
          <w:szCs w:val="24"/>
        </w:rPr>
        <w:t>.</w:t>
      </w:r>
    </w:p>
    <w:p w14:paraId="59C9C846" w14:textId="77777777" w:rsidR="001130B2" w:rsidRPr="00DB0125" w:rsidRDefault="001130B2" w:rsidP="001130B2">
      <w:pPr>
        <w:autoSpaceDE w:val="0"/>
        <w:autoSpaceDN w:val="0"/>
        <w:adjustRightInd w:val="0"/>
        <w:spacing w:after="120" w:line="240" w:lineRule="auto"/>
        <w:ind w:left="720" w:hanging="720"/>
        <w:jc w:val="both"/>
        <w:rPr>
          <w:rFonts w:ascii="Times New Roman" w:hAnsi="Times New Roman" w:cs="Times New Roman"/>
          <w:sz w:val="24"/>
          <w:szCs w:val="24"/>
        </w:rPr>
      </w:pPr>
      <w:proofErr w:type="spellStart"/>
      <w:proofErr w:type="gramStart"/>
      <w:r w:rsidRPr="00DB0125">
        <w:rPr>
          <w:rFonts w:ascii="Times New Roman" w:hAnsi="Times New Roman" w:cs="Times New Roman"/>
          <w:sz w:val="24"/>
          <w:szCs w:val="24"/>
        </w:rPr>
        <w:lastRenderedPageBreak/>
        <w:t>Klibanoff</w:t>
      </w:r>
      <w:proofErr w:type="spellEnd"/>
      <w:r w:rsidRPr="00DB0125">
        <w:rPr>
          <w:rFonts w:ascii="Times New Roman" w:hAnsi="Times New Roman" w:cs="Times New Roman"/>
          <w:sz w:val="24"/>
          <w:szCs w:val="24"/>
        </w:rPr>
        <w:t xml:space="preserve">, P., </w:t>
      </w:r>
      <w:proofErr w:type="spellStart"/>
      <w:r w:rsidRPr="00DB0125">
        <w:rPr>
          <w:rFonts w:ascii="Times New Roman" w:hAnsi="Times New Roman" w:cs="Times New Roman"/>
          <w:sz w:val="24"/>
          <w:szCs w:val="24"/>
        </w:rPr>
        <w:t>Marinacci</w:t>
      </w:r>
      <w:proofErr w:type="spellEnd"/>
      <w:r w:rsidRPr="00DB0125">
        <w:rPr>
          <w:rFonts w:ascii="Times New Roman" w:hAnsi="Times New Roman" w:cs="Times New Roman"/>
          <w:sz w:val="24"/>
          <w:szCs w:val="24"/>
        </w:rPr>
        <w:t xml:space="preserve">, M., and </w:t>
      </w:r>
      <w:proofErr w:type="spellStart"/>
      <w:r w:rsidRPr="00DB0125">
        <w:rPr>
          <w:rFonts w:ascii="Times New Roman" w:hAnsi="Times New Roman" w:cs="Times New Roman"/>
          <w:sz w:val="24"/>
          <w:szCs w:val="24"/>
        </w:rPr>
        <w:t>Mukerji</w:t>
      </w:r>
      <w:proofErr w:type="spellEnd"/>
      <w:r w:rsidRPr="00DB0125">
        <w:rPr>
          <w:rFonts w:ascii="Times New Roman" w:hAnsi="Times New Roman" w:cs="Times New Roman"/>
          <w:sz w:val="24"/>
          <w:szCs w:val="24"/>
        </w:rPr>
        <w:t xml:space="preserve">, S. (2005) A Smooth Model of Decision Making under Ambiguity, </w:t>
      </w:r>
      <w:proofErr w:type="spellStart"/>
      <w:r w:rsidRPr="00DB0125">
        <w:rPr>
          <w:rFonts w:ascii="Times New Roman" w:hAnsi="Times New Roman" w:cs="Times New Roman"/>
          <w:i/>
          <w:sz w:val="24"/>
          <w:szCs w:val="24"/>
        </w:rPr>
        <w:t>Econometrica</w:t>
      </w:r>
      <w:proofErr w:type="spellEnd"/>
      <w:r w:rsidRPr="00DB0125">
        <w:rPr>
          <w:rFonts w:ascii="Times New Roman" w:hAnsi="Times New Roman" w:cs="Times New Roman"/>
          <w:sz w:val="24"/>
          <w:szCs w:val="24"/>
        </w:rPr>
        <w:t xml:space="preserve"> 73: 1849-1892.</w:t>
      </w:r>
      <w:proofErr w:type="gramEnd"/>
    </w:p>
    <w:p w14:paraId="2D151C31" w14:textId="77777777" w:rsidR="001130B2" w:rsidRPr="00DB0125" w:rsidRDefault="001130B2" w:rsidP="001130B2">
      <w:pPr>
        <w:autoSpaceDE w:val="0"/>
        <w:autoSpaceDN w:val="0"/>
        <w:adjustRightInd w:val="0"/>
        <w:spacing w:after="120" w:line="240" w:lineRule="auto"/>
        <w:ind w:left="720" w:hanging="720"/>
        <w:jc w:val="both"/>
        <w:rPr>
          <w:rFonts w:ascii="Times New Roman" w:hAnsi="Times New Roman" w:cs="Times New Roman"/>
          <w:sz w:val="24"/>
          <w:szCs w:val="24"/>
        </w:rPr>
      </w:pPr>
      <w:r w:rsidRPr="00DB0125">
        <w:rPr>
          <w:rFonts w:ascii="Times New Roman" w:hAnsi="Times New Roman" w:cs="Times New Roman"/>
          <w:sz w:val="24"/>
          <w:szCs w:val="24"/>
        </w:rPr>
        <w:t xml:space="preserve">Knight, F. (1921) </w:t>
      </w:r>
      <w:r w:rsidRPr="00DB0125">
        <w:rPr>
          <w:rFonts w:ascii="Times New Roman" w:hAnsi="Times New Roman" w:cs="Times New Roman"/>
          <w:i/>
          <w:sz w:val="24"/>
          <w:szCs w:val="24"/>
        </w:rPr>
        <w:t>Risk, Uncertainty and Profit</w:t>
      </w:r>
      <w:r w:rsidRPr="00DB0125">
        <w:rPr>
          <w:rFonts w:ascii="Times New Roman" w:hAnsi="Times New Roman" w:cs="Times New Roman"/>
          <w:sz w:val="24"/>
          <w:szCs w:val="24"/>
        </w:rPr>
        <w:t>. Boston: Houghton Mifflin.</w:t>
      </w:r>
    </w:p>
    <w:p w14:paraId="49EC73C1" w14:textId="77777777" w:rsidR="001130B2" w:rsidRDefault="001130B2" w:rsidP="001130B2">
      <w:pPr>
        <w:pStyle w:val="FootnoteText"/>
        <w:spacing w:after="120"/>
        <w:ind w:left="720" w:hanging="720"/>
        <w:jc w:val="both"/>
        <w:rPr>
          <w:rFonts w:ascii="Times New Roman" w:hAnsi="Times New Roman" w:cs="Times New Roman"/>
          <w:sz w:val="24"/>
          <w:szCs w:val="24"/>
        </w:rPr>
      </w:pPr>
      <w:proofErr w:type="gramStart"/>
      <w:r w:rsidRPr="00DB0125">
        <w:rPr>
          <w:rFonts w:ascii="Times New Roman" w:hAnsi="Times New Roman" w:cs="Times New Roman"/>
          <w:sz w:val="24"/>
          <w:szCs w:val="24"/>
        </w:rPr>
        <w:t>Li, J. S.-H., M. R. Hardy, and K. S. Tan.</w:t>
      </w:r>
      <w:proofErr w:type="gramEnd"/>
      <w:r w:rsidRPr="00DB0125">
        <w:rPr>
          <w:rFonts w:ascii="Times New Roman" w:hAnsi="Times New Roman" w:cs="Times New Roman"/>
          <w:sz w:val="24"/>
          <w:szCs w:val="24"/>
        </w:rPr>
        <w:t xml:space="preserve"> 2010. On Pricing and Hedging the No-Negative-Equity-Guarantee in Equity Release Mechanisms. </w:t>
      </w:r>
      <w:r w:rsidRPr="00DB0125">
        <w:rPr>
          <w:rFonts w:ascii="Times New Roman" w:hAnsi="Times New Roman" w:cs="Times New Roman"/>
          <w:i/>
          <w:sz w:val="24"/>
          <w:szCs w:val="24"/>
        </w:rPr>
        <w:t>Journal of Risk and Insurance</w:t>
      </w:r>
      <w:r w:rsidRPr="00DB0125">
        <w:rPr>
          <w:rFonts w:ascii="Times New Roman" w:hAnsi="Times New Roman" w:cs="Times New Roman"/>
          <w:sz w:val="24"/>
          <w:szCs w:val="24"/>
        </w:rPr>
        <w:t xml:space="preserve"> 77: 499-522.</w:t>
      </w:r>
      <w:bookmarkStart w:id="14" w:name="OLE_LINK14"/>
      <w:bookmarkStart w:id="15" w:name="OLE_LINK15"/>
    </w:p>
    <w:bookmarkEnd w:id="14"/>
    <w:bookmarkEnd w:id="15"/>
    <w:p w14:paraId="346BC8E3" w14:textId="77777777" w:rsidR="001130B2" w:rsidRDefault="001130B2" w:rsidP="001130B2">
      <w:pPr>
        <w:pStyle w:val="FootnoteText"/>
        <w:spacing w:after="120"/>
        <w:ind w:left="720" w:hanging="720"/>
        <w:jc w:val="both"/>
        <w:rPr>
          <w:rFonts w:ascii="Palatino-Roman" w:hAnsi="Palatino-Roman" w:cs="Palatino-Roman"/>
          <w:sz w:val="24"/>
          <w:szCs w:val="24"/>
        </w:rPr>
      </w:pPr>
      <w:proofErr w:type="gramStart"/>
      <w:r w:rsidRPr="00DB0125">
        <w:rPr>
          <w:rFonts w:ascii="Times New Roman" w:hAnsi="Times New Roman" w:cs="Times New Roman"/>
          <w:sz w:val="24"/>
          <w:szCs w:val="24"/>
        </w:rPr>
        <w:t xml:space="preserve">Nakajima, M. and </w:t>
      </w:r>
      <w:proofErr w:type="spellStart"/>
      <w:r w:rsidRPr="00DB0125">
        <w:rPr>
          <w:rFonts w:ascii="Times New Roman" w:hAnsi="Times New Roman" w:cs="Times New Roman"/>
          <w:sz w:val="24"/>
          <w:szCs w:val="24"/>
        </w:rPr>
        <w:t>Telyukova</w:t>
      </w:r>
      <w:proofErr w:type="spellEnd"/>
      <w:r w:rsidRPr="00DB0125">
        <w:rPr>
          <w:rFonts w:ascii="Times New Roman" w:hAnsi="Times New Roman" w:cs="Times New Roman"/>
          <w:sz w:val="24"/>
          <w:szCs w:val="24"/>
        </w:rPr>
        <w:t>, I. A. (2014).</w:t>
      </w:r>
      <w:proofErr w:type="gramEnd"/>
      <w:r w:rsidRPr="00DB0125">
        <w:rPr>
          <w:rFonts w:ascii="Times New Roman" w:hAnsi="Times New Roman" w:cs="Times New Roman"/>
          <w:sz w:val="24"/>
          <w:szCs w:val="24"/>
        </w:rPr>
        <w:t xml:space="preserve"> Reverse mortgage loans: A quantitative analysis. Federal Reserve Bank of Philadelphia Working Paper No. 14-27.</w:t>
      </w:r>
    </w:p>
    <w:p w14:paraId="26DEDD66" w14:textId="77777777" w:rsidR="001130B2" w:rsidRDefault="001130B2" w:rsidP="001130B2">
      <w:pPr>
        <w:pStyle w:val="FootnoteText"/>
        <w:spacing w:after="120"/>
        <w:ind w:left="720" w:hanging="720"/>
        <w:jc w:val="both"/>
        <w:rPr>
          <w:rFonts w:ascii="Palatino-Roman" w:hAnsi="Palatino-Roman" w:cs="Palatino-Roman"/>
          <w:sz w:val="24"/>
          <w:szCs w:val="24"/>
        </w:rPr>
      </w:pPr>
      <w:proofErr w:type="spellStart"/>
      <w:proofErr w:type="gramStart"/>
      <w:r w:rsidRPr="009B7B2F">
        <w:rPr>
          <w:rFonts w:ascii="Palatino-Roman" w:hAnsi="Palatino-Roman" w:cs="Palatino-Roman"/>
          <w:sz w:val="24"/>
          <w:szCs w:val="24"/>
        </w:rPr>
        <w:t>Pashchenko</w:t>
      </w:r>
      <w:proofErr w:type="spellEnd"/>
      <w:r w:rsidRPr="009B7B2F">
        <w:rPr>
          <w:rFonts w:ascii="Palatino-Roman" w:hAnsi="Palatino-Roman" w:cs="Palatino-Roman"/>
          <w:sz w:val="24"/>
          <w:szCs w:val="24"/>
        </w:rPr>
        <w:t>, S., 2013, Accounting for Non-</w:t>
      </w:r>
      <w:proofErr w:type="spellStart"/>
      <w:r w:rsidRPr="009B7B2F">
        <w:rPr>
          <w:rFonts w:ascii="Palatino-Roman" w:hAnsi="Palatino-Roman" w:cs="Palatino-Roman"/>
          <w:sz w:val="24"/>
          <w:szCs w:val="24"/>
        </w:rPr>
        <w:t>Annuitization</w:t>
      </w:r>
      <w:proofErr w:type="spellEnd"/>
      <w:r w:rsidRPr="009B7B2F">
        <w:rPr>
          <w:rFonts w:ascii="Palatino-Roman" w:hAnsi="Palatino-Roman" w:cs="Palatino-Roman"/>
          <w:sz w:val="24"/>
          <w:szCs w:val="24"/>
        </w:rPr>
        <w:t xml:space="preserve">, </w:t>
      </w:r>
      <w:r w:rsidRPr="009B7B2F">
        <w:rPr>
          <w:rFonts w:ascii="Palatino-Italic" w:hAnsi="Palatino-Italic" w:cs="Palatino-Italic"/>
          <w:i/>
          <w:iCs/>
          <w:sz w:val="24"/>
          <w:szCs w:val="24"/>
        </w:rPr>
        <w:t>Journal of Public Economics</w:t>
      </w:r>
      <w:r w:rsidRPr="009B7B2F">
        <w:rPr>
          <w:rFonts w:ascii="Palatino-Roman" w:hAnsi="Palatino-Roman" w:cs="Palatino-Roman"/>
          <w:sz w:val="24"/>
          <w:szCs w:val="24"/>
        </w:rPr>
        <w:t>,</w:t>
      </w:r>
      <w:r>
        <w:rPr>
          <w:rFonts w:ascii="Palatino-Roman" w:hAnsi="Palatino-Roman" w:cs="Palatino-Roman"/>
          <w:sz w:val="24"/>
          <w:szCs w:val="24"/>
        </w:rPr>
        <w:t xml:space="preserve"> </w:t>
      </w:r>
      <w:r w:rsidRPr="009B7B2F">
        <w:rPr>
          <w:rFonts w:ascii="Palatino-Roman" w:hAnsi="Palatino-Roman" w:cs="Palatino-Roman"/>
          <w:sz w:val="24"/>
          <w:szCs w:val="24"/>
        </w:rPr>
        <w:t>98: 53-67.</w:t>
      </w:r>
      <w:proofErr w:type="gramEnd"/>
    </w:p>
    <w:p w14:paraId="4F6D94D8" w14:textId="49F2F434" w:rsidR="001130B2" w:rsidRPr="001130B2" w:rsidRDefault="001130B2" w:rsidP="001130B2">
      <w:pPr>
        <w:pStyle w:val="FootnoteText"/>
        <w:spacing w:after="120"/>
        <w:ind w:left="720" w:hanging="720"/>
        <w:jc w:val="both"/>
        <w:rPr>
          <w:rFonts w:ascii="Palatino-Roman" w:hAnsi="Palatino-Roman" w:cs="Palatino-Roman"/>
          <w:sz w:val="24"/>
          <w:szCs w:val="24"/>
        </w:rPr>
      </w:pPr>
      <w:proofErr w:type="spellStart"/>
      <w:r w:rsidRPr="003761DF">
        <w:rPr>
          <w:rFonts w:ascii="Palatino-Roman" w:hAnsi="Palatino-Roman" w:cs="Palatino-Roman"/>
          <w:sz w:val="24"/>
          <w:szCs w:val="24"/>
        </w:rPr>
        <w:t>Reichling</w:t>
      </w:r>
      <w:proofErr w:type="spellEnd"/>
      <w:r w:rsidRPr="003761DF">
        <w:rPr>
          <w:rFonts w:ascii="Palatino-Roman" w:hAnsi="Palatino-Roman" w:cs="Palatino-Roman"/>
          <w:sz w:val="24"/>
          <w:szCs w:val="24"/>
        </w:rPr>
        <w:t xml:space="preserve"> F</w:t>
      </w:r>
      <w:r>
        <w:rPr>
          <w:rFonts w:ascii="Palatino-Roman" w:hAnsi="Palatino-Roman" w:cs="Palatino-Roman" w:hint="eastAsia"/>
          <w:sz w:val="24"/>
          <w:szCs w:val="24"/>
        </w:rPr>
        <w:t>.</w:t>
      </w:r>
      <w:r w:rsidRPr="003761DF">
        <w:rPr>
          <w:rFonts w:ascii="Palatino-Roman" w:hAnsi="Palatino-Roman" w:cs="Palatino-Roman"/>
          <w:sz w:val="24"/>
          <w:szCs w:val="24"/>
        </w:rPr>
        <w:t xml:space="preserve">, </w:t>
      </w:r>
      <w:r>
        <w:rPr>
          <w:rFonts w:ascii="Palatino-Roman" w:hAnsi="Palatino-Roman" w:cs="Palatino-Roman" w:hint="eastAsia"/>
          <w:sz w:val="24"/>
          <w:szCs w:val="24"/>
        </w:rPr>
        <w:t xml:space="preserve">K. </w:t>
      </w:r>
      <w:proofErr w:type="spellStart"/>
      <w:r w:rsidRPr="003761DF">
        <w:rPr>
          <w:rFonts w:ascii="Palatino-Roman" w:hAnsi="Palatino-Roman" w:cs="Palatino-Roman"/>
          <w:sz w:val="24"/>
          <w:szCs w:val="24"/>
        </w:rPr>
        <w:t>Smetters</w:t>
      </w:r>
      <w:proofErr w:type="spellEnd"/>
      <w:r>
        <w:rPr>
          <w:rFonts w:ascii="Palatino-Roman" w:hAnsi="Palatino-Roman" w:cs="Palatino-Roman" w:hint="eastAsia"/>
          <w:sz w:val="24"/>
          <w:szCs w:val="24"/>
        </w:rPr>
        <w:t xml:space="preserve">, 2015, </w:t>
      </w:r>
      <w:r w:rsidRPr="003761DF">
        <w:rPr>
          <w:rFonts w:ascii="Palatino-Roman" w:hAnsi="Palatino-Roman" w:cs="Palatino-Roman"/>
          <w:sz w:val="24"/>
          <w:szCs w:val="24"/>
        </w:rPr>
        <w:t xml:space="preserve">Optimal </w:t>
      </w:r>
      <w:proofErr w:type="spellStart"/>
      <w:r>
        <w:rPr>
          <w:rFonts w:ascii="Palatino-Roman" w:hAnsi="Palatino-Roman" w:cs="Palatino-Roman" w:hint="eastAsia"/>
          <w:sz w:val="24"/>
          <w:szCs w:val="24"/>
        </w:rPr>
        <w:t>A</w:t>
      </w:r>
      <w:r w:rsidRPr="003761DF">
        <w:rPr>
          <w:rFonts w:ascii="Palatino-Roman" w:hAnsi="Palatino-Roman" w:cs="Palatino-Roman"/>
          <w:sz w:val="24"/>
          <w:szCs w:val="24"/>
        </w:rPr>
        <w:t>nnuitization</w:t>
      </w:r>
      <w:proofErr w:type="spellEnd"/>
      <w:r w:rsidRPr="003761DF">
        <w:rPr>
          <w:rFonts w:ascii="Palatino-Roman" w:hAnsi="Palatino-Roman" w:cs="Palatino-Roman"/>
          <w:sz w:val="24"/>
          <w:szCs w:val="24"/>
        </w:rPr>
        <w:t xml:space="preserve"> with </w:t>
      </w:r>
      <w:r>
        <w:rPr>
          <w:rFonts w:ascii="Palatino-Roman" w:hAnsi="Palatino-Roman" w:cs="Palatino-Roman" w:hint="eastAsia"/>
          <w:sz w:val="24"/>
          <w:szCs w:val="24"/>
        </w:rPr>
        <w:t>S</w:t>
      </w:r>
      <w:r w:rsidRPr="003761DF">
        <w:rPr>
          <w:rFonts w:ascii="Palatino-Roman" w:hAnsi="Palatino-Roman" w:cs="Palatino-Roman"/>
          <w:sz w:val="24"/>
          <w:szCs w:val="24"/>
        </w:rPr>
        <w:t xml:space="preserve">tochastic </w:t>
      </w:r>
      <w:r>
        <w:rPr>
          <w:rFonts w:ascii="Palatino-Roman" w:hAnsi="Palatino-Roman" w:cs="Palatino-Roman" w:hint="eastAsia"/>
          <w:sz w:val="24"/>
          <w:szCs w:val="24"/>
        </w:rPr>
        <w:t>M</w:t>
      </w:r>
      <w:r w:rsidRPr="003761DF">
        <w:rPr>
          <w:rFonts w:ascii="Palatino-Roman" w:hAnsi="Palatino-Roman" w:cs="Palatino-Roman"/>
          <w:sz w:val="24"/>
          <w:szCs w:val="24"/>
        </w:rPr>
        <w:t xml:space="preserve">ortality and </w:t>
      </w:r>
      <w:r>
        <w:rPr>
          <w:rFonts w:ascii="Palatino-Roman" w:hAnsi="Palatino-Roman" w:cs="Palatino-Roman" w:hint="eastAsia"/>
          <w:sz w:val="24"/>
          <w:szCs w:val="24"/>
        </w:rPr>
        <w:t>C</w:t>
      </w:r>
      <w:r w:rsidRPr="003761DF">
        <w:rPr>
          <w:rFonts w:ascii="Palatino-Roman" w:hAnsi="Palatino-Roman" w:cs="Palatino-Roman"/>
          <w:sz w:val="24"/>
          <w:szCs w:val="24"/>
        </w:rPr>
        <w:t xml:space="preserve">orrelated </w:t>
      </w:r>
      <w:r>
        <w:rPr>
          <w:rFonts w:ascii="Palatino-Roman" w:hAnsi="Palatino-Roman" w:cs="Palatino-Roman" w:hint="eastAsia"/>
          <w:sz w:val="24"/>
          <w:szCs w:val="24"/>
        </w:rPr>
        <w:t>M</w:t>
      </w:r>
      <w:r w:rsidRPr="003761DF">
        <w:rPr>
          <w:rFonts w:ascii="Palatino-Roman" w:hAnsi="Palatino-Roman" w:cs="Palatino-Roman"/>
          <w:sz w:val="24"/>
          <w:szCs w:val="24"/>
        </w:rPr>
        <w:t xml:space="preserve">edical </w:t>
      </w:r>
      <w:r>
        <w:rPr>
          <w:rFonts w:ascii="Palatino-Roman" w:hAnsi="Palatino-Roman" w:cs="Palatino-Roman" w:hint="eastAsia"/>
          <w:sz w:val="24"/>
          <w:szCs w:val="24"/>
        </w:rPr>
        <w:t>C</w:t>
      </w:r>
      <w:r w:rsidRPr="003761DF">
        <w:rPr>
          <w:rFonts w:ascii="Palatino-Roman" w:hAnsi="Palatino-Roman" w:cs="Palatino-Roman"/>
          <w:sz w:val="24"/>
          <w:szCs w:val="24"/>
        </w:rPr>
        <w:t>osts</w:t>
      </w:r>
      <w:r>
        <w:rPr>
          <w:rFonts w:ascii="Palatino-Roman" w:hAnsi="Palatino-Roman" w:cs="Palatino-Roman" w:hint="eastAsia"/>
          <w:sz w:val="24"/>
          <w:szCs w:val="24"/>
        </w:rPr>
        <w:t xml:space="preserve">, </w:t>
      </w:r>
      <w:r w:rsidRPr="003761DF">
        <w:rPr>
          <w:rFonts w:ascii="Palatino-Roman" w:hAnsi="Palatino-Roman" w:cs="Palatino-Roman"/>
          <w:sz w:val="24"/>
          <w:szCs w:val="24"/>
        </w:rPr>
        <w:t>American Economic Review, 105(11): 3273-3320.</w:t>
      </w:r>
    </w:p>
    <w:p w14:paraId="39F40E37" w14:textId="77777777" w:rsidR="001130B2" w:rsidRPr="00DB0125" w:rsidRDefault="001130B2" w:rsidP="001130B2">
      <w:pPr>
        <w:pStyle w:val="FootnoteText"/>
        <w:spacing w:after="120"/>
        <w:ind w:left="720" w:hanging="720"/>
        <w:jc w:val="both"/>
        <w:rPr>
          <w:rFonts w:ascii="Times New Roman" w:hAnsi="Times New Roman" w:cs="Times New Roman"/>
          <w:sz w:val="24"/>
          <w:szCs w:val="24"/>
        </w:rPr>
      </w:pPr>
      <w:r w:rsidRPr="00DB0125">
        <w:rPr>
          <w:rFonts w:ascii="Times New Roman" w:hAnsi="Times New Roman" w:cs="Times New Roman"/>
          <w:sz w:val="24"/>
          <w:szCs w:val="24"/>
        </w:rPr>
        <w:t>Secretariat of the Steering Committee on Population Policy (2014), Thoughts for Hong Kong: Public Engagement Exercise on Population Policy, Chief Secretary for Administration's Office, Hong Kong.</w:t>
      </w:r>
    </w:p>
    <w:p w14:paraId="62D23576" w14:textId="77777777" w:rsidR="001130B2" w:rsidRPr="00DB0125" w:rsidRDefault="001130B2" w:rsidP="001130B2">
      <w:pPr>
        <w:autoSpaceDE w:val="0"/>
        <w:autoSpaceDN w:val="0"/>
        <w:adjustRightInd w:val="0"/>
        <w:spacing w:after="120" w:line="240" w:lineRule="auto"/>
        <w:ind w:left="720" w:hanging="720"/>
        <w:jc w:val="both"/>
        <w:rPr>
          <w:rFonts w:ascii="Times New Roman" w:hAnsi="Times New Roman" w:cs="Times New Roman"/>
          <w:sz w:val="24"/>
          <w:szCs w:val="24"/>
        </w:rPr>
      </w:pPr>
      <w:proofErr w:type="gramStart"/>
      <w:r w:rsidRPr="00DB0125">
        <w:rPr>
          <w:rFonts w:ascii="Times New Roman" w:hAnsi="Times New Roman" w:cs="Times New Roman"/>
          <w:sz w:val="24"/>
          <w:szCs w:val="24"/>
        </w:rPr>
        <w:t xml:space="preserve">Shao, W., H. Chen, M. </w:t>
      </w:r>
      <w:proofErr w:type="spellStart"/>
      <w:r w:rsidRPr="00DB0125">
        <w:rPr>
          <w:rFonts w:ascii="Times New Roman" w:hAnsi="Times New Roman" w:cs="Times New Roman"/>
          <w:sz w:val="24"/>
          <w:szCs w:val="24"/>
        </w:rPr>
        <w:t>Sherris</w:t>
      </w:r>
      <w:proofErr w:type="spellEnd"/>
      <w:r w:rsidRPr="00DB0125">
        <w:rPr>
          <w:rFonts w:ascii="Times New Roman" w:hAnsi="Times New Roman" w:cs="Times New Roman"/>
          <w:sz w:val="24"/>
          <w:szCs w:val="24"/>
        </w:rPr>
        <w:t xml:space="preserve"> (2015), Managing Retirement Risks with Reverse Mortgage Loans and Long-Term Care Insurance, working paper, University of New South Wales.</w:t>
      </w:r>
      <w:proofErr w:type="gramEnd"/>
      <w:r w:rsidRPr="00DB0125">
        <w:rPr>
          <w:rFonts w:ascii="Times New Roman" w:hAnsi="Times New Roman" w:cs="Times New Roman"/>
          <w:sz w:val="24"/>
          <w:szCs w:val="24"/>
        </w:rPr>
        <w:t xml:space="preserve"> </w:t>
      </w:r>
    </w:p>
    <w:p w14:paraId="3559D5C5" w14:textId="77777777" w:rsidR="001130B2" w:rsidRPr="00DB0125" w:rsidRDefault="001130B2" w:rsidP="001130B2">
      <w:pPr>
        <w:autoSpaceDE w:val="0"/>
        <w:autoSpaceDN w:val="0"/>
        <w:adjustRightInd w:val="0"/>
        <w:spacing w:after="120" w:line="240" w:lineRule="auto"/>
        <w:ind w:left="720" w:hanging="720"/>
        <w:jc w:val="both"/>
        <w:rPr>
          <w:rFonts w:ascii="Times New Roman" w:hAnsi="Times New Roman" w:cs="Times New Roman"/>
          <w:sz w:val="24"/>
          <w:szCs w:val="24"/>
        </w:rPr>
      </w:pPr>
      <w:proofErr w:type="gramStart"/>
      <w:r w:rsidRPr="00DB0125">
        <w:rPr>
          <w:rFonts w:ascii="Times New Roman" w:hAnsi="Times New Roman" w:cs="Times New Roman"/>
          <w:sz w:val="24"/>
          <w:szCs w:val="24"/>
        </w:rPr>
        <w:t>Shi, P. and Zhang, W. (2013).</w:t>
      </w:r>
      <w:proofErr w:type="gramEnd"/>
      <w:r w:rsidRPr="00DB0125">
        <w:rPr>
          <w:rFonts w:ascii="Times New Roman" w:hAnsi="Times New Roman" w:cs="Times New Roman"/>
          <w:sz w:val="24"/>
          <w:szCs w:val="24"/>
        </w:rPr>
        <w:t xml:space="preserve"> </w:t>
      </w:r>
      <w:proofErr w:type="gramStart"/>
      <w:r w:rsidRPr="00DB0125">
        <w:rPr>
          <w:rFonts w:ascii="Times New Roman" w:hAnsi="Times New Roman" w:cs="Times New Roman"/>
          <w:sz w:val="24"/>
          <w:szCs w:val="24"/>
        </w:rPr>
        <w:t>Managed care and health care utilization: Specification of bivariate models using copulas.</w:t>
      </w:r>
      <w:proofErr w:type="gramEnd"/>
      <w:r w:rsidRPr="00DB0125">
        <w:rPr>
          <w:rFonts w:ascii="Times New Roman" w:hAnsi="Times New Roman" w:cs="Times New Roman"/>
          <w:sz w:val="24"/>
          <w:szCs w:val="24"/>
        </w:rPr>
        <w:t xml:space="preserve"> </w:t>
      </w:r>
      <w:r w:rsidRPr="00DB0125">
        <w:rPr>
          <w:rFonts w:ascii="Times New Roman" w:hAnsi="Times New Roman" w:cs="Times New Roman"/>
          <w:i/>
          <w:sz w:val="24"/>
          <w:szCs w:val="24"/>
        </w:rPr>
        <w:t>North American Actuarial Journal</w:t>
      </w:r>
      <w:r w:rsidRPr="00DB0125">
        <w:rPr>
          <w:rFonts w:ascii="Times New Roman" w:hAnsi="Times New Roman" w:cs="Times New Roman"/>
          <w:sz w:val="24"/>
          <w:szCs w:val="24"/>
        </w:rPr>
        <w:t>, 17(4), 306-324.</w:t>
      </w:r>
    </w:p>
    <w:p w14:paraId="5D074C0C" w14:textId="77777777" w:rsidR="001130B2" w:rsidRPr="00DF4880" w:rsidRDefault="001130B2" w:rsidP="009B7B2F">
      <w:pPr>
        <w:autoSpaceDE w:val="0"/>
        <w:autoSpaceDN w:val="0"/>
        <w:adjustRightInd w:val="0"/>
        <w:spacing w:after="0" w:line="240" w:lineRule="auto"/>
        <w:jc w:val="both"/>
        <w:rPr>
          <w:rFonts w:ascii="Palatino-Roman" w:hAnsi="Palatino-Roman" w:cs="Palatino-Roman"/>
          <w:sz w:val="24"/>
          <w:szCs w:val="24"/>
        </w:rPr>
      </w:pPr>
    </w:p>
    <w:p w14:paraId="45640542" w14:textId="77777777" w:rsidR="00335603" w:rsidRPr="003761DF" w:rsidRDefault="00335603" w:rsidP="00372CC7">
      <w:pPr>
        <w:pStyle w:val="ListParagraph"/>
        <w:ind w:left="360"/>
        <w:jc w:val="both"/>
        <w:rPr>
          <w:rFonts w:ascii="Times New Roman" w:hAnsi="Times New Roman" w:cs="Times New Roman"/>
          <w:sz w:val="24"/>
          <w:szCs w:val="24"/>
        </w:rPr>
      </w:pPr>
    </w:p>
    <w:p w14:paraId="292A9FAD" w14:textId="77777777" w:rsidR="00335603" w:rsidRDefault="00335603" w:rsidP="00372CC7">
      <w:pPr>
        <w:pStyle w:val="ListParagraph"/>
        <w:ind w:left="360"/>
        <w:jc w:val="both"/>
        <w:rPr>
          <w:rFonts w:ascii="Times New Roman" w:hAnsi="Times New Roman" w:cs="Times New Roman"/>
          <w:sz w:val="24"/>
          <w:szCs w:val="24"/>
        </w:rPr>
      </w:pPr>
    </w:p>
    <w:sectPr w:rsidR="00335603" w:rsidSect="00680098">
      <w:footerReference w:type="default" r:id="rId23"/>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34750" w14:textId="77777777" w:rsidR="008B0544" w:rsidRDefault="008B0544" w:rsidP="00F6572B">
      <w:pPr>
        <w:spacing w:after="0" w:line="240" w:lineRule="auto"/>
      </w:pPr>
      <w:r>
        <w:separator/>
      </w:r>
    </w:p>
  </w:endnote>
  <w:endnote w:type="continuationSeparator" w:id="0">
    <w:p w14:paraId="1FD32EEC" w14:textId="77777777" w:rsidR="008B0544" w:rsidRDefault="008B0544" w:rsidP="00F6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MR1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Palatino-Italic">
    <w:altName w:val="Times New Roman"/>
    <w:panose1 w:val="00000000000000000000"/>
    <w:charset w:val="00"/>
    <w:family w:val="roman"/>
    <w:notTrueType/>
    <w:pitch w:val="default"/>
    <w:sig w:usb0="00000003" w:usb1="00000000" w:usb2="00000000" w:usb3="00000000" w:csb0="00000001" w:csb1="00000000"/>
  </w:font>
  <w:font w:name="CMR12">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8BCAA" w14:textId="77777777" w:rsidR="00680098" w:rsidRDefault="00680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338691"/>
      <w:docPartObj>
        <w:docPartGallery w:val="Page Numbers (Bottom of Page)"/>
        <w:docPartUnique/>
      </w:docPartObj>
    </w:sdtPr>
    <w:sdtEndPr>
      <w:rPr>
        <w:noProof/>
      </w:rPr>
    </w:sdtEndPr>
    <w:sdtContent>
      <w:p w14:paraId="7F881097" w14:textId="4B5EAE80" w:rsidR="00680098" w:rsidRDefault="008B0544">
        <w:pPr>
          <w:pStyle w:val="Footer"/>
          <w:jc w:val="center"/>
        </w:pPr>
      </w:p>
    </w:sdtContent>
  </w:sdt>
  <w:p w14:paraId="4531B464" w14:textId="77777777" w:rsidR="001130B2" w:rsidRDefault="001130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97A79" w14:textId="77777777" w:rsidR="00680098" w:rsidRDefault="006800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23975"/>
      <w:docPartObj>
        <w:docPartGallery w:val="Page Numbers (Bottom of Page)"/>
        <w:docPartUnique/>
      </w:docPartObj>
    </w:sdtPr>
    <w:sdtEndPr>
      <w:rPr>
        <w:noProof/>
      </w:rPr>
    </w:sdtEndPr>
    <w:sdtContent>
      <w:p w14:paraId="1F08B98C" w14:textId="77777777" w:rsidR="00680098" w:rsidRDefault="00680098">
        <w:pPr>
          <w:pStyle w:val="Footer"/>
          <w:jc w:val="center"/>
        </w:pPr>
        <w:r>
          <w:fldChar w:fldCharType="begin"/>
        </w:r>
        <w:r>
          <w:instrText xml:space="preserve"> PAGE   \* MERGEFORMAT </w:instrText>
        </w:r>
        <w:r>
          <w:fldChar w:fldCharType="separate"/>
        </w:r>
        <w:r w:rsidR="00715E66">
          <w:rPr>
            <w:noProof/>
          </w:rPr>
          <w:t>20</w:t>
        </w:r>
        <w:r>
          <w:rPr>
            <w:noProof/>
          </w:rPr>
          <w:fldChar w:fldCharType="end"/>
        </w:r>
      </w:p>
    </w:sdtContent>
  </w:sdt>
  <w:p w14:paraId="2CC2E1D7" w14:textId="77777777" w:rsidR="00680098" w:rsidRDefault="00680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2D808" w14:textId="77777777" w:rsidR="008B0544" w:rsidRDefault="008B0544" w:rsidP="00F6572B">
      <w:pPr>
        <w:spacing w:after="0" w:line="240" w:lineRule="auto"/>
      </w:pPr>
      <w:r>
        <w:separator/>
      </w:r>
    </w:p>
  </w:footnote>
  <w:footnote w:type="continuationSeparator" w:id="0">
    <w:p w14:paraId="59AC1336" w14:textId="77777777" w:rsidR="008B0544" w:rsidRDefault="008B0544" w:rsidP="00F6572B">
      <w:pPr>
        <w:spacing w:after="0" w:line="240" w:lineRule="auto"/>
      </w:pPr>
      <w:r>
        <w:continuationSeparator/>
      </w:r>
    </w:p>
  </w:footnote>
  <w:footnote w:id="1">
    <w:p w14:paraId="7BF2ACE4" w14:textId="2621FF1D" w:rsidR="001130B2" w:rsidRPr="008B2446" w:rsidRDefault="001130B2" w:rsidP="008B2446">
      <w:pPr>
        <w:autoSpaceDE w:val="0"/>
        <w:autoSpaceDN w:val="0"/>
        <w:adjustRightInd w:val="0"/>
        <w:spacing w:after="0" w:line="240" w:lineRule="auto"/>
        <w:jc w:val="both"/>
        <w:rPr>
          <w:rFonts w:ascii="CMR10" w:hAnsi="CMR10" w:cs="CMR10"/>
          <w:sz w:val="20"/>
          <w:szCs w:val="20"/>
        </w:rPr>
      </w:pPr>
      <w:r>
        <w:rPr>
          <w:rStyle w:val="FootnoteReference"/>
        </w:rPr>
        <w:footnoteRef/>
      </w:r>
      <w:r>
        <w:t xml:space="preserve"> </w:t>
      </w:r>
      <w:r>
        <w:rPr>
          <w:rFonts w:ascii="CMR10" w:hAnsi="CMR10" w:cs="CMR10"/>
          <w:sz w:val="20"/>
          <w:szCs w:val="20"/>
        </w:rPr>
        <w:t xml:space="preserve">Many papers study the pricing of life annuity, and how much and when to annuitize. The literature includes </w:t>
      </w:r>
      <w:proofErr w:type="spellStart"/>
      <w:r>
        <w:rPr>
          <w:rFonts w:ascii="CMR10" w:hAnsi="CMR10" w:cs="CMR10"/>
          <w:sz w:val="20"/>
          <w:szCs w:val="20"/>
        </w:rPr>
        <w:t>Yaari</w:t>
      </w:r>
      <w:proofErr w:type="spellEnd"/>
      <w:r>
        <w:rPr>
          <w:rFonts w:ascii="CMR10" w:hAnsi="CMR10" w:cs="CMR10"/>
          <w:sz w:val="20"/>
          <w:szCs w:val="20"/>
        </w:rPr>
        <w:t xml:space="preserve"> (1965), Richard (1975), Chen et al. (2006), </w:t>
      </w:r>
      <w:proofErr w:type="spellStart"/>
      <w:r>
        <w:rPr>
          <w:rFonts w:ascii="CMR10" w:hAnsi="CMR10" w:cs="CMR10"/>
          <w:sz w:val="20"/>
          <w:szCs w:val="20"/>
        </w:rPr>
        <w:t>Milevsky</w:t>
      </w:r>
      <w:proofErr w:type="spellEnd"/>
      <w:r>
        <w:rPr>
          <w:rFonts w:ascii="CMR10" w:hAnsi="CMR10" w:cs="CMR10"/>
          <w:sz w:val="20"/>
          <w:szCs w:val="20"/>
        </w:rPr>
        <w:t xml:space="preserve"> and Young (2002), Brown (2001), Poterba (1997), Brown et al. (1999), Brown and Poterba (2000); Brown and </w:t>
      </w:r>
      <w:proofErr w:type="spellStart"/>
      <w:r>
        <w:rPr>
          <w:rFonts w:ascii="CMR10" w:hAnsi="CMR10" w:cs="CMR10"/>
          <w:sz w:val="20"/>
          <w:szCs w:val="20"/>
        </w:rPr>
        <w:t>Warshawsky</w:t>
      </w:r>
      <w:proofErr w:type="spellEnd"/>
      <w:r>
        <w:rPr>
          <w:rFonts w:ascii="CMR10" w:hAnsi="CMR10" w:cs="CMR10"/>
          <w:sz w:val="20"/>
          <w:szCs w:val="20"/>
        </w:rPr>
        <w:t xml:space="preserve"> (2001), </w:t>
      </w:r>
      <w:proofErr w:type="spellStart"/>
      <w:r>
        <w:rPr>
          <w:rFonts w:ascii="CMR10" w:hAnsi="CMR10" w:cs="CMR10"/>
          <w:sz w:val="20"/>
          <w:szCs w:val="20"/>
        </w:rPr>
        <w:t>Kapur</w:t>
      </w:r>
      <w:proofErr w:type="spellEnd"/>
      <w:r>
        <w:rPr>
          <w:rFonts w:ascii="CMR10" w:hAnsi="CMR10" w:cs="CMR10"/>
          <w:sz w:val="20"/>
          <w:szCs w:val="20"/>
        </w:rPr>
        <w:t xml:space="preserve"> and Orszag (1999), and Blake et al. (2003).</w:t>
      </w:r>
    </w:p>
  </w:footnote>
  <w:footnote w:id="2">
    <w:p w14:paraId="129AC472" w14:textId="77777777" w:rsidR="001130B2" w:rsidRPr="00F47BAF" w:rsidRDefault="001130B2">
      <w:pPr>
        <w:pStyle w:val="FootnoteText"/>
      </w:pPr>
      <w:r>
        <w:rPr>
          <w:rStyle w:val="FootnoteReference"/>
        </w:rPr>
        <w:footnoteRef/>
      </w:r>
      <w:r>
        <w:t xml:space="preserve"> </w:t>
      </w:r>
      <w:proofErr w:type="spellStart"/>
      <w:r w:rsidRPr="00F47BAF">
        <w:rPr>
          <w:rFonts w:ascii="Times New Roman" w:hAnsi="Times New Roman" w:cs="Times New Roman"/>
        </w:rPr>
        <w:t>Ameriks</w:t>
      </w:r>
      <w:proofErr w:type="spellEnd"/>
      <w:r w:rsidRPr="00F47BAF">
        <w:rPr>
          <w:rFonts w:ascii="Times New Roman" w:hAnsi="Times New Roman" w:cs="Times New Roman"/>
        </w:rPr>
        <w:t xml:space="preserve"> </w:t>
      </w:r>
      <w:r w:rsidRPr="00F7265F">
        <w:rPr>
          <w:rFonts w:ascii="Times New Roman" w:hAnsi="Times New Roman" w:cs="Times New Roman"/>
        </w:rPr>
        <w:t>et al</w:t>
      </w:r>
      <w:r w:rsidRPr="00F47BAF">
        <w:rPr>
          <w:rFonts w:ascii="Times New Roman" w:hAnsi="Times New Roman" w:cs="Times New Roman"/>
        </w:rPr>
        <w:t xml:space="preserve">. (2011) and </w:t>
      </w:r>
      <w:proofErr w:type="spellStart"/>
      <w:r w:rsidRPr="00F47BAF">
        <w:rPr>
          <w:rFonts w:ascii="Times New Roman" w:hAnsi="Times New Roman" w:cs="Times New Roman"/>
        </w:rPr>
        <w:t>Pashchenko</w:t>
      </w:r>
      <w:proofErr w:type="spellEnd"/>
      <w:r w:rsidRPr="00F47BAF">
        <w:rPr>
          <w:rFonts w:ascii="Times New Roman" w:hAnsi="Times New Roman" w:cs="Times New Roman"/>
        </w:rPr>
        <w:t xml:space="preserve"> (2013) apply the same form of bequest utility function and give a detailed explanation.</w:t>
      </w:r>
    </w:p>
  </w:footnote>
  <w:footnote w:id="3">
    <w:p w14:paraId="566EF2A0" w14:textId="77777777" w:rsidR="001130B2" w:rsidRPr="00F6572B" w:rsidRDefault="001130B2" w:rsidP="00AB41C7">
      <w:pPr>
        <w:pStyle w:val="FootnoteText"/>
        <w:jc w:val="both"/>
      </w:pPr>
      <w:r>
        <w:rPr>
          <w:rStyle w:val="FootnoteReference"/>
        </w:rPr>
        <w:footnoteRef/>
      </w:r>
      <w:r>
        <w:t xml:space="preserve"> </w:t>
      </w:r>
      <w:r w:rsidRPr="00F6572B">
        <w:rPr>
          <w:rFonts w:ascii="Times New Roman" w:hAnsi="Times New Roman" w:cs="Times New Roman"/>
        </w:rPr>
        <w:t xml:space="preserve">Between two neighboring nodes, we define jump size following a trinomial tree setting, i.e. let </w:t>
      </w:r>
      <m:oMath>
        <m:r>
          <m:rPr>
            <m:sty m:val="p"/>
          </m:rPr>
          <w:rPr>
            <w:rFonts w:ascii="Cambria Math" w:hAnsi="Cambria Math" w:cs="Times New Roman"/>
          </w:rPr>
          <m:t>u=</m:t>
        </m:r>
        <m:sSup>
          <m:sSupPr>
            <m:ctrlPr>
              <w:rPr>
                <w:rFonts w:ascii="Cambria Math" w:hAnsi="Cambria Math" w:cs="Times New Roman"/>
              </w:rPr>
            </m:ctrlPr>
          </m:sSupPr>
          <m:e>
            <m:r>
              <w:rPr>
                <w:rFonts w:ascii="Cambria Math" w:hAnsi="Cambria Math" w:cs="Times New Roman"/>
              </w:rPr>
              <m:t>e</m:t>
            </m:r>
          </m:e>
          <m:sup>
            <m:r>
              <w:rPr>
                <w:rFonts w:ascii="Cambria Math" w:hAnsi="Cambria Math" w:cs="Times New Roman"/>
              </w:rPr>
              <m:t>σ</m:t>
            </m:r>
            <m:rad>
              <m:radPr>
                <m:degHide m:val="1"/>
                <m:ctrlPr>
                  <w:rPr>
                    <w:rFonts w:ascii="Cambria Math" w:hAnsi="Cambria Math" w:cs="Times New Roman"/>
                    <w:i/>
                  </w:rPr>
                </m:ctrlPr>
              </m:radPr>
              <m:deg/>
              <m:e>
                <m:r>
                  <w:rPr>
                    <w:rFonts w:ascii="Cambria Math" w:hAnsi="Cambria Math" w:cs="Times New Roman"/>
                  </w:rPr>
                  <m:t>3∆t</m:t>
                </m:r>
              </m:e>
            </m:rad>
          </m:sup>
        </m:sSup>
      </m:oMath>
      <w:r>
        <w:rPr>
          <w:rFonts w:ascii="Times New Roman" w:hAnsi="Times New Roman" w:cs="Times New Roman"/>
        </w:rPr>
        <w:t xml:space="preserve"> </w:t>
      </w:r>
      <w:r w:rsidRPr="00F6572B">
        <w:rPr>
          <w:rFonts w:ascii="Times New Roman" w:hAnsi="Times New Roman" w:cs="Times New Roman"/>
        </w:rPr>
        <w:t xml:space="preserve">is the jump size, </w:t>
      </w:r>
      <w:proofErr w:type="gramStart"/>
      <w:r w:rsidRPr="00F6572B">
        <w:rPr>
          <w:rFonts w:ascii="Times New Roman" w:hAnsi="Times New Roman" w:cs="Times New Roman"/>
        </w:rPr>
        <w:t xml:space="preserve">and </w:t>
      </w:r>
      <w:proofErr w:type="gramEnd"/>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l-1</m:t>
            </m:r>
          </m:sup>
        </m:sSup>
      </m:oMath>
      <w:r>
        <w:rPr>
          <w:rFonts w:ascii="Times New Roman" w:hAnsi="Times New Roman" w:cs="Times New Roman"/>
        </w:rPr>
        <w:t xml:space="preserve">, for </w:t>
      </w:r>
      <m:oMath>
        <m:r>
          <m:rPr>
            <m:sty m:val="p"/>
          </m:rPr>
          <w:rPr>
            <w:rFonts w:ascii="Cambria Math" w:hAnsi="Cambria Math" w:cs="Times New Roman"/>
          </w:rPr>
          <m:t>l=2,3,…,31.</m:t>
        </m:r>
      </m:oMath>
      <w:r>
        <w:rPr>
          <w:rFonts w:ascii="Times New Roman" w:hAnsi="Times New Roman" w:cs="Times New Roman"/>
        </w:rPr>
        <w:t xml:space="preserve"> </w:t>
      </w:r>
      <w:r w:rsidRPr="00356A80">
        <w:rPr>
          <w:rFonts w:ascii="Times New Roman" w:hAnsi="Times New Roman" w:cs="Times New Roman"/>
        </w:rPr>
        <w:t>Therefore, at any given period t, we set a state space with 31 asset levels</w:t>
      </w:r>
      <w:r>
        <w:rPr>
          <w:rFonts w:ascii="Times New Roman" w:hAnsi="Times New Roman" w:cs="Times New Roman"/>
        </w:rPr>
        <w:t xml:space="preserve">.      </w:t>
      </w:r>
    </w:p>
  </w:footnote>
  <w:footnote w:id="4">
    <w:p w14:paraId="795EBA37" w14:textId="0F31A70F" w:rsidR="001130B2" w:rsidRDefault="001130B2">
      <w:pPr>
        <w:pStyle w:val="FootnoteText"/>
      </w:pPr>
      <w:r>
        <w:rPr>
          <w:rStyle w:val="FootnoteReference"/>
        </w:rPr>
        <w:footnoteRef/>
      </w:r>
      <w:r>
        <w:t xml:space="preserve"> </w:t>
      </w:r>
      <w:r w:rsidRPr="00FC562D">
        <w:rPr>
          <w:rFonts w:ascii="Times New Roman" w:hAnsi="Times New Roman" w:cs="Times New Roman"/>
        </w:rPr>
        <w:t>We</w:t>
      </w:r>
      <w:r>
        <w:rPr>
          <w:rFonts w:hint="eastAsia"/>
        </w:rPr>
        <w:t xml:space="preserve"> </w:t>
      </w:r>
      <w:r>
        <w:t xml:space="preserve">set </w:t>
      </w:r>
      <m:oMath>
        <m:r>
          <w:rPr>
            <w:rFonts w:ascii="Cambria Math" w:hAnsi="Cambria Math" w:cs="Times New Roman"/>
          </w:rPr>
          <m:t>η</m:t>
        </m:r>
        <m:r>
          <m:rPr>
            <m:sty m:val="p"/>
          </m:rPr>
          <w:rPr>
            <w:rFonts w:ascii="Cambria Math" w:hAnsi="Cambria Math" w:cs="Times New Roman"/>
          </w:rPr>
          <m:t xml:space="preserve">=47.6 </m:t>
        </m:r>
      </m:oMath>
      <w:r>
        <w:t xml:space="preserve">and </w:t>
      </w:r>
      <m:oMath>
        <m:r>
          <w:rPr>
            <w:rFonts w:ascii="Cambria Math" w:hAnsi="Cambria Math" w:cs="Times New Roman"/>
          </w:rPr>
          <m:t>φ</m:t>
        </m:r>
      </m:oMath>
      <w:r>
        <w:t xml:space="preserve">=7.28 </w:t>
      </w:r>
      <w:r w:rsidRPr="00FC562D">
        <w:rPr>
          <w:rFonts w:ascii="Times New Roman" w:hAnsi="Times New Roman" w:cs="Times New Roman"/>
        </w:rPr>
        <w:t xml:space="preserve">as in Table IV of </w:t>
      </w:r>
      <w:proofErr w:type="spellStart"/>
      <w:r w:rsidRPr="00FC562D">
        <w:rPr>
          <w:rFonts w:ascii="Times New Roman" w:hAnsi="Times New Roman" w:cs="Times New Roman"/>
        </w:rPr>
        <w:t>Ameriks</w:t>
      </w:r>
      <w:proofErr w:type="spellEnd"/>
      <w:r w:rsidRPr="00FC562D">
        <w:rPr>
          <w:rFonts w:ascii="Times New Roman" w:hAnsi="Times New Roman" w:cs="Times New Roman"/>
        </w:rPr>
        <w:t xml:space="preserve"> et al. (2011)</w:t>
      </w:r>
      <w:r w:rsidR="00680098">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5B3C7" w14:textId="77777777" w:rsidR="00680098" w:rsidRDefault="00680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BFA56" w14:textId="77777777" w:rsidR="00680098" w:rsidRDefault="00680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DF237" w14:textId="77777777" w:rsidR="00680098" w:rsidRDefault="00680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CE5"/>
    <w:multiLevelType w:val="hybridMultilevel"/>
    <w:tmpl w:val="97EE2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BAD6976"/>
    <w:multiLevelType w:val="hybridMultilevel"/>
    <w:tmpl w:val="98D818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6A"/>
    <w:rsid w:val="00014053"/>
    <w:rsid w:val="0001491C"/>
    <w:rsid w:val="00015EBB"/>
    <w:rsid w:val="00027D84"/>
    <w:rsid w:val="00045595"/>
    <w:rsid w:val="00057EE6"/>
    <w:rsid w:val="000704DF"/>
    <w:rsid w:val="00071ADB"/>
    <w:rsid w:val="00071CD7"/>
    <w:rsid w:val="00073A8B"/>
    <w:rsid w:val="00085E90"/>
    <w:rsid w:val="00093C4C"/>
    <w:rsid w:val="000B02D6"/>
    <w:rsid w:val="000B33DD"/>
    <w:rsid w:val="000C00D9"/>
    <w:rsid w:val="000C3589"/>
    <w:rsid w:val="000D4E86"/>
    <w:rsid w:val="00104392"/>
    <w:rsid w:val="001071E8"/>
    <w:rsid w:val="00107412"/>
    <w:rsid w:val="001130B2"/>
    <w:rsid w:val="0011324C"/>
    <w:rsid w:val="00120350"/>
    <w:rsid w:val="001543FE"/>
    <w:rsid w:val="00163B2C"/>
    <w:rsid w:val="0018630B"/>
    <w:rsid w:val="00192B77"/>
    <w:rsid w:val="001A51A3"/>
    <w:rsid w:val="001B422C"/>
    <w:rsid w:val="001D2383"/>
    <w:rsid w:val="001E6BD5"/>
    <w:rsid w:val="001F15B9"/>
    <w:rsid w:val="001F4A87"/>
    <w:rsid w:val="00200204"/>
    <w:rsid w:val="00216C48"/>
    <w:rsid w:val="0023620F"/>
    <w:rsid w:val="00244B0C"/>
    <w:rsid w:val="00254E3F"/>
    <w:rsid w:val="00256367"/>
    <w:rsid w:val="00260CB4"/>
    <w:rsid w:val="00267FAE"/>
    <w:rsid w:val="00270D9F"/>
    <w:rsid w:val="00282B5C"/>
    <w:rsid w:val="00291109"/>
    <w:rsid w:val="002A50DB"/>
    <w:rsid w:val="002A6578"/>
    <w:rsid w:val="002A6F12"/>
    <w:rsid w:val="002C0F93"/>
    <w:rsid w:val="002C26F6"/>
    <w:rsid w:val="002D5BBD"/>
    <w:rsid w:val="002D5D15"/>
    <w:rsid w:val="002D5D23"/>
    <w:rsid w:val="002F09C2"/>
    <w:rsid w:val="002F30C9"/>
    <w:rsid w:val="00306843"/>
    <w:rsid w:val="00324766"/>
    <w:rsid w:val="00324EF9"/>
    <w:rsid w:val="00335603"/>
    <w:rsid w:val="00341138"/>
    <w:rsid w:val="00354B08"/>
    <w:rsid w:val="00356A80"/>
    <w:rsid w:val="00366A51"/>
    <w:rsid w:val="00367248"/>
    <w:rsid w:val="00372CC7"/>
    <w:rsid w:val="00374C0C"/>
    <w:rsid w:val="003761DF"/>
    <w:rsid w:val="00376FF2"/>
    <w:rsid w:val="003811FF"/>
    <w:rsid w:val="00386EDE"/>
    <w:rsid w:val="0038797B"/>
    <w:rsid w:val="00393C82"/>
    <w:rsid w:val="003B02DE"/>
    <w:rsid w:val="003C324D"/>
    <w:rsid w:val="003D545C"/>
    <w:rsid w:val="0040362D"/>
    <w:rsid w:val="00405F74"/>
    <w:rsid w:val="0041458F"/>
    <w:rsid w:val="00416E54"/>
    <w:rsid w:val="00435417"/>
    <w:rsid w:val="00437131"/>
    <w:rsid w:val="00444F3A"/>
    <w:rsid w:val="00454696"/>
    <w:rsid w:val="00480A7A"/>
    <w:rsid w:val="004904CA"/>
    <w:rsid w:val="004949E2"/>
    <w:rsid w:val="004A1161"/>
    <w:rsid w:val="004A5794"/>
    <w:rsid w:val="004B19DA"/>
    <w:rsid w:val="004C6641"/>
    <w:rsid w:val="004F2C7E"/>
    <w:rsid w:val="00503D67"/>
    <w:rsid w:val="0051766E"/>
    <w:rsid w:val="005266FB"/>
    <w:rsid w:val="00534D80"/>
    <w:rsid w:val="00541E26"/>
    <w:rsid w:val="00543653"/>
    <w:rsid w:val="00562E6C"/>
    <w:rsid w:val="00572915"/>
    <w:rsid w:val="005905F5"/>
    <w:rsid w:val="005913E5"/>
    <w:rsid w:val="005926AB"/>
    <w:rsid w:val="005954EB"/>
    <w:rsid w:val="00595AD7"/>
    <w:rsid w:val="005A3151"/>
    <w:rsid w:val="005C35BB"/>
    <w:rsid w:val="005D3517"/>
    <w:rsid w:val="005F0EB0"/>
    <w:rsid w:val="005F6CB6"/>
    <w:rsid w:val="005F7AF4"/>
    <w:rsid w:val="006017F7"/>
    <w:rsid w:val="006047B1"/>
    <w:rsid w:val="0062511A"/>
    <w:rsid w:val="00634284"/>
    <w:rsid w:val="00634D7E"/>
    <w:rsid w:val="00646934"/>
    <w:rsid w:val="00650D37"/>
    <w:rsid w:val="00651D59"/>
    <w:rsid w:val="006603D9"/>
    <w:rsid w:val="00671C9F"/>
    <w:rsid w:val="00680098"/>
    <w:rsid w:val="00683B43"/>
    <w:rsid w:val="006D020D"/>
    <w:rsid w:val="006D10DF"/>
    <w:rsid w:val="006D6F96"/>
    <w:rsid w:val="006F4300"/>
    <w:rsid w:val="00700C32"/>
    <w:rsid w:val="00715E66"/>
    <w:rsid w:val="00716348"/>
    <w:rsid w:val="00731931"/>
    <w:rsid w:val="007402CE"/>
    <w:rsid w:val="0074799C"/>
    <w:rsid w:val="00764627"/>
    <w:rsid w:val="00772352"/>
    <w:rsid w:val="00787639"/>
    <w:rsid w:val="007A222D"/>
    <w:rsid w:val="007A4C4D"/>
    <w:rsid w:val="007B3742"/>
    <w:rsid w:val="007D56EA"/>
    <w:rsid w:val="007E3D3C"/>
    <w:rsid w:val="007E6600"/>
    <w:rsid w:val="007F582E"/>
    <w:rsid w:val="008230BA"/>
    <w:rsid w:val="008538E3"/>
    <w:rsid w:val="008953C7"/>
    <w:rsid w:val="008B0544"/>
    <w:rsid w:val="008B2446"/>
    <w:rsid w:val="008D1861"/>
    <w:rsid w:val="008D5CD5"/>
    <w:rsid w:val="008F2A4F"/>
    <w:rsid w:val="008F6E62"/>
    <w:rsid w:val="00900603"/>
    <w:rsid w:val="00914E9F"/>
    <w:rsid w:val="00927758"/>
    <w:rsid w:val="00934DC5"/>
    <w:rsid w:val="009353CE"/>
    <w:rsid w:val="00942213"/>
    <w:rsid w:val="00942F62"/>
    <w:rsid w:val="00953C1F"/>
    <w:rsid w:val="00962829"/>
    <w:rsid w:val="009832EA"/>
    <w:rsid w:val="009A305E"/>
    <w:rsid w:val="009A57A2"/>
    <w:rsid w:val="009B2821"/>
    <w:rsid w:val="009B7B2F"/>
    <w:rsid w:val="009C5308"/>
    <w:rsid w:val="009D7164"/>
    <w:rsid w:val="009E1EAB"/>
    <w:rsid w:val="009F689D"/>
    <w:rsid w:val="00A1776A"/>
    <w:rsid w:val="00A20A7A"/>
    <w:rsid w:val="00A21D96"/>
    <w:rsid w:val="00A24D29"/>
    <w:rsid w:val="00A45228"/>
    <w:rsid w:val="00A655B3"/>
    <w:rsid w:val="00A9317D"/>
    <w:rsid w:val="00A94ECC"/>
    <w:rsid w:val="00AB14E0"/>
    <w:rsid w:val="00AB41C7"/>
    <w:rsid w:val="00AD458F"/>
    <w:rsid w:val="00AD4C08"/>
    <w:rsid w:val="00AE5032"/>
    <w:rsid w:val="00AF1354"/>
    <w:rsid w:val="00B05344"/>
    <w:rsid w:val="00B1723E"/>
    <w:rsid w:val="00B356A8"/>
    <w:rsid w:val="00B419B4"/>
    <w:rsid w:val="00B43514"/>
    <w:rsid w:val="00B54375"/>
    <w:rsid w:val="00B819A7"/>
    <w:rsid w:val="00B85047"/>
    <w:rsid w:val="00B87BFF"/>
    <w:rsid w:val="00B92FBE"/>
    <w:rsid w:val="00B93BE0"/>
    <w:rsid w:val="00B96756"/>
    <w:rsid w:val="00B97584"/>
    <w:rsid w:val="00B97A1B"/>
    <w:rsid w:val="00BC520C"/>
    <w:rsid w:val="00BD0B2F"/>
    <w:rsid w:val="00BE53C5"/>
    <w:rsid w:val="00BE755E"/>
    <w:rsid w:val="00BE7B5B"/>
    <w:rsid w:val="00BF2AA2"/>
    <w:rsid w:val="00BF32FD"/>
    <w:rsid w:val="00C03066"/>
    <w:rsid w:val="00C041D9"/>
    <w:rsid w:val="00C169DA"/>
    <w:rsid w:val="00C25DD0"/>
    <w:rsid w:val="00C4206F"/>
    <w:rsid w:val="00C51668"/>
    <w:rsid w:val="00C537D5"/>
    <w:rsid w:val="00C727A1"/>
    <w:rsid w:val="00C90B0E"/>
    <w:rsid w:val="00C92301"/>
    <w:rsid w:val="00CA031C"/>
    <w:rsid w:val="00CA52C0"/>
    <w:rsid w:val="00CB04F0"/>
    <w:rsid w:val="00CB3CE0"/>
    <w:rsid w:val="00CC1C40"/>
    <w:rsid w:val="00CC3C5B"/>
    <w:rsid w:val="00CC3C83"/>
    <w:rsid w:val="00CC4C03"/>
    <w:rsid w:val="00CC73E7"/>
    <w:rsid w:val="00CE6189"/>
    <w:rsid w:val="00D1433C"/>
    <w:rsid w:val="00D416D5"/>
    <w:rsid w:val="00D65657"/>
    <w:rsid w:val="00D73A6A"/>
    <w:rsid w:val="00D87DBB"/>
    <w:rsid w:val="00DA4713"/>
    <w:rsid w:val="00DB313A"/>
    <w:rsid w:val="00DC062D"/>
    <w:rsid w:val="00DC4BBE"/>
    <w:rsid w:val="00DF2BCC"/>
    <w:rsid w:val="00DF4880"/>
    <w:rsid w:val="00E04670"/>
    <w:rsid w:val="00E17A88"/>
    <w:rsid w:val="00E239F3"/>
    <w:rsid w:val="00E31ED7"/>
    <w:rsid w:val="00E47A06"/>
    <w:rsid w:val="00E51FE1"/>
    <w:rsid w:val="00E57231"/>
    <w:rsid w:val="00E70C12"/>
    <w:rsid w:val="00EB0E91"/>
    <w:rsid w:val="00EC0424"/>
    <w:rsid w:val="00EC5262"/>
    <w:rsid w:val="00ED409D"/>
    <w:rsid w:val="00EE50BD"/>
    <w:rsid w:val="00EE6B49"/>
    <w:rsid w:val="00EF7F81"/>
    <w:rsid w:val="00F01699"/>
    <w:rsid w:val="00F11ACE"/>
    <w:rsid w:val="00F47BAF"/>
    <w:rsid w:val="00F6572B"/>
    <w:rsid w:val="00F7265F"/>
    <w:rsid w:val="00F73BED"/>
    <w:rsid w:val="00F86470"/>
    <w:rsid w:val="00F95687"/>
    <w:rsid w:val="00FB02BE"/>
    <w:rsid w:val="00FB32DB"/>
    <w:rsid w:val="00FC149A"/>
    <w:rsid w:val="00FC562D"/>
    <w:rsid w:val="00FC75BF"/>
    <w:rsid w:val="00FD0A9F"/>
    <w:rsid w:val="00FD6EEC"/>
    <w:rsid w:val="00FE6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D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3CE"/>
    <w:rPr>
      <w:color w:val="808080"/>
    </w:rPr>
  </w:style>
  <w:style w:type="paragraph" w:styleId="ListParagraph">
    <w:name w:val="List Paragraph"/>
    <w:basedOn w:val="Normal"/>
    <w:uiPriority w:val="34"/>
    <w:qFormat/>
    <w:rsid w:val="00BE755E"/>
    <w:pPr>
      <w:ind w:left="720"/>
      <w:contextualSpacing/>
    </w:pPr>
  </w:style>
  <w:style w:type="paragraph" w:styleId="FootnoteText">
    <w:name w:val="footnote text"/>
    <w:basedOn w:val="Normal"/>
    <w:link w:val="FootnoteTextChar"/>
    <w:unhideWhenUsed/>
    <w:rsid w:val="00F6572B"/>
    <w:pPr>
      <w:spacing w:after="0" w:line="240" w:lineRule="auto"/>
    </w:pPr>
    <w:rPr>
      <w:sz w:val="20"/>
      <w:szCs w:val="20"/>
    </w:rPr>
  </w:style>
  <w:style w:type="character" w:customStyle="1" w:styleId="FootnoteTextChar">
    <w:name w:val="Footnote Text Char"/>
    <w:basedOn w:val="DefaultParagraphFont"/>
    <w:link w:val="FootnoteText"/>
    <w:rsid w:val="00F6572B"/>
    <w:rPr>
      <w:sz w:val="20"/>
      <w:szCs w:val="20"/>
    </w:rPr>
  </w:style>
  <w:style w:type="character" w:styleId="FootnoteReference">
    <w:name w:val="footnote reference"/>
    <w:basedOn w:val="DefaultParagraphFont"/>
    <w:uiPriority w:val="99"/>
    <w:semiHidden/>
    <w:unhideWhenUsed/>
    <w:rsid w:val="00F6572B"/>
    <w:rPr>
      <w:vertAlign w:val="superscript"/>
    </w:rPr>
  </w:style>
  <w:style w:type="table" w:styleId="TableGrid">
    <w:name w:val="Table Grid"/>
    <w:basedOn w:val="TableNormal"/>
    <w:uiPriority w:val="39"/>
    <w:rsid w:val="00120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67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04670"/>
    <w:rPr>
      <w:sz w:val="18"/>
      <w:szCs w:val="18"/>
    </w:rPr>
  </w:style>
  <w:style w:type="character" w:styleId="CommentReference">
    <w:name w:val="annotation reference"/>
    <w:basedOn w:val="DefaultParagraphFont"/>
    <w:uiPriority w:val="99"/>
    <w:semiHidden/>
    <w:unhideWhenUsed/>
    <w:rsid w:val="001B422C"/>
    <w:rPr>
      <w:sz w:val="21"/>
      <w:szCs w:val="21"/>
    </w:rPr>
  </w:style>
  <w:style w:type="paragraph" w:styleId="CommentText">
    <w:name w:val="annotation text"/>
    <w:basedOn w:val="Normal"/>
    <w:link w:val="CommentTextChar"/>
    <w:uiPriority w:val="99"/>
    <w:semiHidden/>
    <w:unhideWhenUsed/>
    <w:rsid w:val="001B422C"/>
  </w:style>
  <w:style w:type="character" w:customStyle="1" w:styleId="CommentTextChar">
    <w:name w:val="Comment Text Char"/>
    <w:basedOn w:val="DefaultParagraphFont"/>
    <w:link w:val="CommentText"/>
    <w:uiPriority w:val="99"/>
    <w:semiHidden/>
    <w:rsid w:val="001B422C"/>
  </w:style>
  <w:style w:type="paragraph" w:styleId="CommentSubject">
    <w:name w:val="annotation subject"/>
    <w:basedOn w:val="CommentText"/>
    <w:next w:val="CommentText"/>
    <w:link w:val="CommentSubjectChar"/>
    <w:uiPriority w:val="99"/>
    <w:semiHidden/>
    <w:unhideWhenUsed/>
    <w:rsid w:val="001B422C"/>
    <w:rPr>
      <w:b/>
      <w:bCs/>
    </w:rPr>
  </w:style>
  <w:style w:type="character" w:customStyle="1" w:styleId="CommentSubjectChar">
    <w:name w:val="Comment Subject Char"/>
    <w:basedOn w:val="CommentTextChar"/>
    <w:link w:val="CommentSubject"/>
    <w:uiPriority w:val="99"/>
    <w:semiHidden/>
    <w:rsid w:val="001B422C"/>
    <w:rPr>
      <w:b/>
      <w:bCs/>
    </w:rPr>
  </w:style>
  <w:style w:type="character" w:styleId="Hyperlink">
    <w:name w:val="Hyperlink"/>
    <w:basedOn w:val="DefaultParagraphFont"/>
    <w:uiPriority w:val="99"/>
    <w:unhideWhenUsed/>
    <w:rsid w:val="0001491C"/>
    <w:rPr>
      <w:color w:val="0000FF"/>
      <w:u w:val="single"/>
    </w:rPr>
  </w:style>
  <w:style w:type="paragraph" w:styleId="Header">
    <w:name w:val="header"/>
    <w:basedOn w:val="Normal"/>
    <w:link w:val="HeaderChar"/>
    <w:uiPriority w:val="99"/>
    <w:unhideWhenUsed/>
    <w:rsid w:val="005D35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3517"/>
  </w:style>
  <w:style w:type="paragraph" w:styleId="Footer">
    <w:name w:val="footer"/>
    <w:basedOn w:val="Normal"/>
    <w:link w:val="FooterChar"/>
    <w:uiPriority w:val="99"/>
    <w:unhideWhenUsed/>
    <w:rsid w:val="005D35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3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3CE"/>
    <w:rPr>
      <w:color w:val="808080"/>
    </w:rPr>
  </w:style>
  <w:style w:type="paragraph" w:styleId="ListParagraph">
    <w:name w:val="List Paragraph"/>
    <w:basedOn w:val="Normal"/>
    <w:uiPriority w:val="34"/>
    <w:qFormat/>
    <w:rsid w:val="00BE755E"/>
    <w:pPr>
      <w:ind w:left="720"/>
      <w:contextualSpacing/>
    </w:pPr>
  </w:style>
  <w:style w:type="paragraph" w:styleId="FootnoteText">
    <w:name w:val="footnote text"/>
    <w:basedOn w:val="Normal"/>
    <w:link w:val="FootnoteTextChar"/>
    <w:unhideWhenUsed/>
    <w:rsid w:val="00F6572B"/>
    <w:pPr>
      <w:spacing w:after="0" w:line="240" w:lineRule="auto"/>
    </w:pPr>
    <w:rPr>
      <w:sz w:val="20"/>
      <w:szCs w:val="20"/>
    </w:rPr>
  </w:style>
  <w:style w:type="character" w:customStyle="1" w:styleId="FootnoteTextChar">
    <w:name w:val="Footnote Text Char"/>
    <w:basedOn w:val="DefaultParagraphFont"/>
    <w:link w:val="FootnoteText"/>
    <w:rsid w:val="00F6572B"/>
    <w:rPr>
      <w:sz w:val="20"/>
      <w:szCs w:val="20"/>
    </w:rPr>
  </w:style>
  <w:style w:type="character" w:styleId="FootnoteReference">
    <w:name w:val="footnote reference"/>
    <w:basedOn w:val="DefaultParagraphFont"/>
    <w:uiPriority w:val="99"/>
    <w:semiHidden/>
    <w:unhideWhenUsed/>
    <w:rsid w:val="00F6572B"/>
    <w:rPr>
      <w:vertAlign w:val="superscript"/>
    </w:rPr>
  </w:style>
  <w:style w:type="table" w:styleId="TableGrid">
    <w:name w:val="Table Grid"/>
    <w:basedOn w:val="TableNormal"/>
    <w:uiPriority w:val="39"/>
    <w:rsid w:val="00120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67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04670"/>
    <w:rPr>
      <w:sz w:val="18"/>
      <w:szCs w:val="18"/>
    </w:rPr>
  </w:style>
  <w:style w:type="character" w:styleId="CommentReference">
    <w:name w:val="annotation reference"/>
    <w:basedOn w:val="DefaultParagraphFont"/>
    <w:uiPriority w:val="99"/>
    <w:semiHidden/>
    <w:unhideWhenUsed/>
    <w:rsid w:val="001B422C"/>
    <w:rPr>
      <w:sz w:val="21"/>
      <w:szCs w:val="21"/>
    </w:rPr>
  </w:style>
  <w:style w:type="paragraph" w:styleId="CommentText">
    <w:name w:val="annotation text"/>
    <w:basedOn w:val="Normal"/>
    <w:link w:val="CommentTextChar"/>
    <w:uiPriority w:val="99"/>
    <w:semiHidden/>
    <w:unhideWhenUsed/>
    <w:rsid w:val="001B422C"/>
  </w:style>
  <w:style w:type="character" w:customStyle="1" w:styleId="CommentTextChar">
    <w:name w:val="Comment Text Char"/>
    <w:basedOn w:val="DefaultParagraphFont"/>
    <w:link w:val="CommentText"/>
    <w:uiPriority w:val="99"/>
    <w:semiHidden/>
    <w:rsid w:val="001B422C"/>
  </w:style>
  <w:style w:type="paragraph" w:styleId="CommentSubject">
    <w:name w:val="annotation subject"/>
    <w:basedOn w:val="CommentText"/>
    <w:next w:val="CommentText"/>
    <w:link w:val="CommentSubjectChar"/>
    <w:uiPriority w:val="99"/>
    <w:semiHidden/>
    <w:unhideWhenUsed/>
    <w:rsid w:val="001B422C"/>
    <w:rPr>
      <w:b/>
      <w:bCs/>
    </w:rPr>
  </w:style>
  <w:style w:type="character" w:customStyle="1" w:styleId="CommentSubjectChar">
    <w:name w:val="Comment Subject Char"/>
    <w:basedOn w:val="CommentTextChar"/>
    <w:link w:val="CommentSubject"/>
    <w:uiPriority w:val="99"/>
    <w:semiHidden/>
    <w:rsid w:val="001B422C"/>
    <w:rPr>
      <w:b/>
      <w:bCs/>
    </w:rPr>
  </w:style>
  <w:style w:type="character" w:styleId="Hyperlink">
    <w:name w:val="Hyperlink"/>
    <w:basedOn w:val="DefaultParagraphFont"/>
    <w:uiPriority w:val="99"/>
    <w:unhideWhenUsed/>
    <w:rsid w:val="0001491C"/>
    <w:rPr>
      <w:color w:val="0000FF"/>
      <w:u w:val="single"/>
    </w:rPr>
  </w:style>
  <w:style w:type="paragraph" w:styleId="Header">
    <w:name w:val="header"/>
    <w:basedOn w:val="Normal"/>
    <w:link w:val="HeaderChar"/>
    <w:uiPriority w:val="99"/>
    <w:unhideWhenUsed/>
    <w:rsid w:val="005D35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3517"/>
  </w:style>
  <w:style w:type="paragraph" w:styleId="Footer">
    <w:name w:val="footer"/>
    <w:basedOn w:val="Normal"/>
    <w:link w:val="FooterChar"/>
    <w:uiPriority w:val="99"/>
    <w:unhideWhenUsed/>
    <w:rsid w:val="005D35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3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uwei@uibe.edu.c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jingao@ln.edu.hk"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hchen@temple.edu" TargetMode="External"/><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BE4B-84A8-4DB7-96B6-FA922F79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5072</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gao</dc:creator>
  <cp:lastModifiedBy>Edith Nicodemus</cp:lastModifiedBy>
  <cp:revision>2</cp:revision>
  <dcterms:created xsi:type="dcterms:W3CDTF">2017-06-29T01:23:00Z</dcterms:created>
  <dcterms:modified xsi:type="dcterms:W3CDTF">2017-06-29T01:23:00Z</dcterms:modified>
</cp:coreProperties>
</file>