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75" w:rsidRDefault="002F0975" w:rsidP="002F0975">
      <w:pPr>
        <w:pStyle w:val="NormalWeb"/>
        <w:shd w:val="clear" w:color="auto" w:fill="FFFFFF"/>
        <w:spacing w:before="96" w:beforeAutospacing="0" w:after="0" w:afterAutospacing="0" w:line="360" w:lineRule="auto"/>
        <w:jc w:val="center"/>
        <w:rPr>
          <w:rFonts w:asciiTheme="majorBidi" w:hAnsiTheme="majorBidi" w:cstheme="majorBidi"/>
          <w:b/>
          <w:bCs/>
          <w:color w:val="000000" w:themeColor="text1"/>
          <w:sz w:val="28"/>
          <w:szCs w:val="28"/>
        </w:rPr>
      </w:pPr>
      <w:bookmarkStart w:id="0" w:name="_GoBack"/>
      <w:bookmarkEnd w:id="0"/>
      <w:r>
        <w:rPr>
          <w:rFonts w:asciiTheme="majorBidi" w:hAnsiTheme="majorBidi" w:cstheme="majorBidi"/>
          <w:b/>
          <w:bCs/>
          <w:color w:val="000000" w:themeColor="text1"/>
          <w:sz w:val="28"/>
          <w:szCs w:val="28"/>
        </w:rPr>
        <w:t>An Investigation about the E</w:t>
      </w:r>
      <w:r w:rsidRPr="001207A2">
        <w:rPr>
          <w:rFonts w:asciiTheme="majorBidi" w:hAnsiTheme="majorBidi" w:cstheme="majorBidi"/>
          <w:b/>
          <w:bCs/>
          <w:color w:val="000000" w:themeColor="text1"/>
          <w:sz w:val="28"/>
          <w:szCs w:val="28"/>
        </w:rPr>
        <w:t xml:space="preserve">ffects </w:t>
      </w:r>
      <w:r>
        <w:rPr>
          <w:rFonts w:asciiTheme="majorBidi" w:hAnsiTheme="majorBidi" w:cstheme="majorBidi"/>
          <w:b/>
          <w:bCs/>
          <w:color w:val="000000" w:themeColor="text1"/>
          <w:sz w:val="28"/>
          <w:szCs w:val="28"/>
        </w:rPr>
        <w:t xml:space="preserve">of Different Scenarios Involving interest rate and Valuation Methods </w:t>
      </w:r>
      <w:r w:rsidRPr="001207A2">
        <w:rPr>
          <w:rFonts w:asciiTheme="majorBidi" w:hAnsiTheme="majorBidi" w:cstheme="majorBidi"/>
          <w:b/>
          <w:bCs/>
          <w:color w:val="000000" w:themeColor="text1"/>
          <w:sz w:val="28"/>
          <w:szCs w:val="28"/>
        </w:rPr>
        <w:t>o</w:t>
      </w:r>
      <w:r>
        <w:rPr>
          <w:rFonts w:asciiTheme="majorBidi" w:hAnsiTheme="majorBidi" w:cstheme="majorBidi"/>
          <w:b/>
          <w:bCs/>
          <w:color w:val="000000" w:themeColor="text1"/>
          <w:sz w:val="28"/>
          <w:szCs w:val="28"/>
        </w:rPr>
        <w:t>n Pension Fund Liabilities</w:t>
      </w:r>
    </w:p>
    <w:p w:rsidR="008E504C" w:rsidRPr="0052009D" w:rsidRDefault="002327F5">
      <w:pPr>
        <w:rPr>
          <w:rFonts w:asciiTheme="majorBidi" w:hAnsiTheme="majorBidi" w:cstheme="majorBidi"/>
          <w:b/>
          <w:bCs/>
          <w:sz w:val="32"/>
          <w:szCs w:val="32"/>
        </w:rPr>
      </w:pPr>
      <w:r w:rsidRPr="0052009D">
        <w:rPr>
          <w:rFonts w:asciiTheme="majorBidi" w:hAnsiTheme="majorBidi" w:cstheme="majorBidi"/>
          <w:b/>
          <w:bCs/>
          <w:sz w:val="32"/>
          <w:szCs w:val="32"/>
        </w:rPr>
        <w:t>Abstract</w:t>
      </w:r>
    </w:p>
    <w:p w:rsidR="002327F5" w:rsidRPr="0052009D" w:rsidRDefault="002327F5" w:rsidP="003C3E08">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rPr>
        <w:t>The principles of present value and the determination of the correct discount rate as applied to pension funds, is the most important issue in D</w:t>
      </w:r>
      <w:r w:rsidR="00DB0E5C" w:rsidRPr="0052009D">
        <w:rPr>
          <w:rFonts w:ascii="Times New Roman" w:hAnsi="Times New Roman" w:cs="Times New Roman"/>
          <w:sz w:val="28"/>
          <w:szCs w:val="28"/>
        </w:rPr>
        <w:t xml:space="preserve">efined </w:t>
      </w:r>
      <w:r w:rsidRPr="0052009D">
        <w:rPr>
          <w:rFonts w:ascii="Times New Roman" w:hAnsi="Times New Roman" w:cs="Times New Roman"/>
          <w:sz w:val="28"/>
          <w:szCs w:val="28"/>
        </w:rPr>
        <w:t>B</w:t>
      </w:r>
      <w:r w:rsidR="00DB0E5C" w:rsidRPr="0052009D">
        <w:rPr>
          <w:rFonts w:ascii="Times New Roman" w:hAnsi="Times New Roman" w:cs="Times New Roman"/>
          <w:sz w:val="28"/>
          <w:szCs w:val="28"/>
        </w:rPr>
        <w:t>enefit</w:t>
      </w:r>
      <w:r w:rsidRPr="0052009D">
        <w:rPr>
          <w:rFonts w:ascii="Times New Roman" w:hAnsi="Times New Roman" w:cs="Times New Roman"/>
          <w:sz w:val="28"/>
          <w:szCs w:val="28"/>
        </w:rPr>
        <w:t xml:space="preserve"> pension </w:t>
      </w:r>
      <w:r w:rsidR="00DB0E5C" w:rsidRPr="0052009D">
        <w:rPr>
          <w:rFonts w:ascii="Times New Roman" w:hAnsi="Times New Roman" w:cs="Times New Roman"/>
          <w:sz w:val="28"/>
          <w:szCs w:val="28"/>
        </w:rPr>
        <w:t>plan</w:t>
      </w:r>
      <w:r w:rsidRPr="0052009D">
        <w:rPr>
          <w:rFonts w:ascii="Times New Roman" w:hAnsi="Times New Roman" w:cs="Times New Roman"/>
          <w:sz w:val="28"/>
          <w:szCs w:val="28"/>
        </w:rPr>
        <w:t>.</w:t>
      </w:r>
      <w:r w:rsidRPr="0052009D">
        <w:rPr>
          <w:rFonts w:ascii="Times New Roman" w:hAnsi="Times New Roman" w:cs="Times New Roman"/>
          <w:sz w:val="28"/>
          <w:szCs w:val="28"/>
          <w:lang w:bidi="fa-IR"/>
        </w:rPr>
        <w:t xml:space="preserve"> As a</w:t>
      </w:r>
      <w:r w:rsidR="005A3EDD" w:rsidRPr="0052009D">
        <w:rPr>
          <w:rFonts w:ascii="Times New Roman" w:hAnsi="Times New Roman" w:cs="Times New Roman"/>
          <w:sz w:val="28"/>
          <w:szCs w:val="28"/>
          <w:lang w:bidi="fa-IR"/>
        </w:rPr>
        <w:t>n</w:t>
      </w:r>
      <w:r w:rsidRPr="0052009D">
        <w:rPr>
          <w:rFonts w:ascii="Times New Roman" w:hAnsi="Times New Roman" w:cs="Times New Roman"/>
          <w:sz w:val="28"/>
          <w:szCs w:val="28"/>
          <w:lang w:bidi="fa-IR"/>
        </w:rPr>
        <w:t xml:space="preserve"> </w:t>
      </w:r>
      <w:r w:rsidR="005A3EDD" w:rsidRPr="0052009D">
        <w:rPr>
          <w:rFonts w:ascii="Times New Roman" w:hAnsi="Times New Roman" w:cs="Times New Roman"/>
          <w:sz w:val="28"/>
          <w:szCs w:val="28"/>
          <w:lang w:bidi="fa-IR"/>
        </w:rPr>
        <w:t>important point</w:t>
      </w:r>
      <w:r w:rsidRPr="0052009D">
        <w:rPr>
          <w:rFonts w:ascii="Times New Roman" w:hAnsi="Times New Roman" w:cs="Times New Roman"/>
          <w:sz w:val="28"/>
          <w:szCs w:val="28"/>
          <w:lang w:bidi="fa-IR"/>
        </w:rPr>
        <w:t xml:space="preserve">, the choice of the discount rate should be in a way that </w:t>
      </w:r>
      <w:r w:rsidR="003C3E08" w:rsidRPr="0052009D">
        <w:rPr>
          <w:rFonts w:ascii="Times New Roman" w:hAnsi="Times New Roman" w:cs="Times New Roman"/>
          <w:sz w:val="28"/>
          <w:szCs w:val="28"/>
          <w:lang w:bidi="fa-IR"/>
        </w:rPr>
        <w:t>precludes</w:t>
      </w:r>
      <w:r w:rsidRPr="0052009D">
        <w:rPr>
          <w:rFonts w:ascii="Times New Roman" w:hAnsi="Times New Roman" w:cs="Times New Roman"/>
          <w:sz w:val="28"/>
          <w:szCs w:val="28"/>
          <w:lang w:bidi="fa-IR"/>
        </w:rPr>
        <w:t xml:space="preserve"> understatement of future pension obligations and pension funding gap.</w:t>
      </w:r>
    </w:p>
    <w:p w:rsidR="002327F5" w:rsidRPr="0052009D" w:rsidRDefault="002327F5" w:rsidP="002327F5">
      <w:pPr>
        <w:spacing w:line="360" w:lineRule="auto"/>
        <w:jc w:val="both"/>
        <w:rPr>
          <w:rFonts w:ascii="Times New Roman" w:hAnsi="Times New Roman" w:cs="Times New Roman"/>
          <w:sz w:val="28"/>
          <w:szCs w:val="28"/>
          <w:lang w:val="en" w:bidi="fa-IR"/>
        </w:rPr>
      </w:pPr>
      <w:r w:rsidRPr="0052009D">
        <w:rPr>
          <w:rFonts w:ascii="Times New Roman" w:hAnsi="Times New Roman" w:cs="Times New Roman"/>
          <w:sz w:val="28"/>
          <w:szCs w:val="28"/>
          <w:lang w:bidi="fa-IR"/>
        </w:rPr>
        <w:t>We have considered three different discount rates in order to calculate future pension obligations which</w:t>
      </w:r>
      <w:r w:rsidRPr="0052009D">
        <w:rPr>
          <w:rFonts w:ascii="Times New Roman" w:hAnsi="Times New Roman" w:cs="Times New Roman"/>
          <w:sz w:val="28"/>
          <w:szCs w:val="28"/>
          <w:lang w:val="en" w:bidi="fa-IR"/>
        </w:rPr>
        <w:t xml:space="preserve"> consist of: 1)5% more than the highest banking system’s deposit rate in Iran, 2)</w:t>
      </w:r>
      <w:r w:rsidRPr="0052009D">
        <w:rPr>
          <w:sz w:val="24"/>
          <w:szCs w:val="24"/>
        </w:rPr>
        <w:t xml:space="preserve"> </w:t>
      </w:r>
      <w:r w:rsidRPr="0052009D">
        <w:rPr>
          <w:rFonts w:ascii="Times New Roman" w:hAnsi="Times New Roman" w:cs="Times New Roman"/>
          <w:sz w:val="28"/>
          <w:szCs w:val="28"/>
          <w:lang w:val="en" w:bidi="fa-IR"/>
        </w:rPr>
        <w:t>Technical interest rate of the Iranian’s Central Insurance and 3)</w:t>
      </w:r>
      <w:r w:rsidRPr="0052009D">
        <w:rPr>
          <w:sz w:val="24"/>
          <w:szCs w:val="24"/>
        </w:rPr>
        <w:t xml:space="preserve"> </w:t>
      </w:r>
      <w:r w:rsidRPr="0052009D">
        <w:rPr>
          <w:rFonts w:ascii="Times New Roman" w:hAnsi="Times New Roman" w:cs="Times New Roman"/>
          <w:sz w:val="28"/>
          <w:szCs w:val="28"/>
          <w:lang w:val="en" w:bidi="fa-IR"/>
        </w:rPr>
        <w:t>Hypothetical discount rate.</w:t>
      </w:r>
    </w:p>
    <w:p w:rsidR="002327F5" w:rsidRPr="0052009D" w:rsidRDefault="002327F5" w:rsidP="003C3E08">
      <w:pPr>
        <w:spacing w:line="360" w:lineRule="auto"/>
        <w:jc w:val="both"/>
        <w:rPr>
          <w:rFonts w:ascii="Times New Roman" w:hAnsi="Times New Roman" w:cs="Times New Roman"/>
          <w:sz w:val="28"/>
          <w:szCs w:val="28"/>
          <w:lang w:val="en" w:bidi="fa-IR"/>
        </w:rPr>
      </w:pPr>
      <w:r w:rsidRPr="0052009D">
        <w:rPr>
          <w:rFonts w:ascii="Times New Roman" w:hAnsi="Times New Roman" w:cs="Times New Roman"/>
          <w:sz w:val="28"/>
          <w:szCs w:val="28"/>
          <w:lang w:val="en" w:bidi="fa-IR"/>
        </w:rPr>
        <w:t>We have also considered the application of different actuarial cost methods to show the differences between the two methods and the possibility to use alternative methods. In addition to Project Unit Cost method which is currently being used in Iranian’s pension funds, we have used Entry Age Normal method as an alternative method.</w:t>
      </w:r>
    </w:p>
    <w:p w:rsidR="00E67F9E" w:rsidRPr="0052009D" w:rsidRDefault="00E67F9E" w:rsidP="00E67F9E">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Our results illustrate that a one percent decrease in the discount rate will lead to 19% increase in Total Actuarial Liability under Project Unit Credit method. In the case of the Entry Age Normal, a one percent decrease in the discount rate will cause Total Actuarial Liability to increase by 17%.</w:t>
      </w:r>
    </w:p>
    <w:p w:rsidR="00DB054A" w:rsidRPr="0052009D" w:rsidRDefault="00F7040B" w:rsidP="00F7040B">
      <w:pPr>
        <w:spacing w:line="360" w:lineRule="auto"/>
        <w:jc w:val="both"/>
        <w:rPr>
          <w:rFonts w:ascii="Times New Roman" w:hAnsi="Times New Roman" w:cs="Times New Roman"/>
          <w:sz w:val="28"/>
          <w:szCs w:val="28"/>
          <w:lang w:val="en" w:bidi="fa-IR"/>
        </w:rPr>
      </w:pPr>
      <w:r w:rsidRPr="0052009D">
        <w:rPr>
          <w:rFonts w:ascii="Times New Roman" w:hAnsi="Times New Roman" w:cs="Times New Roman"/>
          <w:sz w:val="28"/>
          <w:szCs w:val="28"/>
          <w:lang w:bidi="fa-IR"/>
        </w:rPr>
        <w:t>Our findings indicate that a</w:t>
      </w:r>
      <w:r w:rsidR="00DB054A" w:rsidRPr="0052009D">
        <w:rPr>
          <w:rFonts w:ascii="Times New Roman" w:hAnsi="Times New Roman" w:cs="Times New Roman"/>
          <w:sz w:val="28"/>
          <w:szCs w:val="28"/>
          <w:lang w:val="en" w:bidi="fa-IR"/>
        </w:rPr>
        <w:t xml:space="preserve"> </w:t>
      </w:r>
      <w:r w:rsidRPr="0052009D">
        <w:rPr>
          <w:rFonts w:ascii="Times New Roman" w:hAnsi="Times New Roman" w:cs="Times New Roman"/>
          <w:sz w:val="28"/>
          <w:szCs w:val="28"/>
          <w:lang w:val="en" w:bidi="fa-IR"/>
        </w:rPr>
        <w:t>modification</w:t>
      </w:r>
      <w:r w:rsidR="00DB054A" w:rsidRPr="0052009D">
        <w:rPr>
          <w:rFonts w:ascii="Times New Roman" w:hAnsi="Times New Roman" w:cs="Times New Roman"/>
          <w:sz w:val="28"/>
          <w:szCs w:val="28"/>
          <w:lang w:val="en" w:bidi="fa-IR"/>
        </w:rPr>
        <w:t xml:space="preserve"> in valuation method or </w:t>
      </w:r>
      <w:r w:rsidRPr="0052009D">
        <w:rPr>
          <w:rFonts w:ascii="Times New Roman" w:hAnsi="Times New Roman" w:cs="Times New Roman"/>
          <w:sz w:val="28"/>
          <w:szCs w:val="28"/>
          <w:lang w:val="en" w:bidi="fa-IR"/>
        </w:rPr>
        <w:t xml:space="preserve">even </w:t>
      </w:r>
      <w:r w:rsidR="00DB054A" w:rsidRPr="0052009D">
        <w:rPr>
          <w:rFonts w:ascii="Times New Roman" w:hAnsi="Times New Roman" w:cs="Times New Roman"/>
          <w:sz w:val="28"/>
          <w:szCs w:val="28"/>
          <w:lang w:val="en" w:bidi="fa-IR"/>
        </w:rPr>
        <w:t xml:space="preserve">a small change in discount rate can result a considerable change in actuarial liabilities. Consequently, we </w:t>
      </w:r>
      <w:r w:rsidRPr="0052009D">
        <w:rPr>
          <w:rFonts w:ascii="Times New Roman" w:hAnsi="Times New Roman" w:cs="Times New Roman"/>
          <w:sz w:val="28"/>
          <w:szCs w:val="28"/>
          <w:lang w:val="en" w:bidi="fa-IR"/>
        </w:rPr>
        <w:t>suggest</w:t>
      </w:r>
      <w:r w:rsidR="00DB054A" w:rsidRPr="0052009D">
        <w:rPr>
          <w:rFonts w:ascii="Times New Roman" w:hAnsi="Times New Roman" w:cs="Times New Roman"/>
          <w:sz w:val="28"/>
          <w:szCs w:val="28"/>
          <w:lang w:val="en" w:bidi="fa-IR"/>
        </w:rPr>
        <w:t xml:space="preserve"> a regulatory section for Iranian pension funds. By controlling important and vital parameters such as discount rate, huge deviations in estimating actuarial liability can be prevented.  </w:t>
      </w:r>
    </w:p>
    <w:p w:rsidR="00730BD7" w:rsidRPr="0052009D" w:rsidRDefault="00811744" w:rsidP="00B75999">
      <w:pPr>
        <w:spacing w:line="360" w:lineRule="auto"/>
        <w:jc w:val="both"/>
        <w:rPr>
          <w:rFonts w:ascii="Times New Roman" w:hAnsi="Times New Roman" w:cs="Times New Roman"/>
          <w:sz w:val="28"/>
          <w:szCs w:val="28"/>
          <w:lang w:val="en" w:bidi="fa-IR"/>
        </w:rPr>
      </w:pPr>
      <w:r w:rsidRPr="0052009D">
        <w:rPr>
          <w:rFonts w:ascii="Times New Roman" w:hAnsi="Times New Roman" w:cs="Times New Roman"/>
          <w:b/>
          <w:bCs/>
          <w:sz w:val="28"/>
          <w:szCs w:val="28"/>
          <w:lang w:val="en" w:bidi="fa-IR"/>
        </w:rPr>
        <w:t>Key words:</w:t>
      </w:r>
      <w:r w:rsidRPr="0052009D">
        <w:rPr>
          <w:rFonts w:ascii="Times New Roman" w:hAnsi="Times New Roman" w:cs="Times New Roman"/>
          <w:sz w:val="28"/>
          <w:szCs w:val="28"/>
        </w:rPr>
        <w:t xml:space="preserve"> </w:t>
      </w:r>
      <w:r w:rsidRPr="0052009D">
        <w:rPr>
          <w:rFonts w:ascii="Times New Roman" w:hAnsi="Times New Roman" w:cs="Times New Roman"/>
          <w:sz w:val="28"/>
          <w:szCs w:val="28"/>
          <w:lang w:bidi="fa-IR"/>
        </w:rPr>
        <w:t xml:space="preserve">discount rate, </w:t>
      </w:r>
      <w:r w:rsidR="00B75999" w:rsidRPr="0052009D">
        <w:rPr>
          <w:rFonts w:ascii="Times New Roman" w:hAnsi="Times New Roman" w:cs="Times New Roman"/>
          <w:sz w:val="28"/>
          <w:szCs w:val="28"/>
          <w:lang w:bidi="fa-IR"/>
        </w:rPr>
        <w:t>actuarial liability</w:t>
      </w:r>
      <w:r w:rsidRPr="0052009D">
        <w:rPr>
          <w:rFonts w:ascii="Times New Roman" w:hAnsi="Times New Roman" w:cs="Times New Roman"/>
          <w:sz w:val="28"/>
          <w:szCs w:val="28"/>
          <w:lang w:bidi="fa-IR"/>
        </w:rPr>
        <w:t>, pension funding gap,</w:t>
      </w:r>
      <w:r w:rsidRPr="0052009D">
        <w:rPr>
          <w:rFonts w:ascii="Times New Roman" w:hAnsi="Times New Roman" w:cs="Times New Roman"/>
          <w:sz w:val="28"/>
          <w:szCs w:val="28"/>
          <w:lang w:val="en" w:bidi="fa-IR"/>
        </w:rPr>
        <w:t xml:space="preserve"> actuarial cost methods, Project Unit Cost method and Entry Age Normal method</w:t>
      </w:r>
      <w:r w:rsidR="00F26F0C" w:rsidRPr="0052009D">
        <w:rPr>
          <w:rFonts w:ascii="Times New Roman" w:hAnsi="Times New Roman" w:cs="Times New Roman"/>
          <w:sz w:val="28"/>
          <w:szCs w:val="28"/>
          <w:lang w:val="en" w:bidi="fa-IR"/>
        </w:rPr>
        <w:t>.</w:t>
      </w:r>
    </w:p>
    <w:p w:rsidR="00730BD7" w:rsidRPr="0052009D" w:rsidRDefault="00B75999" w:rsidP="00B75999">
      <w:pPr>
        <w:pStyle w:val="Heading1"/>
        <w:rPr>
          <w:rFonts w:asciiTheme="majorBidi" w:hAnsiTheme="majorBidi"/>
          <w:color w:val="auto"/>
          <w:sz w:val="32"/>
          <w:szCs w:val="32"/>
          <w:lang w:val="en" w:bidi="fa-IR"/>
        </w:rPr>
      </w:pPr>
      <w:r w:rsidRPr="0052009D">
        <w:rPr>
          <w:rFonts w:asciiTheme="majorBidi" w:hAnsiTheme="majorBidi"/>
          <w:color w:val="auto"/>
          <w:sz w:val="32"/>
          <w:szCs w:val="32"/>
          <w:lang w:val="en" w:bidi="fa-IR"/>
        </w:rPr>
        <w:lastRenderedPageBreak/>
        <w:t xml:space="preserve">1. </w:t>
      </w:r>
      <w:r w:rsidR="00730BD7" w:rsidRPr="0052009D">
        <w:rPr>
          <w:rFonts w:asciiTheme="majorBidi" w:hAnsiTheme="majorBidi"/>
          <w:color w:val="auto"/>
          <w:sz w:val="32"/>
          <w:szCs w:val="32"/>
          <w:lang w:val="en" w:bidi="fa-IR"/>
        </w:rPr>
        <w:t>Introduction</w:t>
      </w:r>
    </w:p>
    <w:p w:rsidR="0056771B" w:rsidRPr="0052009D" w:rsidRDefault="00D3728F" w:rsidP="0056771B">
      <w:pPr>
        <w:spacing w:line="360" w:lineRule="auto"/>
        <w:jc w:val="both"/>
        <w:rPr>
          <w:rFonts w:ascii="Times New Roman" w:hAnsi="Times New Roman" w:cs="Times New Roman"/>
          <w:sz w:val="28"/>
          <w:szCs w:val="28"/>
        </w:rPr>
      </w:pPr>
      <w:r w:rsidRPr="0052009D">
        <w:rPr>
          <w:rFonts w:ascii="Times New Roman" w:hAnsi="Times New Roman" w:cs="Times New Roman"/>
          <w:sz w:val="28"/>
          <w:szCs w:val="28"/>
        </w:rPr>
        <w:t xml:space="preserve">Countries around the word are fast waking up to the fact that they have a major challenge on their hands with their </w:t>
      </w:r>
      <w:r w:rsidR="0056771B" w:rsidRPr="0052009D">
        <w:rPr>
          <w:rFonts w:ascii="Times New Roman" w:hAnsi="Times New Roman" w:cs="Times New Roman"/>
          <w:sz w:val="28"/>
          <w:szCs w:val="28"/>
        </w:rPr>
        <w:t>pension schemes due to the</w:t>
      </w:r>
      <w:r w:rsidRPr="0052009D">
        <w:rPr>
          <w:rFonts w:ascii="Times New Roman" w:hAnsi="Times New Roman" w:cs="Times New Roman"/>
          <w:sz w:val="28"/>
          <w:szCs w:val="28"/>
        </w:rPr>
        <w:t xml:space="preserve"> combination of a rapidly changing population and fertility rates well below replacement rates</w:t>
      </w:r>
      <w:r w:rsidR="0056771B" w:rsidRPr="0052009D">
        <w:rPr>
          <w:rFonts w:ascii="Times New Roman" w:hAnsi="Times New Roman" w:cs="Times New Roman"/>
          <w:sz w:val="28"/>
          <w:szCs w:val="28"/>
        </w:rPr>
        <w:t>, which</w:t>
      </w:r>
      <w:r w:rsidRPr="0052009D">
        <w:rPr>
          <w:rFonts w:ascii="Times New Roman" w:hAnsi="Times New Roman" w:cs="Times New Roman"/>
          <w:sz w:val="28"/>
          <w:szCs w:val="28"/>
        </w:rPr>
        <w:t xml:space="preserve"> has led to an increase in the dependency ratios in many countries. </w:t>
      </w:r>
      <w:r w:rsidR="0056771B" w:rsidRPr="0052009D">
        <w:rPr>
          <w:rFonts w:ascii="Times New Roman" w:hAnsi="Times New Roman" w:cs="Times New Roman"/>
          <w:sz w:val="28"/>
          <w:szCs w:val="28"/>
        </w:rPr>
        <w:t>Moreover, the</w:t>
      </w:r>
      <w:r w:rsidR="00730BD7" w:rsidRPr="0052009D">
        <w:rPr>
          <w:rFonts w:ascii="Times New Roman" w:hAnsi="Times New Roman" w:cs="Times New Roman"/>
          <w:sz w:val="28"/>
          <w:szCs w:val="28"/>
        </w:rPr>
        <w:t xml:space="preserve"> defined benefit (DB)</w:t>
      </w:r>
      <w:r w:rsidR="00353077" w:rsidRPr="0052009D">
        <w:rPr>
          <w:rFonts w:ascii="Times New Roman" w:hAnsi="Times New Roman" w:cs="Times New Roman"/>
          <w:sz w:val="28"/>
          <w:szCs w:val="28"/>
        </w:rPr>
        <w:t xml:space="preserve"> </w:t>
      </w:r>
      <w:r w:rsidR="00E659CE" w:rsidRPr="0052009D">
        <w:rPr>
          <w:rFonts w:ascii="Times New Roman" w:hAnsi="Times New Roman" w:cs="Times New Roman"/>
          <w:sz w:val="28"/>
          <w:szCs w:val="28"/>
        </w:rPr>
        <w:t>pension</w:t>
      </w:r>
      <w:r w:rsidR="00730BD7" w:rsidRPr="0052009D">
        <w:rPr>
          <w:rFonts w:ascii="Times New Roman" w:hAnsi="Times New Roman" w:cs="Times New Roman"/>
          <w:sz w:val="28"/>
          <w:szCs w:val="28"/>
        </w:rPr>
        <w:t xml:space="preserve"> plan is facing enormous challenges </w:t>
      </w:r>
      <w:r w:rsidR="0056771B" w:rsidRPr="0052009D">
        <w:rPr>
          <w:rFonts w:ascii="Times New Roman" w:hAnsi="Times New Roman" w:cs="Times New Roman"/>
          <w:sz w:val="28"/>
          <w:szCs w:val="28"/>
        </w:rPr>
        <w:t>that has forced m</w:t>
      </w:r>
      <w:r w:rsidR="00730BD7" w:rsidRPr="0052009D">
        <w:rPr>
          <w:rFonts w:ascii="Times New Roman" w:hAnsi="Times New Roman" w:cs="Times New Roman"/>
          <w:sz w:val="28"/>
          <w:szCs w:val="28"/>
        </w:rPr>
        <w:t xml:space="preserve">any large firms </w:t>
      </w:r>
      <w:r w:rsidR="00E659CE" w:rsidRPr="0052009D">
        <w:rPr>
          <w:rFonts w:ascii="Times New Roman" w:hAnsi="Times New Roman" w:cs="Times New Roman"/>
          <w:sz w:val="28"/>
          <w:szCs w:val="28"/>
        </w:rPr>
        <w:t>to begin</w:t>
      </w:r>
      <w:r w:rsidR="00730BD7" w:rsidRPr="0052009D">
        <w:rPr>
          <w:rFonts w:ascii="Times New Roman" w:hAnsi="Times New Roman" w:cs="Times New Roman"/>
          <w:sz w:val="28"/>
          <w:szCs w:val="28"/>
        </w:rPr>
        <w:t xml:space="preserve"> to substitute defined contribution plan alternatives.</w:t>
      </w:r>
      <w:r w:rsidRPr="0052009D">
        <w:rPr>
          <w:rFonts w:ascii="Times New Roman" w:hAnsi="Times New Roman" w:cs="Times New Roman"/>
          <w:sz w:val="28"/>
          <w:szCs w:val="28"/>
        </w:rPr>
        <w:t xml:space="preserve"> </w:t>
      </w:r>
    </w:p>
    <w:p w:rsidR="00353077" w:rsidRPr="0052009D" w:rsidRDefault="00353077" w:rsidP="00034918">
      <w:pPr>
        <w:spacing w:line="360" w:lineRule="auto"/>
        <w:jc w:val="both"/>
        <w:rPr>
          <w:rFonts w:ascii="Times New Roman" w:hAnsi="Times New Roman" w:cs="Times New Roman"/>
          <w:sz w:val="28"/>
          <w:szCs w:val="28"/>
        </w:rPr>
      </w:pPr>
      <w:r w:rsidRPr="0052009D">
        <w:rPr>
          <w:rFonts w:ascii="Times New Roman" w:hAnsi="Times New Roman" w:cs="Times New Roman"/>
          <w:sz w:val="28"/>
          <w:szCs w:val="28"/>
        </w:rPr>
        <w:t>Pension obligations are among the largest obligations that organizations face, and taking accounting actions to improve the funded status of these obligations can reduce organizations expenditures.</w:t>
      </w:r>
      <w:r w:rsidRPr="0052009D">
        <w:rPr>
          <w:rFonts w:asciiTheme="majorBidi" w:hAnsiTheme="majorBidi" w:cstheme="majorBidi"/>
          <w:sz w:val="24"/>
          <w:szCs w:val="24"/>
        </w:rPr>
        <w:t xml:space="preserve"> </w:t>
      </w:r>
      <w:r w:rsidRPr="0052009D">
        <w:rPr>
          <w:rFonts w:ascii="Times New Roman" w:hAnsi="Times New Roman" w:cs="Times New Roman"/>
          <w:sz w:val="28"/>
          <w:szCs w:val="28"/>
        </w:rPr>
        <w:t>The discount rate is one of the most important parameters in the valuation of pension obligations although other factors, such as future coverage, salary growth, termination rates, and mortality rates also have a large impact.</w:t>
      </w:r>
      <w:r w:rsidR="00CC104D" w:rsidRPr="0052009D">
        <w:rPr>
          <w:rFonts w:ascii="Times New Roman" w:hAnsi="Times New Roman" w:cs="Times New Roman"/>
          <w:sz w:val="28"/>
          <w:szCs w:val="28"/>
        </w:rPr>
        <w:t xml:space="preserve"> Choosing a discount rate should be in a way that avoids under or overstatement of pension obligations.</w:t>
      </w:r>
      <w:r w:rsidR="00034918" w:rsidRPr="0052009D">
        <w:rPr>
          <w:rFonts w:ascii="Times New Roman" w:hAnsi="Times New Roman" w:cs="Times New Roman"/>
          <w:sz w:val="28"/>
          <w:szCs w:val="28"/>
          <w:lang w:bidi="fa-IR"/>
        </w:rPr>
        <w:t xml:space="preserve"> </w:t>
      </w:r>
      <w:r w:rsidR="00034918" w:rsidRPr="0052009D">
        <w:rPr>
          <w:rFonts w:ascii="Times New Roman" w:hAnsi="Times New Roman" w:cs="Times New Roman"/>
          <w:sz w:val="28"/>
          <w:szCs w:val="28"/>
        </w:rPr>
        <w:t>In general, the higher the discount rate that is used, the lower the reported present value of the liabilities and the stronger the pension plan's funding position as reported in the accounting statements.</w:t>
      </w:r>
    </w:p>
    <w:p w:rsidR="00A71301" w:rsidRPr="0052009D" w:rsidRDefault="00137482" w:rsidP="0067277E">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On an accrual basis, in Iran, both the Social Security Organization (SSO) and The Civil Servants Retirement Organization (CSRO) are insolvent</w:t>
      </w:r>
      <w:r w:rsidRPr="0052009D">
        <w:rPr>
          <w:rFonts w:ascii="Times New Roman" w:hAnsi="Times New Roman" w:cs="Times New Roman"/>
          <w:i/>
          <w:iCs/>
          <w:sz w:val="28"/>
          <w:szCs w:val="28"/>
          <w:lang w:bidi="fa-IR"/>
        </w:rPr>
        <w:t xml:space="preserve">. </w:t>
      </w:r>
      <w:r w:rsidRPr="0052009D">
        <w:rPr>
          <w:rFonts w:ascii="Times New Roman" w:hAnsi="Times New Roman" w:cs="Times New Roman"/>
          <w:sz w:val="28"/>
          <w:szCs w:val="28"/>
          <w:lang w:bidi="fa-IR"/>
        </w:rPr>
        <w:t>Financial projections under various economic scenarios show that the operational balances of the CSRO and the SSO will continue to de</w:t>
      </w:r>
      <w:r w:rsidR="00034918" w:rsidRPr="0052009D">
        <w:rPr>
          <w:rFonts w:ascii="Times New Roman" w:hAnsi="Times New Roman" w:cs="Times New Roman"/>
          <w:sz w:val="28"/>
          <w:szCs w:val="28"/>
          <w:lang w:bidi="fa-IR"/>
        </w:rPr>
        <w:t>teriorate.</w:t>
      </w:r>
      <w:r w:rsidRPr="0052009D">
        <w:rPr>
          <w:rFonts w:ascii="Times New Roman" w:hAnsi="Times New Roman" w:cs="Times New Roman"/>
          <w:sz w:val="28"/>
          <w:szCs w:val="28"/>
          <w:lang w:bidi="fa-IR"/>
        </w:rPr>
        <w:t xml:space="preserve"> This is not only the result of the gradual aging of the population but probably, more importantly, a reflection of the generosity of the system</w:t>
      </w:r>
      <w:r w:rsidR="00A71301" w:rsidRPr="0052009D">
        <w:rPr>
          <w:rFonts w:ascii="Times New Roman" w:hAnsi="Times New Roman" w:cs="Times New Roman"/>
          <w:sz w:val="28"/>
          <w:szCs w:val="28"/>
          <w:lang w:bidi="fa-IR"/>
        </w:rPr>
        <w:t xml:space="preserve"> (World Bank)</w:t>
      </w:r>
      <w:r w:rsidRPr="0052009D">
        <w:rPr>
          <w:rFonts w:ascii="Times New Roman" w:hAnsi="Times New Roman" w:cs="Times New Roman"/>
          <w:sz w:val="28"/>
          <w:szCs w:val="28"/>
          <w:lang w:bidi="fa-IR"/>
        </w:rPr>
        <w:t xml:space="preserve">. </w:t>
      </w:r>
      <w:r w:rsidR="00CC104D" w:rsidRPr="0052009D">
        <w:rPr>
          <w:rFonts w:ascii="Times New Roman" w:hAnsi="Times New Roman" w:cs="Times New Roman"/>
          <w:sz w:val="28"/>
          <w:szCs w:val="28"/>
          <w:lang w:bidi="fa-IR"/>
        </w:rPr>
        <w:t xml:space="preserve">Under the </w:t>
      </w:r>
      <w:r w:rsidR="00E659CE" w:rsidRPr="0052009D">
        <w:rPr>
          <w:rFonts w:ascii="Times New Roman" w:hAnsi="Times New Roman" w:cs="Times New Roman"/>
          <w:sz w:val="28"/>
          <w:szCs w:val="28"/>
          <w:lang w:bidi="fa-IR"/>
        </w:rPr>
        <w:t>rules</w:t>
      </w:r>
      <w:r w:rsidR="00CC104D" w:rsidRPr="0052009D">
        <w:rPr>
          <w:rFonts w:ascii="Times New Roman" w:hAnsi="Times New Roman" w:cs="Times New Roman"/>
          <w:sz w:val="28"/>
          <w:szCs w:val="28"/>
          <w:lang w:bidi="fa-IR"/>
        </w:rPr>
        <w:t xml:space="preserve"> of the audit organization of Iran, pension funds should discount their pension liabilities based on the expected rate of return</w:t>
      </w:r>
      <w:r w:rsidR="00741ED6" w:rsidRPr="0052009D">
        <w:rPr>
          <w:rFonts w:ascii="Times New Roman" w:hAnsi="Times New Roman" w:cs="Times New Roman"/>
          <w:sz w:val="28"/>
          <w:szCs w:val="28"/>
          <w:lang w:bidi="fa-IR"/>
        </w:rPr>
        <w:t>. The use of expected rate of return as discount rate will allow states to understate their pension funding gaps, and thus lower their annual pension related expenditures (Naughton</w:t>
      </w:r>
      <w:r w:rsidR="0067277E" w:rsidRPr="0052009D">
        <w:rPr>
          <w:rFonts w:ascii="Times New Roman" w:hAnsi="Times New Roman" w:cs="Times New Roman"/>
          <w:sz w:val="28"/>
          <w:szCs w:val="28"/>
          <w:lang w:bidi="fa-IR"/>
        </w:rPr>
        <w:t xml:space="preserve"> et al</w:t>
      </w:r>
      <w:r w:rsidR="00741ED6" w:rsidRPr="0052009D">
        <w:rPr>
          <w:rFonts w:ascii="Times New Roman" w:hAnsi="Times New Roman" w:cs="Times New Roman"/>
          <w:sz w:val="28"/>
          <w:szCs w:val="28"/>
          <w:lang w:bidi="fa-IR"/>
        </w:rPr>
        <w:t>, 2015).</w:t>
      </w:r>
    </w:p>
    <w:p w:rsidR="00260D03" w:rsidRPr="0052009D" w:rsidRDefault="00260D03" w:rsidP="00260D03">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Wilcox (2006) notes that the link between discount rates and investment returns is "</w:t>
      </w:r>
      <w:r w:rsidR="00E659CE" w:rsidRPr="0052009D">
        <w:rPr>
          <w:rFonts w:ascii="Times New Roman" w:hAnsi="Times New Roman" w:cs="Times New Roman"/>
          <w:sz w:val="28"/>
          <w:szCs w:val="28"/>
          <w:lang w:bidi="fa-IR"/>
        </w:rPr>
        <w:t>remarkable because</w:t>
      </w:r>
      <w:r w:rsidRPr="0052009D">
        <w:rPr>
          <w:rFonts w:ascii="Times New Roman" w:hAnsi="Times New Roman" w:cs="Times New Roman"/>
          <w:sz w:val="28"/>
          <w:szCs w:val="28"/>
          <w:lang w:bidi="fa-IR"/>
        </w:rPr>
        <w:t xml:space="preserve"> it suggests that plan sponsors can reduce their funding obligations by investing in riskier securities, whereas conventional finance theory </w:t>
      </w:r>
      <w:r w:rsidRPr="0052009D">
        <w:rPr>
          <w:rFonts w:ascii="Times New Roman" w:hAnsi="Times New Roman" w:cs="Times New Roman"/>
          <w:sz w:val="28"/>
          <w:szCs w:val="28"/>
          <w:lang w:bidi="fa-IR"/>
        </w:rPr>
        <w:lastRenderedPageBreak/>
        <w:t>would suggest that a given level of benefit security can be maintained despite a shift to a riskier investment portfolio only by increasing, rather than reducing, contributions into the plan."</w:t>
      </w:r>
    </w:p>
    <w:p w:rsidR="00137482" w:rsidRPr="0052009D" w:rsidRDefault="00260D03" w:rsidP="000413B9">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Plan sponsors and managers have incentives </w:t>
      </w:r>
      <w:r w:rsidR="000413B9" w:rsidRPr="0052009D">
        <w:rPr>
          <w:rFonts w:ascii="Times New Roman" w:hAnsi="Times New Roman" w:cs="Times New Roman"/>
          <w:sz w:val="28"/>
          <w:szCs w:val="28"/>
          <w:lang w:bidi="fa-IR"/>
        </w:rPr>
        <w:t xml:space="preserve">to invest more in risky assets in order to report a better funding status. </w:t>
      </w:r>
      <w:r w:rsidR="00137482" w:rsidRPr="0052009D">
        <w:rPr>
          <w:rFonts w:ascii="Times New Roman" w:hAnsi="Times New Roman" w:cs="Times New Roman"/>
          <w:sz w:val="28"/>
          <w:szCs w:val="28"/>
          <w:lang w:bidi="fa-IR"/>
        </w:rPr>
        <w:t>The large, unfunded pension liabilities threaten the credibility of fiscal policy and the welfare of future generations. Today’s portfolios are illiquid and risky. Nonetheless, even if higher rates of return could be achieved, current reserves would not be sufficient to cover pension liabilities over the next decade. Thus, maintaining the current level of benefits implies accumulating a debt that future generations will have to finance, either by diverting resources from other sectors (e.g., education and health) or by increasing the tax burden (World Bank).</w:t>
      </w:r>
    </w:p>
    <w:p w:rsidR="000413B9" w:rsidRPr="0052009D" w:rsidRDefault="00A76D6E" w:rsidP="00A76D6E">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Understatement of pension funding gap or unfunded actuarial liability will causes severe short and long term problems. As a very effective factor, slight change</w:t>
      </w:r>
      <w:r w:rsidR="00474806" w:rsidRPr="0052009D">
        <w:rPr>
          <w:rFonts w:ascii="Times New Roman" w:hAnsi="Times New Roman" w:cs="Times New Roman"/>
          <w:sz w:val="28"/>
          <w:szCs w:val="28"/>
          <w:lang w:bidi="fa-IR"/>
        </w:rPr>
        <w:t>s</w:t>
      </w:r>
      <w:r w:rsidRPr="0052009D">
        <w:rPr>
          <w:rFonts w:ascii="Times New Roman" w:hAnsi="Times New Roman" w:cs="Times New Roman"/>
          <w:sz w:val="28"/>
          <w:szCs w:val="28"/>
          <w:lang w:bidi="fa-IR"/>
        </w:rPr>
        <w:t xml:space="preserve"> in discount rate will change the amount of pension liabilities by huge amount. </w:t>
      </w:r>
      <w:r w:rsidR="000413B9" w:rsidRPr="0052009D">
        <w:rPr>
          <w:rFonts w:ascii="Times New Roman" w:hAnsi="Times New Roman" w:cs="Times New Roman"/>
          <w:sz w:val="28"/>
          <w:szCs w:val="28"/>
          <w:lang w:bidi="fa-IR"/>
        </w:rPr>
        <w:t>Brown and Wilcox (200</w:t>
      </w:r>
      <w:r w:rsidR="0067277E" w:rsidRPr="0052009D">
        <w:rPr>
          <w:rFonts w:ascii="Times New Roman" w:hAnsi="Times New Roman" w:cs="Times New Roman"/>
          <w:sz w:val="28"/>
          <w:szCs w:val="28"/>
          <w:lang w:bidi="fa-IR"/>
        </w:rPr>
        <w:t>9) and Novy-Marx and Rauh (2011</w:t>
      </w:r>
      <w:r w:rsidR="000413B9" w:rsidRPr="0052009D">
        <w:rPr>
          <w:rFonts w:ascii="Times New Roman" w:hAnsi="Times New Roman" w:cs="Times New Roman"/>
          <w:sz w:val="28"/>
          <w:szCs w:val="28"/>
          <w:lang w:bidi="fa-IR"/>
        </w:rPr>
        <w:t>) suggest that promised pensions should be discounted at a rate that reflects the time value of money and the uncertainty of these liabilities. Brown and Pennacchi (2015) further argue that for funding purposes, pension funds should always use default-free discount rates.</w:t>
      </w:r>
    </w:p>
    <w:p w:rsidR="00A76D6E" w:rsidRPr="0052009D" w:rsidRDefault="00474806" w:rsidP="00D5003C">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I</w:t>
      </w:r>
      <w:r w:rsidR="00A76D6E" w:rsidRPr="0052009D">
        <w:rPr>
          <w:rFonts w:ascii="Times New Roman" w:hAnsi="Times New Roman" w:cs="Times New Roman"/>
          <w:sz w:val="28"/>
          <w:szCs w:val="28"/>
          <w:lang w:bidi="fa-IR"/>
        </w:rPr>
        <w:t xml:space="preserve">n this study we </w:t>
      </w:r>
      <w:r w:rsidR="00D5003C" w:rsidRPr="0052009D">
        <w:rPr>
          <w:rFonts w:ascii="Times New Roman" w:hAnsi="Times New Roman" w:cs="Times New Roman"/>
          <w:sz w:val="28"/>
          <w:szCs w:val="28"/>
          <w:lang w:bidi="fa-IR"/>
        </w:rPr>
        <w:t>have</w:t>
      </w:r>
      <w:r w:rsidR="00A76D6E" w:rsidRPr="0052009D">
        <w:rPr>
          <w:rFonts w:ascii="Times New Roman" w:hAnsi="Times New Roman" w:cs="Times New Roman"/>
          <w:sz w:val="28"/>
          <w:szCs w:val="28"/>
          <w:lang w:bidi="fa-IR"/>
        </w:rPr>
        <w:t xml:space="preserve"> compare</w:t>
      </w:r>
      <w:r w:rsidR="00D5003C" w:rsidRPr="0052009D">
        <w:rPr>
          <w:rFonts w:ascii="Times New Roman" w:hAnsi="Times New Roman" w:cs="Times New Roman"/>
          <w:sz w:val="28"/>
          <w:szCs w:val="28"/>
          <w:lang w:bidi="fa-IR"/>
        </w:rPr>
        <w:t>d</w:t>
      </w:r>
      <w:r w:rsidR="00A76D6E" w:rsidRPr="0052009D">
        <w:rPr>
          <w:rFonts w:ascii="Times New Roman" w:hAnsi="Times New Roman" w:cs="Times New Roman"/>
          <w:sz w:val="28"/>
          <w:szCs w:val="28"/>
          <w:lang w:bidi="fa-IR"/>
        </w:rPr>
        <w:t xml:space="preserve"> current discount rate, which is provided by the standard 27 rules of Iranian audit organization with some alternative choices. We </w:t>
      </w:r>
      <w:r w:rsidR="00D5003C" w:rsidRPr="0052009D">
        <w:rPr>
          <w:rFonts w:ascii="Times New Roman" w:hAnsi="Times New Roman" w:cs="Times New Roman"/>
          <w:sz w:val="28"/>
          <w:szCs w:val="28"/>
          <w:lang w:bidi="fa-IR"/>
        </w:rPr>
        <w:t>have</w:t>
      </w:r>
      <w:r w:rsidR="00A76D6E" w:rsidRPr="0052009D">
        <w:rPr>
          <w:rFonts w:ascii="Times New Roman" w:hAnsi="Times New Roman" w:cs="Times New Roman"/>
          <w:sz w:val="28"/>
          <w:szCs w:val="28"/>
          <w:lang w:bidi="fa-IR"/>
        </w:rPr>
        <w:t xml:space="preserve"> calculate</w:t>
      </w:r>
      <w:r w:rsidR="00D5003C" w:rsidRPr="0052009D">
        <w:rPr>
          <w:rFonts w:ascii="Times New Roman" w:hAnsi="Times New Roman" w:cs="Times New Roman"/>
          <w:sz w:val="28"/>
          <w:szCs w:val="28"/>
          <w:lang w:bidi="fa-IR"/>
        </w:rPr>
        <w:t>d</w:t>
      </w:r>
      <w:r w:rsidR="00A76D6E" w:rsidRPr="0052009D">
        <w:rPr>
          <w:rFonts w:ascii="Times New Roman" w:hAnsi="Times New Roman" w:cs="Times New Roman"/>
          <w:sz w:val="28"/>
          <w:szCs w:val="28"/>
          <w:lang w:bidi="fa-IR"/>
        </w:rPr>
        <w:t xml:space="preserve"> the amount of Total Actuarial Liability under the application of two different actuarial cost method including: the Project Unit Cost method (PUC), which is currently used by pension funds in Iran and the Entry Age Normal (EAN</w:t>
      </w:r>
      <w:r w:rsidR="00A76D6E" w:rsidRPr="0052009D">
        <w:rPr>
          <w:rFonts w:ascii="Times New Roman" w:hAnsi="Times New Roman" w:cs="Times New Roman"/>
          <w:sz w:val="28"/>
          <w:szCs w:val="28"/>
          <w:rtl/>
          <w:lang w:bidi="fa-IR"/>
        </w:rPr>
        <w:t>(</w:t>
      </w:r>
      <w:r w:rsidR="00A76D6E" w:rsidRPr="0052009D">
        <w:rPr>
          <w:rFonts w:ascii="Times New Roman" w:hAnsi="Times New Roman" w:cs="Times New Roman"/>
          <w:sz w:val="28"/>
          <w:szCs w:val="28"/>
          <w:lang w:bidi="fa-IR"/>
        </w:rPr>
        <w:t xml:space="preserve"> cost method as an alternative method in order to analyze the differences between their results.</w:t>
      </w:r>
    </w:p>
    <w:p w:rsidR="00982CB6" w:rsidRPr="0052009D" w:rsidRDefault="00E659CE" w:rsidP="00E67F9E">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The paper proceeds as follows.</w:t>
      </w:r>
      <w:r w:rsidR="00982CB6" w:rsidRPr="0052009D">
        <w:rPr>
          <w:rFonts w:ascii="Times New Roman" w:hAnsi="Times New Roman" w:cs="Times New Roman"/>
          <w:sz w:val="28"/>
          <w:szCs w:val="28"/>
          <w:lang w:bidi="fa-IR"/>
        </w:rPr>
        <w:t xml:space="preserve"> Section 2 reviews</w:t>
      </w:r>
      <w:r w:rsidR="00474806" w:rsidRPr="0052009D">
        <w:rPr>
          <w:rFonts w:ascii="Times New Roman" w:hAnsi="Times New Roman" w:cs="Times New Roman"/>
          <w:sz w:val="28"/>
          <w:szCs w:val="28"/>
          <w:lang w:bidi="fa-IR"/>
        </w:rPr>
        <w:t xml:space="preserve"> the literature</w:t>
      </w:r>
      <w:r w:rsidR="00982CB6" w:rsidRPr="0052009D">
        <w:rPr>
          <w:rFonts w:ascii="Times New Roman" w:hAnsi="Times New Roman" w:cs="Times New Roman"/>
          <w:sz w:val="28"/>
          <w:szCs w:val="28"/>
          <w:lang w:bidi="fa-IR"/>
        </w:rPr>
        <w:t>. Section</w:t>
      </w:r>
      <w:r w:rsidR="00474806" w:rsidRPr="0052009D">
        <w:rPr>
          <w:rFonts w:ascii="Times New Roman" w:hAnsi="Times New Roman" w:cs="Times New Roman"/>
          <w:sz w:val="28"/>
          <w:szCs w:val="28"/>
          <w:lang w:bidi="fa-IR"/>
        </w:rPr>
        <w:t xml:space="preserve"> 3 describes theoretical framework. </w:t>
      </w:r>
      <w:r w:rsidRPr="0052009D">
        <w:rPr>
          <w:rFonts w:ascii="Times New Roman" w:hAnsi="Times New Roman" w:cs="Times New Roman"/>
          <w:sz w:val="28"/>
          <w:szCs w:val="28"/>
          <w:lang w:bidi="fa-IR"/>
        </w:rPr>
        <w:t>Section</w:t>
      </w:r>
      <w:r w:rsidR="00982CB6" w:rsidRPr="0052009D">
        <w:rPr>
          <w:rFonts w:ascii="Times New Roman" w:hAnsi="Times New Roman" w:cs="Times New Roman"/>
          <w:sz w:val="28"/>
          <w:szCs w:val="28"/>
          <w:lang w:bidi="fa-IR"/>
        </w:rPr>
        <w:t xml:space="preserve"> </w:t>
      </w:r>
      <w:r w:rsidR="00474806" w:rsidRPr="0052009D">
        <w:rPr>
          <w:rFonts w:ascii="Times New Roman" w:hAnsi="Times New Roman" w:cs="Times New Roman"/>
          <w:sz w:val="28"/>
          <w:szCs w:val="28"/>
          <w:lang w:bidi="fa-IR"/>
        </w:rPr>
        <w:t>4</w:t>
      </w:r>
      <w:r w:rsidR="00982CB6" w:rsidRPr="0052009D">
        <w:rPr>
          <w:rFonts w:ascii="Times New Roman" w:hAnsi="Times New Roman" w:cs="Times New Roman"/>
          <w:sz w:val="28"/>
          <w:szCs w:val="28"/>
          <w:lang w:bidi="fa-IR"/>
        </w:rPr>
        <w:t xml:space="preserve"> describes </w:t>
      </w:r>
      <w:r w:rsidR="00E67F9E" w:rsidRPr="0052009D">
        <w:rPr>
          <w:rFonts w:ascii="Times New Roman" w:hAnsi="Times New Roman" w:cs="Times New Roman"/>
          <w:sz w:val="28"/>
          <w:szCs w:val="28"/>
          <w:lang w:bidi="fa-IR"/>
        </w:rPr>
        <w:t xml:space="preserve">interest rate and </w:t>
      </w:r>
      <w:r w:rsidR="00CF4C7F" w:rsidRPr="0052009D">
        <w:rPr>
          <w:rFonts w:ascii="Times New Roman" w:hAnsi="Times New Roman" w:cs="Times New Roman"/>
          <w:sz w:val="28"/>
          <w:szCs w:val="28"/>
          <w:lang w:bidi="fa-IR"/>
        </w:rPr>
        <w:t xml:space="preserve">demographic </w:t>
      </w:r>
      <w:r w:rsidRPr="0052009D">
        <w:rPr>
          <w:rFonts w:ascii="Times New Roman" w:hAnsi="Times New Roman" w:cs="Times New Roman"/>
          <w:sz w:val="28"/>
          <w:szCs w:val="28"/>
          <w:lang w:bidi="fa-IR"/>
        </w:rPr>
        <w:t>analyses</w:t>
      </w:r>
      <w:r w:rsidR="00982CB6" w:rsidRPr="0052009D">
        <w:rPr>
          <w:rFonts w:ascii="Times New Roman" w:hAnsi="Times New Roman" w:cs="Times New Roman"/>
          <w:sz w:val="28"/>
          <w:szCs w:val="28"/>
          <w:lang w:bidi="fa-IR"/>
        </w:rPr>
        <w:t xml:space="preserve">. Section </w:t>
      </w:r>
      <w:r w:rsidR="00474806" w:rsidRPr="0052009D">
        <w:rPr>
          <w:rFonts w:ascii="Times New Roman" w:hAnsi="Times New Roman" w:cs="Times New Roman"/>
          <w:sz w:val="28"/>
          <w:szCs w:val="28"/>
          <w:lang w:bidi="fa-IR"/>
        </w:rPr>
        <w:t>5</w:t>
      </w:r>
      <w:r w:rsidR="00982CB6" w:rsidRPr="0052009D">
        <w:rPr>
          <w:rFonts w:ascii="Times New Roman" w:hAnsi="Times New Roman" w:cs="Times New Roman"/>
          <w:sz w:val="28"/>
          <w:szCs w:val="28"/>
          <w:lang w:bidi="fa-IR"/>
        </w:rPr>
        <w:t xml:space="preserve"> </w:t>
      </w:r>
      <w:r w:rsidR="00E67F9E" w:rsidRPr="0052009D">
        <w:rPr>
          <w:rFonts w:ascii="Times New Roman" w:hAnsi="Times New Roman" w:cs="Times New Roman"/>
          <w:sz w:val="28"/>
          <w:szCs w:val="28"/>
          <w:lang w:bidi="fa-IR"/>
        </w:rPr>
        <w:t>analyses the results</w:t>
      </w:r>
      <w:r w:rsidR="00982CB6" w:rsidRPr="0052009D">
        <w:rPr>
          <w:rFonts w:ascii="Times New Roman" w:hAnsi="Times New Roman" w:cs="Times New Roman"/>
          <w:sz w:val="28"/>
          <w:szCs w:val="28"/>
          <w:lang w:bidi="fa-IR"/>
        </w:rPr>
        <w:t>.</w:t>
      </w:r>
      <w:r w:rsidR="00E67F9E" w:rsidRPr="0052009D">
        <w:rPr>
          <w:rFonts w:ascii="Times New Roman" w:hAnsi="Times New Roman" w:cs="Times New Roman"/>
          <w:sz w:val="28"/>
          <w:szCs w:val="28"/>
          <w:lang w:bidi="fa-IR"/>
        </w:rPr>
        <w:t xml:space="preserve"> Section 6 concludes.</w:t>
      </w:r>
    </w:p>
    <w:p w:rsidR="00474806" w:rsidRPr="0052009D" w:rsidRDefault="00474806" w:rsidP="00474806">
      <w:pPr>
        <w:pStyle w:val="Heading1"/>
        <w:rPr>
          <w:rFonts w:asciiTheme="majorBidi" w:hAnsiTheme="majorBidi"/>
          <w:color w:val="auto"/>
          <w:sz w:val="32"/>
          <w:szCs w:val="32"/>
          <w:lang w:bidi="fa-IR"/>
        </w:rPr>
      </w:pPr>
      <w:r w:rsidRPr="0052009D">
        <w:rPr>
          <w:rFonts w:asciiTheme="majorBidi" w:hAnsiTheme="majorBidi"/>
          <w:color w:val="auto"/>
          <w:sz w:val="32"/>
          <w:szCs w:val="32"/>
          <w:lang w:bidi="fa-IR"/>
        </w:rPr>
        <w:lastRenderedPageBreak/>
        <w:t xml:space="preserve">2. Literature Review </w:t>
      </w:r>
    </w:p>
    <w:p w:rsidR="008139B0" w:rsidRPr="0052009D" w:rsidRDefault="003013E7" w:rsidP="003C3E08">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Throughout last </w:t>
      </w:r>
      <w:r w:rsidR="003C3E08" w:rsidRPr="0052009D">
        <w:rPr>
          <w:rFonts w:ascii="Times New Roman" w:hAnsi="Times New Roman" w:cs="Times New Roman"/>
          <w:sz w:val="28"/>
          <w:szCs w:val="28"/>
          <w:lang w:bidi="fa-IR"/>
        </w:rPr>
        <w:t>decades</w:t>
      </w:r>
      <w:r w:rsidRPr="0052009D">
        <w:rPr>
          <w:rFonts w:ascii="Times New Roman" w:hAnsi="Times New Roman" w:cs="Times New Roman"/>
          <w:sz w:val="28"/>
          <w:szCs w:val="28"/>
          <w:lang w:bidi="fa-IR"/>
        </w:rPr>
        <w:t xml:space="preserve"> numerous researchers have studied the important role of discount rate for pension valuations.</w:t>
      </w:r>
      <w:r w:rsidR="00941A91" w:rsidRPr="0052009D">
        <w:rPr>
          <w:rFonts w:ascii="Times New Roman" w:hAnsi="Times New Roman" w:cs="Times New Roman"/>
          <w:sz w:val="28"/>
          <w:szCs w:val="28"/>
          <w:lang w:bidi="fa-IR"/>
        </w:rPr>
        <w:t xml:space="preserve"> At 1995</w:t>
      </w:r>
      <w:r w:rsidRPr="0052009D">
        <w:rPr>
          <w:rFonts w:ascii="Times New Roman" w:hAnsi="Times New Roman" w:cs="Times New Roman"/>
          <w:sz w:val="28"/>
          <w:szCs w:val="28"/>
          <w:lang w:bidi="fa-IR"/>
        </w:rPr>
        <w:t xml:space="preserve"> </w:t>
      </w:r>
      <w:r w:rsidR="00FF68C7" w:rsidRPr="0052009D">
        <w:rPr>
          <w:rFonts w:ascii="Times New Roman" w:hAnsi="Times New Roman" w:cs="Times New Roman"/>
          <w:sz w:val="28"/>
          <w:szCs w:val="28"/>
          <w:lang w:bidi="fa-IR"/>
        </w:rPr>
        <w:t xml:space="preserve">Gopalakrishnan </w:t>
      </w:r>
      <w:r w:rsidR="004B3837" w:rsidRPr="0052009D">
        <w:rPr>
          <w:rFonts w:ascii="Times New Roman" w:hAnsi="Times New Roman" w:cs="Times New Roman"/>
          <w:sz w:val="28"/>
          <w:szCs w:val="28"/>
          <w:lang w:bidi="fa-IR"/>
        </w:rPr>
        <w:t>et al</w:t>
      </w:r>
      <w:r w:rsidR="00FF68C7" w:rsidRPr="0052009D">
        <w:rPr>
          <w:rFonts w:ascii="Times New Roman" w:hAnsi="Times New Roman" w:cs="Times New Roman"/>
          <w:sz w:val="28"/>
          <w:szCs w:val="28"/>
          <w:lang w:bidi="fa-IR"/>
        </w:rPr>
        <w:t xml:space="preserve"> argued that </w:t>
      </w:r>
      <w:r w:rsidR="00824146" w:rsidRPr="0052009D">
        <w:rPr>
          <w:rFonts w:ascii="Times New Roman" w:hAnsi="Times New Roman" w:cs="Times New Roman"/>
          <w:sz w:val="28"/>
          <w:szCs w:val="28"/>
          <w:lang w:bidi="fa-IR"/>
        </w:rPr>
        <w:t>t</w:t>
      </w:r>
      <w:r w:rsidR="00FF68C7" w:rsidRPr="0052009D">
        <w:rPr>
          <w:rFonts w:ascii="Times New Roman" w:hAnsi="Times New Roman" w:cs="Times New Roman"/>
          <w:sz w:val="28"/>
          <w:szCs w:val="28"/>
          <w:lang w:bidi="fa-IR"/>
        </w:rPr>
        <w:t xml:space="preserve">he status of the pension plan funding could influence the choice of the actuarial assumptions, particularly the discount rate. </w:t>
      </w:r>
      <w:r w:rsidR="00824146" w:rsidRPr="0052009D">
        <w:rPr>
          <w:rFonts w:ascii="Times New Roman" w:hAnsi="Times New Roman" w:cs="Times New Roman"/>
          <w:sz w:val="28"/>
          <w:szCs w:val="28"/>
          <w:lang w:bidi="fa-IR"/>
        </w:rPr>
        <w:t>T</w:t>
      </w:r>
      <w:r w:rsidR="00FF68C7" w:rsidRPr="0052009D">
        <w:rPr>
          <w:rFonts w:ascii="Times New Roman" w:hAnsi="Times New Roman" w:cs="Times New Roman"/>
          <w:sz w:val="28"/>
          <w:szCs w:val="28"/>
          <w:lang w:bidi="fa-IR"/>
        </w:rPr>
        <w:t>hey concluded that firms with large unfunded pension liabilities and leverage are likely to choose higher discount rates to understate the magnitude of the reported liability.</w:t>
      </w:r>
      <w:r w:rsidR="00941A91" w:rsidRPr="0052009D">
        <w:rPr>
          <w:rFonts w:ascii="Times New Roman" w:hAnsi="Times New Roman" w:cs="Times New Roman"/>
          <w:sz w:val="28"/>
          <w:szCs w:val="28"/>
          <w:lang w:bidi="fa-IR"/>
        </w:rPr>
        <w:t xml:space="preserve"> P</w:t>
      </w:r>
      <w:r w:rsidR="003A0963" w:rsidRPr="0052009D">
        <w:rPr>
          <w:rFonts w:ascii="Times New Roman" w:hAnsi="Times New Roman" w:cs="Times New Roman"/>
          <w:sz w:val="28"/>
          <w:szCs w:val="28"/>
          <w:lang w:bidi="fa-IR"/>
        </w:rPr>
        <w:t xml:space="preserve">eterson at </w:t>
      </w:r>
      <w:r w:rsidR="00941A91" w:rsidRPr="0052009D">
        <w:rPr>
          <w:rFonts w:ascii="Times New Roman" w:hAnsi="Times New Roman" w:cs="Times New Roman"/>
          <w:sz w:val="28"/>
          <w:szCs w:val="28"/>
          <w:lang w:bidi="fa-IR"/>
        </w:rPr>
        <w:t>this year</w:t>
      </w:r>
      <w:r w:rsidR="003A0963" w:rsidRPr="0052009D">
        <w:rPr>
          <w:rFonts w:ascii="Times New Roman" w:hAnsi="Times New Roman" w:cs="Times New Roman"/>
          <w:sz w:val="28"/>
          <w:szCs w:val="28"/>
          <w:lang w:bidi="fa-IR"/>
        </w:rPr>
        <w:t xml:space="preserve"> </w:t>
      </w:r>
      <w:r w:rsidRPr="0052009D">
        <w:rPr>
          <w:rFonts w:ascii="Times New Roman" w:hAnsi="Times New Roman" w:cs="Times New Roman"/>
          <w:sz w:val="28"/>
          <w:szCs w:val="28"/>
          <w:lang w:bidi="fa-IR"/>
        </w:rPr>
        <w:t xml:space="preserve">stated </w:t>
      </w:r>
      <w:r w:rsidR="00D52CBB" w:rsidRPr="0052009D">
        <w:rPr>
          <w:rFonts w:ascii="Times New Roman" w:hAnsi="Times New Roman" w:cs="Times New Roman"/>
          <w:sz w:val="28"/>
          <w:szCs w:val="28"/>
          <w:lang w:bidi="fa-IR"/>
        </w:rPr>
        <w:t xml:space="preserve">that </w:t>
      </w:r>
      <w:r w:rsidR="00FF68C7" w:rsidRPr="0052009D">
        <w:rPr>
          <w:rFonts w:ascii="Times New Roman" w:hAnsi="Times New Roman" w:cs="Times New Roman"/>
          <w:sz w:val="28"/>
          <w:szCs w:val="28"/>
          <w:lang w:bidi="fa-IR"/>
        </w:rPr>
        <w:t>the correct discount rate should depend upon the type of risk i</w:t>
      </w:r>
      <w:r w:rsidR="00D52CBB" w:rsidRPr="0052009D">
        <w:rPr>
          <w:rFonts w:ascii="Times New Roman" w:hAnsi="Times New Roman" w:cs="Times New Roman"/>
          <w:sz w:val="28"/>
          <w:szCs w:val="28"/>
          <w:lang w:bidi="fa-IR"/>
        </w:rPr>
        <w:t xml:space="preserve">nherent in the pension promise. </w:t>
      </w:r>
      <w:r w:rsidR="00FF68C7" w:rsidRPr="0052009D">
        <w:rPr>
          <w:rFonts w:ascii="Times New Roman" w:hAnsi="Times New Roman" w:cs="Times New Roman"/>
          <w:sz w:val="28"/>
          <w:szCs w:val="28"/>
          <w:lang w:bidi="fa-IR"/>
        </w:rPr>
        <w:t>In the United States, evidence from the 1980s showed that more profitable firms used lower rates of discount in assessing their future pension liabilities than less profitable ones (Bodie et al 1987). By inflating their future pension liabilities, firms were able to make larger deductible contributions, and thus lower their taxes, without reaching prescribed limits on overfunding. On the other hand, firms facing financial difficulties used high discount rates in order to understate their pension liabilities and lower their required contributions. A similar pattern was also reported for the 1990s (Asthana 1999).</w:t>
      </w:r>
      <w:r w:rsidR="003A0963" w:rsidRPr="0052009D">
        <w:rPr>
          <w:rFonts w:ascii="Times New Roman" w:hAnsi="Times New Roman" w:cs="Times New Roman"/>
          <w:sz w:val="28"/>
          <w:szCs w:val="28"/>
          <w:lang w:bidi="fa-IR"/>
        </w:rPr>
        <w:t xml:space="preserve"> </w:t>
      </w:r>
      <w:r w:rsidR="00E659CE" w:rsidRPr="0052009D">
        <w:rPr>
          <w:rFonts w:ascii="Times New Roman" w:hAnsi="Times New Roman" w:cs="Times New Roman"/>
          <w:sz w:val="28"/>
          <w:szCs w:val="28"/>
          <w:lang w:bidi="fa-IR"/>
        </w:rPr>
        <w:t>Godwin (1999) showed</w:t>
      </w:r>
      <w:r w:rsidR="00FF68C7" w:rsidRPr="0052009D">
        <w:rPr>
          <w:rFonts w:ascii="Times New Roman" w:hAnsi="Times New Roman" w:cs="Times New Roman"/>
          <w:sz w:val="28"/>
          <w:szCs w:val="28"/>
          <w:lang w:bidi="fa-IR"/>
        </w:rPr>
        <w:t xml:space="preserve"> that firms with underfunded plans choose higher pension discount rates, although the difference declined over time.</w:t>
      </w:r>
      <w:r w:rsidR="00941A91" w:rsidRPr="0052009D">
        <w:rPr>
          <w:rFonts w:ascii="Times New Roman" w:hAnsi="Times New Roman" w:cs="Times New Roman"/>
          <w:sz w:val="28"/>
          <w:szCs w:val="28"/>
          <w:lang w:bidi="fa-IR"/>
        </w:rPr>
        <w:t xml:space="preserve"> </w:t>
      </w:r>
      <w:r w:rsidRPr="0052009D">
        <w:rPr>
          <w:rFonts w:ascii="Times New Roman" w:hAnsi="Times New Roman" w:cs="Times New Roman"/>
          <w:sz w:val="28"/>
          <w:szCs w:val="28"/>
          <w:lang w:bidi="fa-IR"/>
        </w:rPr>
        <w:t>At 2000 Obinata</w:t>
      </w:r>
      <w:r w:rsidR="00FF68C7" w:rsidRPr="0052009D">
        <w:rPr>
          <w:rFonts w:ascii="Times New Roman" w:hAnsi="Times New Roman" w:cs="Times New Roman"/>
          <w:sz w:val="28"/>
          <w:szCs w:val="28"/>
          <w:lang w:bidi="fa-IR"/>
        </w:rPr>
        <w:t xml:space="preserve"> investigated what factors affect </w:t>
      </w:r>
      <w:r w:rsidR="00B75999" w:rsidRPr="0052009D">
        <w:rPr>
          <w:rFonts w:ascii="Times New Roman" w:hAnsi="Times New Roman" w:cs="Times New Roman"/>
          <w:sz w:val="28"/>
          <w:szCs w:val="28"/>
          <w:lang w:bidi="fa-IR"/>
        </w:rPr>
        <w:t>the</w:t>
      </w:r>
      <w:r w:rsidR="00FF68C7" w:rsidRPr="0052009D">
        <w:rPr>
          <w:rFonts w:ascii="Times New Roman" w:hAnsi="Times New Roman" w:cs="Times New Roman"/>
          <w:sz w:val="28"/>
          <w:szCs w:val="28"/>
          <w:lang w:bidi="fa-IR"/>
        </w:rPr>
        <w:t xml:space="preserve"> choice of pension discount rates.</w:t>
      </w:r>
      <w:r w:rsidR="00FF68C7" w:rsidRPr="0052009D">
        <w:rPr>
          <w:rFonts w:ascii="Times New Roman" w:hAnsi="Times New Roman" w:cs="Times New Roman"/>
          <w:sz w:val="24"/>
          <w:szCs w:val="24"/>
        </w:rPr>
        <w:t xml:space="preserve"> </w:t>
      </w:r>
      <w:r w:rsidR="009F0E80" w:rsidRPr="0052009D">
        <w:rPr>
          <w:rFonts w:ascii="Times New Roman" w:hAnsi="Times New Roman" w:cs="Times New Roman"/>
          <w:sz w:val="28"/>
          <w:szCs w:val="28"/>
          <w:lang w:bidi="fa-IR"/>
        </w:rPr>
        <w:t xml:space="preserve">He </w:t>
      </w:r>
      <w:r w:rsidR="00FF68C7" w:rsidRPr="0052009D">
        <w:rPr>
          <w:rFonts w:ascii="Times New Roman" w:hAnsi="Times New Roman" w:cs="Times New Roman"/>
          <w:sz w:val="28"/>
          <w:szCs w:val="28"/>
          <w:lang w:bidi="fa-IR"/>
        </w:rPr>
        <w:t>showed that, the significant factor affecting the firms’ choice is not leverage, but prof</w:t>
      </w:r>
      <w:r w:rsidR="008139B0" w:rsidRPr="0052009D">
        <w:rPr>
          <w:rFonts w:ascii="Times New Roman" w:hAnsi="Times New Roman" w:cs="Times New Roman"/>
          <w:sz w:val="28"/>
          <w:szCs w:val="28"/>
          <w:lang w:bidi="fa-IR"/>
        </w:rPr>
        <w:t>itability (return on equity</w:t>
      </w:r>
      <w:r w:rsidR="00FF68C7" w:rsidRPr="0052009D">
        <w:rPr>
          <w:rFonts w:ascii="Times New Roman" w:hAnsi="Times New Roman" w:cs="Times New Roman"/>
          <w:sz w:val="28"/>
          <w:szCs w:val="28"/>
          <w:lang w:bidi="fa-IR"/>
        </w:rPr>
        <w:t xml:space="preserve">). </w:t>
      </w:r>
      <w:r w:rsidR="00D52CBB" w:rsidRPr="0052009D">
        <w:rPr>
          <w:rFonts w:ascii="Times New Roman" w:hAnsi="Times New Roman" w:cs="Times New Roman"/>
          <w:sz w:val="28"/>
          <w:szCs w:val="28"/>
          <w:lang w:bidi="fa-IR"/>
        </w:rPr>
        <w:t>His</w:t>
      </w:r>
      <w:r w:rsidR="00FF68C7" w:rsidRPr="0052009D">
        <w:rPr>
          <w:rFonts w:ascii="Times New Roman" w:hAnsi="Times New Roman" w:cs="Times New Roman"/>
          <w:sz w:val="28"/>
          <w:szCs w:val="28"/>
          <w:lang w:bidi="fa-IR"/>
        </w:rPr>
        <w:t xml:space="preserve"> results indicated that the firms, which chose lower pension discount rates, are valued higher. </w:t>
      </w:r>
    </w:p>
    <w:p w:rsidR="008139B0" w:rsidRPr="0052009D" w:rsidRDefault="00941A91" w:rsidP="00B75999">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At 2009 </w:t>
      </w:r>
      <w:r w:rsidR="008139B0" w:rsidRPr="0052009D">
        <w:rPr>
          <w:rFonts w:ascii="Times New Roman" w:hAnsi="Times New Roman" w:cs="Times New Roman"/>
          <w:sz w:val="28"/>
          <w:szCs w:val="28"/>
          <w:lang w:bidi="fa-IR"/>
        </w:rPr>
        <w:t xml:space="preserve">Brown </w:t>
      </w:r>
      <w:r w:rsidR="004B3837" w:rsidRPr="0052009D">
        <w:rPr>
          <w:rFonts w:ascii="Times New Roman" w:hAnsi="Times New Roman" w:cs="Times New Roman"/>
          <w:sz w:val="28"/>
          <w:szCs w:val="28"/>
          <w:lang w:bidi="fa-IR"/>
        </w:rPr>
        <w:t>et al</w:t>
      </w:r>
      <w:r w:rsidR="008139B0" w:rsidRPr="0052009D">
        <w:rPr>
          <w:rFonts w:ascii="Times New Roman" w:hAnsi="Times New Roman" w:cs="Times New Roman"/>
          <w:sz w:val="28"/>
          <w:szCs w:val="28"/>
          <w:lang w:bidi="fa-IR"/>
        </w:rPr>
        <w:t xml:space="preserve"> </w:t>
      </w:r>
      <w:r w:rsidR="009F0E80" w:rsidRPr="0052009D">
        <w:rPr>
          <w:rFonts w:ascii="Times New Roman" w:hAnsi="Times New Roman" w:cs="Times New Roman"/>
          <w:sz w:val="28"/>
          <w:szCs w:val="28"/>
          <w:lang w:bidi="fa-IR"/>
        </w:rPr>
        <w:t>state</w:t>
      </w:r>
      <w:r w:rsidR="002B2227" w:rsidRPr="0052009D">
        <w:rPr>
          <w:rFonts w:ascii="Times New Roman" w:hAnsi="Times New Roman" w:cs="Times New Roman"/>
          <w:sz w:val="28"/>
          <w:szCs w:val="28"/>
          <w:lang w:bidi="fa-IR"/>
        </w:rPr>
        <w:t>d</w:t>
      </w:r>
      <w:r w:rsidR="009F0E80" w:rsidRPr="0052009D">
        <w:rPr>
          <w:rFonts w:ascii="Times New Roman" w:hAnsi="Times New Roman" w:cs="Times New Roman"/>
          <w:sz w:val="28"/>
          <w:szCs w:val="28"/>
          <w:lang w:bidi="fa-IR"/>
        </w:rPr>
        <w:t xml:space="preserve"> that using the expected return on the assets held in the pension trust</w:t>
      </w:r>
      <w:r w:rsidR="00B75999" w:rsidRPr="0052009D">
        <w:rPr>
          <w:rFonts w:ascii="Times New Roman" w:hAnsi="Times New Roman" w:cs="Times New Roman"/>
          <w:sz w:val="28"/>
          <w:szCs w:val="28"/>
          <w:lang w:bidi="fa-IR"/>
        </w:rPr>
        <w:t xml:space="preserve"> as discount rate would</w:t>
      </w:r>
      <w:r w:rsidR="009F0E80" w:rsidRPr="0052009D">
        <w:rPr>
          <w:rFonts w:ascii="Times New Roman" w:hAnsi="Times New Roman" w:cs="Times New Roman"/>
          <w:sz w:val="28"/>
          <w:szCs w:val="28"/>
          <w:lang w:bidi="fa-IR"/>
        </w:rPr>
        <w:t xml:space="preserve"> </w:t>
      </w:r>
      <w:r w:rsidR="00B75999" w:rsidRPr="0052009D">
        <w:rPr>
          <w:rFonts w:ascii="Times New Roman" w:hAnsi="Times New Roman" w:cs="Times New Roman"/>
          <w:sz w:val="28"/>
          <w:szCs w:val="28"/>
          <w:lang w:bidi="fa-IR"/>
        </w:rPr>
        <w:t>contrast</w:t>
      </w:r>
      <w:r w:rsidR="009F0E80" w:rsidRPr="0052009D">
        <w:rPr>
          <w:rFonts w:ascii="Times New Roman" w:hAnsi="Times New Roman" w:cs="Times New Roman"/>
          <w:sz w:val="28"/>
          <w:szCs w:val="28"/>
          <w:lang w:bidi="fa-IR"/>
        </w:rPr>
        <w:t xml:space="preserve"> sharply with finance theory. Their paper noted that the strong constitutional and other legal benefit protections make many defined benefit pension obligations virtually risk free. If governments discount liabilities in this way, it would reveal that state and local pensions are more underfunded than is generally reported.  </w:t>
      </w:r>
      <w:r w:rsidR="003A0963" w:rsidRPr="0052009D">
        <w:rPr>
          <w:rFonts w:ascii="Times New Roman" w:hAnsi="Times New Roman" w:cs="Times New Roman"/>
          <w:sz w:val="28"/>
          <w:szCs w:val="28"/>
          <w:lang w:bidi="fa-IR"/>
        </w:rPr>
        <w:t>On the other hand,</w:t>
      </w:r>
      <w:r w:rsidR="008139B0" w:rsidRPr="0052009D">
        <w:rPr>
          <w:rFonts w:ascii="Times New Roman" w:hAnsi="Times New Roman" w:cs="Times New Roman"/>
          <w:sz w:val="28"/>
          <w:szCs w:val="28"/>
          <w:lang w:bidi="fa-IR"/>
        </w:rPr>
        <w:t xml:space="preserve"> Stadler (2010) analyzed pension account</w:t>
      </w:r>
      <w:r w:rsidR="009F0E80" w:rsidRPr="0052009D">
        <w:rPr>
          <w:rFonts w:ascii="Times New Roman" w:hAnsi="Times New Roman" w:cs="Times New Roman"/>
          <w:sz w:val="28"/>
          <w:szCs w:val="28"/>
          <w:lang w:bidi="fa-IR"/>
        </w:rPr>
        <w:t xml:space="preserve">ing choice in Germany. </w:t>
      </w:r>
      <w:r w:rsidR="003A0963" w:rsidRPr="0052009D">
        <w:rPr>
          <w:rFonts w:ascii="Times New Roman" w:hAnsi="Times New Roman" w:cs="Times New Roman"/>
          <w:sz w:val="28"/>
          <w:szCs w:val="28"/>
          <w:lang w:bidi="fa-IR"/>
        </w:rPr>
        <w:t>He</w:t>
      </w:r>
      <w:r w:rsidR="008139B0" w:rsidRPr="0052009D">
        <w:rPr>
          <w:rFonts w:ascii="Times New Roman" w:hAnsi="Times New Roman" w:cs="Times New Roman"/>
          <w:sz w:val="28"/>
          <w:szCs w:val="28"/>
          <w:lang w:bidi="fa-IR"/>
        </w:rPr>
        <w:t xml:space="preserve"> showed that firms choose the pension discount rate and the treatment of actuarial gains and losses in order to smooth the effect of inherently volatile pension numbers. </w:t>
      </w:r>
      <w:r w:rsidR="00D52CBB" w:rsidRPr="0052009D">
        <w:rPr>
          <w:rFonts w:ascii="Times New Roman" w:hAnsi="Times New Roman" w:cs="Times New Roman"/>
          <w:sz w:val="28"/>
          <w:szCs w:val="28"/>
          <w:lang w:bidi="fa-IR"/>
        </w:rPr>
        <w:t>Vittas (2010) recommended</w:t>
      </w:r>
      <w:r w:rsidR="008139B0" w:rsidRPr="0052009D">
        <w:rPr>
          <w:rFonts w:ascii="Times New Roman" w:hAnsi="Times New Roman" w:cs="Times New Roman"/>
          <w:sz w:val="28"/>
          <w:szCs w:val="28"/>
          <w:lang w:bidi="fa-IR"/>
        </w:rPr>
        <w:t xml:space="preserve"> the use of </w:t>
      </w:r>
      <w:r w:rsidR="008139B0" w:rsidRPr="0052009D">
        <w:rPr>
          <w:rFonts w:ascii="Times New Roman" w:hAnsi="Times New Roman" w:cs="Times New Roman"/>
          <w:sz w:val="28"/>
          <w:szCs w:val="28"/>
          <w:lang w:bidi="fa-IR"/>
        </w:rPr>
        <w:lastRenderedPageBreak/>
        <w:t>market valuations for assets and liabilities and the creation of dynamic risk buffers to shield pension plans from the large fluctuations in market values</w:t>
      </w:r>
      <w:r w:rsidR="008139B0" w:rsidRPr="0052009D">
        <w:rPr>
          <w:rFonts w:ascii="Times New Roman" w:hAnsi="Times New Roman" w:cs="Times New Roman"/>
          <w:sz w:val="32"/>
          <w:szCs w:val="32"/>
          <w:lang w:bidi="fa-IR"/>
        </w:rPr>
        <w:t>.</w:t>
      </w:r>
      <w:r w:rsidR="009F0E80" w:rsidRPr="0052009D">
        <w:rPr>
          <w:rFonts w:ascii="Times New Roman" w:hAnsi="Times New Roman" w:cs="Times New Roman"/>
          <w:sz w:val="28"/>
          <w:szCs w:val="28"/>
        </w:rPr>
        <w:t xml:space="preserve"> </w:t>
      </w:r>
      <w:r w:rsidRPr="0052009D">
        <w:rPr>
          <w:rFonts w:ascii="Times New Roman" w:hAnsi="Times New Roman" w:cs="Times New Roman"/>
          <w:sz w:val="28"/>
          <w:szCs w:val="28"/>
        </w:rPr>
        <w:t xml:space="preserve">At 2011, </w:t>
      </w:r>
      <w:r w:rsidRPr="0052009D">
        <w:rPr>
          <w:rFonts w:ascii="Times New Roman" w:hAnsi="Times New Roman" w:cs="Times New Roman"/>
          <w:sz w:val="28"/>
          <w:szCs w:val="28"/>
          <w:lang w:bidi="fa-IR"/>
        </w:rPr>
        <w:t xml:space="preserve">Novy </w:t>
      </w:r>
      <w:r w:rsidR="004B3837" w:rsidRPr="0052009D">
        <w:rPr>
          <w:rFonts w:ascii="Times New Roman" w:hAnsi="Times New Roman" w:cs="Times New Roman"/>
          <w:sz w:val="28"/>
          <w:szCs w:val="28"/>
          <w:lang w:bidi="fa-IR"/>
        </w:rPr>
        <w:t>et al</w:t>
      </w:r>
      <w:r w:rsidR="008139B0" w:rsidRPr="0052009D">
        <w:rPr>
          <w:rFonts w:ascii="Times New Roman" w:hAnsi="Times New Roman" w:cs="Times New Roman"/>
          <w:sz w:val="28"/>
          <w:szCs w:val="28"/>
          <w:lang w:bidi="fa-IR"/>
        </w:rPr>
        <w:t xml:space="preserve"> measured state pension liabilities under a variety of different accrual methods and discount rates. Their main estimates focused on two primary measures of already-promised pension benefits. The first measure used a discount rate based on municipal bond yields</w:t>
      </w:r>
      <w:r w:rsidR="009F0E80" w:rsidRPr="0052009D">
        <w:rPr>
          <w:rFonts w:ascii="Times New Roman" w:hAnsi="Times New Roman" w:cs="Times New Roman"/>
          <w:sz w:val="28"/>
          <w:szCs w:val="28"/>
          <w:lang w:bidi="fa-IR"/>
        </w:rPr>
        <w:t>.</w:t>
      </w:r>
      <w:r w:rsidR="008139B0" w:rsidRPr="0052009D">
        <w:rPr>
          <w:rFonts w:ascii="Times New Roman" w:hAnsi="Times New Roman" w:cs="Times New Roman"/>
          <w:sz w:val="28"/>
          <w:szCs w:val="28"/>
          <w:lang w:bidi="fa-IR"/>
        </w:rPr>
        <w:t>The second measure used a Treasury yield curve. They argued that investing public assets in risky securities may allow future generations to benefit from improved intergenerational risk sharing. But if future taxation to meet pension promises has nonlinear distortionary costs, then investing public pensions in risky assets with high expected returns and high volatility may impose a large expected cost of distortionary taxation on future generations.</w:t>
      </w:r>
    </w:p>
    <w:p w:rsidR="00FF68C7" w:rsidRPr="0052009D" w:rsidRDefault="002B2227" w:rsidP="006D641A">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In his paper, </w:t>
      </w:r>
      <w:r w:rsidR="008139B0" w:rsidRPr="0052009D">
        <w:rPr>
          <w:rFonts w:ascii="Times New Roman" w:hAnsi="Times New Roman" w:cs="Times New Roman"/>
          <w:sz w:val="28"/>
          <w:szCs w:val="28"/>
          <w:lang w:bidi="fa-IR"/>
        </w:rPr>
        <w:t xml:space="preserve">Babbel (2013) </w:t>
      </w:r>
      <w:r w:rsidR="00941A91" w:rsidRPr="0052009D">
        <w:rPr>
          <w:rFonts w:ascii="Times New Roman" w:hAnsi="Times New Roman" w:cs="Times New Roman"/>
          <w:sz w:val="28"/>
          <w:szCs w:val="28"/>
          <w:lang w:bidi="fa-IR"/>
        </w:rPr>
        <w:t>suggested</w:t>
      </w:r>
      <w:r w:rsidR="008139B0" w:rsidRPr="0052009D">
        <w:rPr>
          <w:rFonts w:ascii="Times New Roman" w:hAnsi="Times New Roman" w:cs="Times New Roman"/>
          <w:sz w:val="28"/>
          <w:szCs w:val="28"/>
          <w:lang w:bidi="fa-IR"/>
        </w:rPr>
        <w:t xml:space="preserve"> to discount the liability stream by riskless interest rates instea</w:t>
      </w:r>
      <w:r w:rsidR="009F0E80" w:rsidRPr="0052009D">
        <w:rPr>
          <w:rFonts w:ascii="Times New Roman" w:hAnsi="Times New Roman" w:cs="Times New Roman"/>
          <w:sz w:val="28"/>
          <w:szCs w:val="28"/>
          <w:lang w:bidi="fa-IR"/>
        </w:rPr>
        <w:t>d of using corporate bond rates.</w:t>
      </w:r>
      <w:r w:rsidR="00941A91" w:rsidRPr="0052009D">
        <w:rPr>
          <w:rFonts w:ascii="Times New Roman" w:hAnsi="Times New Roman" w:cs="Times New Roman"/>
          <w:sz w:val="28"/>
          <w:szCs w:val="28"/>
          <w:lang w:bidi="fa-IR"/>
        </w:rPr>
        <w:t xml:space="preserve"> Also</w:t>
      </w:r>
      <w:r w:rsidR="003A0963" w:rsidRPr="0052009D">
        <w:rPr>
          <w:rFonts w:ascii="Times New Roman" w:hAnsi="Times New Roman" w:cs="Times New Roman"/>
          <w:sz w:val="28"/>
          <w:szCs w:val="28"/>
          <w:lang w:bidi="fa-IR"/>
        </w:rPr>
        <w:t xml:space="preserve"> </w:t>
      </w:r>
      <w:r w:rsidR="008139B0" w:rsidRPr="0052009D">
        <w:rPr>
          <w:rFonts w:ascii="Times New Roman" w:hAnsi="Times New Roman" w:cs="Times New Roman"/>
          <w:sz w:val="28"/>
          <w:szCs w:val="28"/>
          <w:lang w:bidi="fa-IR"/>
        </w:rPr>
        <w:t xml:space="preserve">Brown </w:t>
      </w:r>
      <w:r w:rsidR="004B3837" w:rsidRPr="0052009D">
        <w:rPr>
          <w:rFonts w:ascii="Times New Roman" w:hAnsi="Times New Roman" w:cs="Times New Roman"/>
          <w:sz w:val="28"/>
          <w:szCs w:val="28"/>
          <w:lang w:bidi="fa-IR"/>
        </w:rPr>
        <w:t>et al</w:t>
      </w:r>
      <w:r w:rsidR="008139B0" w:rsidRPr="0052009D">
        <w:rPr>
          <w:rFonts w:ascii="Times New Roman" w:hAnsi="Times New Roman" w:cs="Times New Roman"/>
          <w:sz w:val="28"/>
          <w:szCs w:val="28"/>
          <w:lang w:bidi="fa-IR"/>
        </w:rPr>
        <w:t xml:space="preserve"> (2015)</w:t>
      </w:r>
      <w:r w:rsidR="008139B0" w:rsidRPr="0052009D">
        <w:rPr>
          <w:rFonts w:ascii="TimesNewRoman" w:hAnsi="TimesNewRoman" w:cs="TimesNewRoman"/>
          <w:sz w:val="26"/>
          <w:szCs w:val="26"/>
        </w:rPr>
        <w:t xml:space="preserve"> </w:t>
      </w:r>
      <w:r w:rsidR="008139B0" w:rsidRPr="0052009D">
        <w:rPr>
          <w:rFonts w:ascii="Times New Roman" w:hAnsi="Times New Roman" w:cs="Times New Roman"/>
          <w:sz w:val="28"/>
          <w:szCs w:val="28"/>
          <w:lang w:bidi="fa-IR"/>
        </w:rPr>
        <w:t>argued that if the objective is to measure pension under</w:t>
      </w:r>
      <w:r w:rsidRPr="0052009D">
        <w:rPr>
          <w:rFonts w:ascii="Times New Roman" w:hAnsi="Times New Roman" w:cs="Times New Roman"/>
          <w:sz w:val="28"/>
          <w:szCs w:val="28"/>
          <w:lang w:bidi="fa-IR"/>
        </w:rPr>
        <w:t xml:space="preserve"> or over</w:t>
      </w:r>
      <w:r w:rsidR="008139B0" w:rsidRPr="0052009D">
        <w:rPr>
          <w:rFonts w:ascii="Times New Roman" w:hAnsi="Times New Roman" w:cs="Times New Roman"/>
          <w:sz w:val="28"/>
          <w:szCs w:val="28"/>
          <w:lang w:bidi="fa-IR"/>
        </w:rPr>
        <w:t>funding, a default-free discount rate should always be used, even if the liabilities are themselves not default-free. If, instead, the objective is to determine the market value of pension benefits, then it is appropriate that discount r</w:t>
      </w:r>
      <w:r w:rsidRPr="0052009D">
        <w:rPr>
          <w:rFonts w:ascii="Times New Roman" w:hAnsi="Times New Roman" w:cs="Times New Roman"/>
          <w:sz w:val="28"/>
          <w:szCs w:val="28"/>
          <w:lang w:bidi="fa-IR"/>
        </w:rPr>
        <w:t xml:space="preserve">ates incorporate default risk.  At the same time </w:t>
      </w:r>
      <w:r w:rsidR="008139B0" w:rsidRPr="0052009D">
        <w:rPr>
          <w:rFonts w:ascii="Times New Roman" w:hAnsi="Times New Roman" w:cs="Times New Roman"/>
          <w:sz w:val="28"/>
          <w:szCs w:val="28"/>
          <w:lang w:bidi="fa-IR"/>
        </w:rPr>
        <w:t>Turner</w:t>
      </w:r>
      <w:r w:rsidRPr="0052009D">
        <w:rPr>
          <w:rFonts w:ascii="Times New Roman" w:hAnsi="Times New Roman" w:cs="Times New Roman"/>
          <w:sz w:val="28"/>
          <w:szCs w:val="28"/>
          <w:lang w:bidi="fa-IR"/>
        </w:rPr>
        <w:t xml:space="preserve"> </w:t>
      </w:r>
      <w:r w:rsidR="00B75999" w:rsidRPr="0052009D">
        <w:rPr>
          <w:rFonts w:ascii="Times New Roman" w:hAnsi="Times New Roman" w:cs="Times New Roman"/>
          <w:sz w:val="28"/>
          <w:szCs w:val="28"/>
          <w:lang w:bidi="fa-IR"/>
        </w:rPr>
        <w:t>et al</w:t>
      </w:r>
      <w:r w:rsidR="008139B0" w:rsidRPr="0052009D">
        <w:rPr>
          <w:rFonts w:ascii="Times New Roman" w:hAnsi="Times New Roman" w:cs="Times New Roman"/>
          <w:sz w:val="28"/>
          <w:szCs w:val="28"/>
          <w:lang w:bidi="fa-IR"/>
        </w:rPr>
        <w:t xml:space="preserve"> </w:t>
      </w:r>
      <w:r w:rsidR="001F4F9D" w:rsidRPr="0052009D">
        <w:rPr>
          <w:rFonts w:ascii="Times New Roman" w:hAnsi="Times New Roman" w:cs="Times New Roman"/>
          <w:sz w:val="28"/>
          <w:szCs w:val="28"/>
          <w:lang w:bidi="fa-IR"/>
        </w:rPr>
        <w:t>suggested</w:t>
      </w:r>
      <w:r w:rsidR="008139B0" w:rsidRPr="0052009D">
        <w:rPr>
          <w:rFonts w:ascii="Times New Roman" w:hAnsi="Times New Roman" w:cs="Times New Roman"/>
          <w:sz w:val="28"/>
          <w:szCs w:val="28"/>
          <w:lang w:bidi="fa-IR"/>
        </w:rPr>
        <w:t xml:space="preserve"> to select a discount rate that is less than the expected rate of return on assets but greater than the risk free rate</w:t>
      </w:r>
      <w:r w:rsidR="00EE32EC" w:rsidRPr="0052009D">
        <w:rPr>
          <w:rFonts w:ascii="Times New Roman" w:hAnsi="Times New Roman" w:cs="Times New Roman"/>
          <w:sz w:val="28"/>
          <w:szCs w:val="28"/>
          <w:lang w:bidi="fa-IR"/>
        </w:rPr>
        <w:t>.</w:t>
      </w:r>
      <w:r w:rsidR="003A0963" w:rsidRPr="0052009D">
        <w:rPr>
          <w:rFonts w:ascii="Times New Roman" w:hAnsi="Times New Roman" w:cs="Times New Roman"/>
          <w:sz w:val="28"/>
          <w:szCs w:val="28"/>
          <w:lang w:bidi="fa-IR"/>
        </w:rPr>
        <w:t xml:space="preserve"> Also </w:t>
      </w:r>
      <w:r w:rsidR="008139B0" w:rsidRPr="0052009D">
        <w:rPr>
          <w:rFonts w:ascii="Times New Roman" w:hAnsi="Times New Roman" w:cs="Times New Roman"/>
          <w:sz w:val="28"/>
          <w:szCs w:val="28"/>
          <w:lang w:bidi="fa-IR"/>
        </w:rPr>
        <w:t>Naughton</w:t>
      </w:r>
      <w:r w:rsidR="004B3837" w:rsidRPr="0052009D">
        <w:rPr>
          <w:rFonts w:ascii="Times New Roman" w:hAnsi="Times New Roman" w:cs="Times New Roman"/>
          <w:sz w:val="28"/>
          <w:szCs w:val="28"/>
          <w:lang w:bidi="fa-IR"/>
        </w:rPr>
        <w:t xml:space="preserve"> et al</w:t>
      </w:r>
      <w:r w:rsidR="008139B0" w:rsidRPr="0052009D">
        <w:rPr>
          <w:rFonts w:ascii="Times New Roman" w:hAnsi="Times New Roman" w:cs="Times New Roman"/>
          <w:sz w:val="28"/>
          <w:szCs w:val="28"/>
          <w:lang w:bidi="fa-IR"/>
        </w:rPr>
        <w:t xml:space="preserve"> (2015) found that the funding gap understatement is positively associated with higher future labor costs. Importantly, this association was primarily </w:t>
      </w:r>
      <w:r w:rsidRPr="0052009D">
        <w:rPr>
          <w:rFonts w:ascii="Times New Roman" w:hAnsi="Times New Roman" w:cs="Times New Roman"/>
          <w:sz w:val="28"/>
          <w:szCs w:val="28"/>
          <w:lang w:bidi="fa-IR"/>
        </w:rPr>
        <w:t>due</w:t>
      </w:r>
      <w:r w:rsidR="008139B0" w:rsidRPr="0052009D">
        <w:rPr>
          <w:rFonts w:ascii="Times New Roman" w:hAnsi="Times New Roman" w:cs="Times New Roman"/>
          <w:sz w:val="28"/>
          <w:szCs w:val="28"/>
          <w:lang w:bidi="fa-IR"/>
        </w:rPr>
        <w:t xml:space="preserve"> to the</w:t>
      </w:r>
      <w:r w:rsidR="00EE32EC" w:rsidRPr="0052009D">
        <w:rPr>
          <w:rFonts w:ascii="Times New Roman" w:hAnsi="Times New Roman" w:cs="Times New Roman"/>
          <w:sz w:val="28"/>
          <w:szCs w:val="28"/>
          <w:lang w:bidi="fa-IR"/>
        </w:rPr>
        <w:t xml:space="preserve"> Governmental Accounting Standards Board</w:t>
      </w:r>
      <w:r w:rsidR="008139B0" w:rsidRPr="0052009D">
        <w:rPr>
          <w:rFonts w:ascii="Times New Roman" w:hAnsi="Times New Roman" w:cs="Times New Roman"/>
          <w:sz w:val="28"/>
          <w:szCs w:val="28"/>
          <w:lang w:bidi="fa-IR"/>
        </w:rPr>
        <w:t xml:space="preserve"> </w:t>
      </w:r>
      <w:r w:rsidR="00EE32EC" w:rsidRPr="0052009D">
        <w:rPr>
          <w:rFonts w:ascii="Times New Roman" w:hAnsi="Times New Roman" w:cs="Times New Roman"/>
          <w:sz w:val="28"/>
          <w:szCs w:val="28"/>
          <w:lang w:bidi="fa-IR"/>
        </w:rPr>
        <w:t>(</w:t>
      </w:r>
      <w:r w:rsidR="008139B0" w:rsidRPr="0052009D">
        <w:rPr>
          <w:rFonts w:ascii="Times New Roman" w:hAnsi="Times New Roman" w:cs="Times New Roman"/>
          <w:sz w:val="28"/>
          <w:szCs w:val="28"/>
          <w:lang w:bidi="fa-IR"/>
        </w:rPr>
        <w:t>GASB</w:t>
      </w:r>
      <w:r w:rsidR="00EE32EC" w:rsidRPr="0052009D">
        <w:rPr>
          <w:rFonts w:ascii="Times New Roman" w:hAnsi="Times New Roman" w:cs="Times New Roman"/>
          <w:sz w:val="28"/>
          <w:szCs w:val="28"/>
          <w:lang w:bidi="fa-IR"/>
        </w:rPr>
        <w:t>)</w:t>
      </w:r>
      <w:r w:rsidR="008139B0" w:rsidRPr="0052009D">
        <w:rPr>
          <w:rFonts w:ascii="Times New Roman" w:hAnsi="Times New Roman" w:cs="Times New Roman"/>
          <w:sz w:val="28"/>
          <w:szCs w:val="28"/>
          <w:lang w:bidi="fa-IR"/>
        </w:rPr>
        <w:t xml:space="preserve"> methodology, which systematically understates the funding gap. This suggested that the GASB approach was associated with policy choices that had the potential to exacerbate fiscal stress.</w:t>
      </w:r>
      <w:r w:rsidR="002C2AFF" w:rsidRPr="0052009D">
        <w:rPr>
          <w:rFonts w:ascii="Times New Roman" w:hAnsi="Times New Roman" w:cs="Times New Roman"/>
          <w:sz w:val="28"/>
          <w:szCs w:val="28"/>
          <w:lang w:bidi="fa-IR"/>
        </w:rPr>
        <w:t xml:space="preserve"> The </w:t>
      </w:r>
      <w:r w:rsidRPr="0052009D">
        <w:rPr>
          <w:rFonts w:ascii="Times New Roman" w:hAnsi="Times New Roman" w:cs="Times New Roman"/>
          <w:sz w:val="28"/>
          <w:szCs w:val="28"/>
          <w:lang w:bidi="fa-IR"/>
        </w:rPr>
        <w:t>GASB approach</w:t>
      </w:r>
      <w:r w:rsidR="008139B0" w:rsidRPr="0052009D">
        <w:rPr>
          <w:rFonts w:ascii="Times New Roman" w:hAnsi="Times New Roman" w:cs="Times New Roman"/>
          <w:sz w:val="28"/>
          <w:szCs w:val="28"/>
          <w:lang w:bidi="fa-IR"/>
        </w:rPr>
        <w:t xml:space="preserve"> links </w:t>
      </w:r>
      <w:r w:rsidR="002C2AFF" w:rsidRPr="0052009D">
        <w:rPr>
          <w:rFonts w:ascii="Times New Roman" w:hAnsi="Times New Roman" w:cs="Times New Roman"/>
          <w:sz w:val="28"/>
          <w:szCs w:val="28"/>
          <w:lang w:bidi="fa-IR"/>
        </w:rPr>
        <w:t>pension</w:t>
      </w:r>
      <w:r w:rsidR="008139B0" w:rsidRPr="0052009D">
        <w:rPr>
          <w:rFonts w:ascii="Times New Roman" w:hAnsi="Times New Roman" w:cs="Times New Roman"/>
          <w:sz w:val="28"/>
          <w:szCs w:val="28"/>
          <w:lang w:bidi="fa-IR"/>
        </w:rPr>
        <w:t xml:space="preserve"> liability discount rate to the expected return on assets, which gives </w:t>
      </w:r>
      <w:r w:rsidR="002C2AFF" w:rsidRPr="0052009D">
        <w:rPr>
          <w:rFonts w:ascii="Times New Roman" w:hAnsi="Times New Roman" w:cs="Times New Roman"/>
          <w:sz w:val="28"/>
          <w:szCs w:val="28"/>
          <w:lang w:bidi="fa-IR"/>
        </w:rPr>
        <w:t>pension funds</w:t>
      </w:r>
      <w:r w:rsidR="008139B0" w:rsidRPr="0052009D">
        <w:rPr>
          <w:rFonts w:ascii="Times New Roman" w:hAnsi="Times New Roman" w:cs="Times New Roman"/>
          <w:sz w:val="28"/>
          <w:szCs w:val="28"/>
          <w:lang w:bidi="fa-IR"/>
        </w:rPr>
        <w:t xml:space="preserve"> incentives to invest more in risky assets in order to report a better funding status. Comparing public and private pension funds in the U.S., Canada, and Europe, Andonov</w:t>
      </w:r>
      <w:r w:rsidR="004B3837" w:rsidRPr="0052009D">
        <w:rPr>
          <w:rFonts w:ascii="Times New Roman" w:hAnsi="Times New Roman" w:cs="Times New Roman"/>
          <w:sz w:val="28"/>
          <w:szCs w:val="28"/>
          <w:lang w:bidi="fa-IR"/>
        </w:rPr>
        <w:t xml:space="preserve"> et al</w:t>
      </w:r>
      <w:r w:rsidR="008139B0" w:rsidRPr="0052009D">
        <w:rPr>
          <w:rFonts w:ascii="Times New Roman" w:hAnsi="Times New Roman" w:cs="Times New Roman"/>
          <w:sz w:val="28"/>
          <w:szCs w:val="28"/>
          <w:lang w:bidi="fa-IR"/>
        </w:rPr>
        <w:t xml:space="preserve"> (2016) found that U.S. public pension funds with a higher level of </w:t>
      </w:r>
      <w:r w:rsidR="008139B0" w:rsidRPr="0052009D">
        <w:rPr>
          <w:rFonts w:ascii="Times New Roman" w:hAnsi="Times New Roman" w:cs="Times New Roman"/>
          <w:sz w:val="28"/>
          <w:szCs w:val="28"/>
          <w:lang w:bidi="fa-IR"/>
        </w:rPr>
        <w:lastRenderedPageBreak/>
        <w:t>underfunding per participant, take more risk and use higher discount rates. The increased risk-taking by U.S. public funds is negatively related to their performance.</w:t>
      </w:r>
    </w:p>
    <w:p w:rsidR="00A76D6E" w:rsidRPr="0052009D" w:rsidRDefault="00474806" w:rsidP="00474806">
      <w:pPr>
        <w:pStyle w:val="Heading1"/>
        <w:rPr>
          <w:rFonts w:asciiTheme="majorBidi" w:hAnsiTheme="majorBidi"/>
          <w:color w:val="auto"/>
          <w:sz w:val="32"/>
          <w:szCs w:val="32"/>
          <w:lang w:bidi="fa-IR"/>
        </w:rPr>
      </w:pPr>
      <w:r w:rsidRPr="0052009D">
        <w:rPr>
          <w:rFonts w:asciiTheme="majorBidi" w:hAnsiTheme="majorBidi"/>
          <w:color w:val="auto"/>
          <w:sz w:val="32"/>
          <w:szCs w:val="32"/>
          <w:lang w:bidi="fa-IR"/>
        </w:rPr>
        <w:t>3. Theoretical F</w:t>
      </w:r>
      <w:r w:rsidR="00982CB6" w:rsidRPr="0052009D">
        <w:rPr>
          <w:rFonts w:asciiTheme="majorBidi" w:hAnsiTheme="majorBidi"/>
          <w:color w:val="auto"/>
          <w:sz w:val="32"/>
          <w:szCs w:val="32"/>
          <w:lang w:bidi="fa-IR"/>
        </w:rPr>
        <w:t>ramework</w:t>
      </w:r>
    </w:p>
    <w:p w:rsidR="00322853" w:rsidRPr="0052009D" w:rsidRDefault="00232458" w:rsidP="00304F86">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Current practice for measuring the pension liabilities of pension plans provides information to plan sponsors and decision makers about how much it will cost over time to </w:t>
      </w:r>
      <w:r w:rsidR="00D5003C" w:rsidRPr="0052009D">
        <w:rPr>
          <w:rFonts w:ascii="Times New Roman" w:hAnsi="Times New Roman" w:cs="Times New Roman"/>
          <w:sz w:val="28"/>
          <w:szCs w:val="28"/>
          <w:lang w:bidi="fa-IR"/>
        </w:rPr>
        <w:t>cover</w:t>
      </w:r>
      <w:r w:rsidRPr="0052009D">
        <w:rPr>
          <w:rFonts w:ascii="Times New Roman" w:hAnsi="Times New Roman" w:cs="Times New Roman"/>
          <w:sz w:val="28"/>
          <w:szCs w:val="28"/>
          <w:lang w:bidi="fa-IR"/>
        </w:rPr>
        <w:t xml:space="preserve"> the financial obligations of participants. This is accomplished by calculating what is called an Actuarial Liability (AL), which is based on both current information and reasonable expectations of future events.</w:t>
      </w:r>
      <w:r w:rsidRPr="0052009D">
        <w:rPr>
          <w:rFonts w:ascii="Arial" w:eastAsia="Times New Roman" w:hAnsi="Arial"/>
          <w:sz w:val="28"/>
          <w:szCs w:val="28"/>
        </w:rPr>
        <w:t xml:space="preserve"> </w:t>
      </w:r>
      <w:r w:rsidRPr="0052009D">
        <w:rPr>
          <w:rFonts w:ascii="Times New Roman" w:eastAsia="Times New Roman" w:hAnsi="Times New Roman" w:cs="Times New Roman"/>
          <w:sz w:val="28"/>
          <w:szCs w:val="28"/>
        </w:rPr>
        <w:t>AL</w:t>
      </w:r>
      <w:r w:rsidRPr="0052009D">
        <w:rPr>
          <w:rFonts w:ascii="Arial" w:eastAsia="Times New Roman" w:hAnsi="Arial"/>
          <w:sz w:val="28"/>
          <w:szCs w:val="28"/>
        </w:rPr>
        <w:t xml:space="preserve"> </w:t>
      </w:r>
      <w:r w:rsidRPr="0052009D">
        <w:rPr>
          <w:rFonts w:ascii="Times New Roman" w:eastAsia="Times New Roman" w:hAnsi="Times New Roman" w:cs="Times New Roman"/>
          <w:sz w:val="28"/>
          <w:szCs w:val="28"/>
        </w:rPr>
        <w:t xml:space="preserve">is </w:t>
      </w:r>
      <w:r w:rsidRPr="0052009D">
        <w:rPr>
          <w:rFonts w:ascii="Times New Roman" w:hAnsi="Times New Roman" w:cs="Times New Roman"/>
          <w:sz w:val="28"/>
          <w:szCs w:val="28"/>
          <w:lang w:bidi="fa-IR"/>
        </w:rPr>
        <w:t>the portion of the</w:t>
      </w:r>
      <w:r w:rsidRPr="0052009D">
        <w:rPr>
          <w:sz w:val="28"/>
          <w:szCs w:val="28"/>
        </w:rPr>
        <w:t xml:space="preserve"> </w:t>
      </w:r>
      <w:r w:rsidRPr="0052009D">
        <w:rPr>
          <w:rFonts w:ascii="Times New Roman" w:hAnsi="Times New Roman" w:cs="Times New Roman"/>
          <w:sz w:val="28"/>
          <w:szCs w:val="28"/>
          <w:lang w:bidi="fa-IR"/>
        </w:rPr>
        <w:t xml:space="preserve">present value of </w:t>
      </w:r>
      <w:r w:rsidR="007175E8" w:rsidRPr="0052009D">
        <w:rPr>
          <w:rFonts w:ascii="Times New Roman" w:hAnsi="Times New Roman" w:cs="Times New Roman"/>
          <w:sz w:val="28"/>
          <w:szCs w:val="28"/>
          <w:lang w:bidi="fa-IR"/>
        </w:rPr>
        <w:t xml:space="preserve">future </w:t>
      </w:r>
      <w:r w:rsidRPr="0052009D">
        <w:rPr>
          <w:rFonts w:ascii="Times New Roman" w:hAnsi="Times New Roman" w:cs="Times New Roman"/>
          <w:sz w:val="28"/>
          <w:szCs w:val="28"/>
          <w:lang w:bidi="fa-IR"/>
        </w:rPr>
        <w:t>benefits (PV</w:t>
      </w:r>
      <w:r w:rsidR="007175E8" w:rsidRPr="0052009D">
        <w:rPr>
          <w:rFonts w:ascii="Times New Roman" w:hAnsi="Times New Roman" w:cs="Times New Roman"/>
          <w:sz w:val="28"/>
          <w:szCs w:val="28"/>
          <w:lang w:bidi="fa-IR"/>
        </w:rPr>
        <w:t>F</w:t>
      </w:r>
      <w:r w:rsidRPr="0052009D">
        <w:rPr>
          <w:rFonts w:ascii="Times New Roman" w:hAnsi="Times New Roman" w:cs="Times New Roman"/>
          <w:sz w:val="28"/>
          <w:szCs w:val="28"/>
          <w:lang w:bidi="fa-IR"/>
        </w:rPr>
        <w:t>B) allocated to service accrued as of the valuation date.</w:t>
      </w:r>
      <w:r w:rsidR="00B363D4" w:rsidRPr="0052009D">
        <w:rPr>
          <w:rFonts w:ascii="Times New Roman" w:hAnsi="Times New Roman" w:cs="Times New Roman"/>
          <w:sz w:val="28"/>
          <w:szCs w:val="28"/>
          <w:lang w:bidi="fa-IR"/>
        </w:rPr>
        <w:t xml:space="preserve"> </w:t>
      </w:r>
      <w:r w:rsidRPr="0052009D">
        <w:rPr>
          <w:rFonts w:ascii="Times New Roman" w:hAnsi="Times New Roman" w:cs="Times New Roman"/>
          <w:sz w:val="28"/>
          <w:szCs w:val="28"/>
          <w:lang w:bidi="fa-IR"/>
        </w:rPr>
        <w:t>The AL measure not only takes into account the service and pay earned by employees, but also anticipates future service and pay raises, which will i</w:t>
      </w:r>
      <w:r w:rsidR="00B363D4" w:rsidRPr="0052009D">
        <w:rPr>
          <w:rFonts w:ascii="Times New Roman" w:hAnsi="Times New Roman" w:cs="Times New Roman"/>
          <w:sz w:val="28"/>
          <w:szCs w:val="28"/>
          <w:lang w:bidi="fa-IR"/>
        </w:rPr>
        <w:t xml:space="preserve">ncrease the plan’s obligations </w:t>
      </w:r>
      <w:r w:rsidRPr="0052009D">
        <w:rPr>
          <w:rFonts w:ascii="Times New Roman" w:hAnsi="Times New Roman" w:cs="Times New Roman"/>
          <w:sz w:val="28"/>
          <w:szCs w:val="28"/>
          <w:lang w:bidi="fa-IR"/>
        </w:rPr>
        <w:t>(Angelo, 2016).</w:t>
      </w:r>
      <w:r w:rsidR="00554980" w:rsidRPr="0052009D">
        <w:rPr>
          <w:rFonts w:ascii="Times New Roman" w:hAnsi="Times New Roman" w:cs="Times New Roman"/>
          <w:sz w:val="28"/>
          <w:szCs w:val="28"/>
          <w:lang w:bidi="fa-IR"/>
        </w:rPr>
        <w:t xml:space="preserve"> </w:t>
      </w:r>
      <w:r w:rsidR="00C17EAF" w:rsidRPr="0052009D">
        <w:rPr>
          <w:rFonts w:ascii="Times New Roman" w:hAnsi="Times New Roman" w:cs="Times New Roman"/>
          <w:sz w:val="28"/>
          <w:szCs w:val="28"/>
          <w:lang w:bidi="fa-IR"/>
        </w:rPr>
        <w:t xml:space="preserve">In addition to </w:t>
      </w:r>
      <w:r w:rsidR="00554980" w:rsidRPr="0052009D">
        <w:rPr>
          <w:rFonts w:ascii="Times New Roman" w:hAnsi="Times New Roman" w:cs="Times New Roman"/>
          <w:sz w:val="28"/>
          <w:szCs w:val="28"/>
          <w:lang w:bidi="fa-IR"/>
        </w:rPr>
        <w:t>AL</w:t>
      </w:r>
      <w:r w:rsidR="00C17EAF" w:rsidRPr="0052009D">
        <w:rPr>
          <w:rFonts w:ascii="Times New Roman" w:hAnsi="Times New Roman" w:cs="Times New Roman"/>
          <w:sz w:val="28"/>
          <w:szCs w:val="28"/>
          <w:lang w:bidi="fa-IR"/>
        </w:rPr>
        <w:t>, the amount of Normal Cost</w:t>
      </w:r>
      <w:r w:rsidR="000B49FA" w:rsidRPr="0052009D">
        <w:rPr>
          <w:rFonts w:ascii="Times New Roman" w:hAnsi="Times New Roman" w:cs="Times New Roman"/>
          <w:sz w:val="28"/>
          <w:szCs w:val="28"/>
          <w:lang w:bidi="fa-IR"/>
        </w:rPr>
        <w:t xml:space="preserve"> (NC)</w:t>
      </w:r>
      <w:r w:rsidR="00C17EAF" w:rsidRPr="0052009D">
        <w:rPr>
          <w:rFonts w:ascii="Times New Roman" w:hAnsi="Times New Roman" w:cs="Times New Roman"/>
          <w:sz w:val="28"/>
          <w:szCs w:val="28"/>
          <w:lang w:bidi="fa-IR"/>
        </w:rPr>
        <w:t xml:space="preserve"> is also needed to be calculated for the purposes of an actuarial valuation</w:t>
      </w:r>
      <w:r w:rsidR="002537F1" w:rsidRPr="0052009D">
        <w:rPr>
          <w:rFonts w:ascii="Times New Roman" w:hAnsi="Times New Roman" w:cs="Times New Roman"/>
          <w:sz w:val="28"/>
          <w:szCs w:val="28"/>
          <w:lang w:bidi="fa-IR"/>
        </w:rPr>
        <w:t xml:space="preserve">. </w:t>
      </w:r>
      <w:r w:rsidR="000B49FA" w:rsidRPr="0052009D">
        <w:rPr>
          <w:rFonts w:ascii="Times New Roman" w:hAnsi="Times New Roman" w:cs="Times New Roman"/>
          <w:sz w:val="28"/>
          <w:szCs w:val="28"/>
          <w:lang w:bidi="fa-IR"/>
        </w:rPr>
        <w:t>NC</w:t>
      </w:r>
      <w:r w:rsidR="002537F1" w:rsidRPr="0052009D">
        <w:rPr>
          <w:rFonts w:ascii="Times New Roman" w:hAnsi="Times New Roman" w:cs="Times New Roman"/>
          <w:sz w:val="28"/>
          <w:szCs w:val="28"/>
          <w:lang w:bidi="fa-IR"/>
        </w:rPr>
        <w:t xml:space="preserve"> </w:t>
      </w:r>
      <w:r w:rsidR="00304F86" w:rsidRPr="0052009D">
        <w:rPr>
          <w:rFonts w:ascii="Times New Roman" w:hAnsi="Times New Roman" w:cs="Times New Roman"/>
          <w:sz w:val="28"/>
          <w:szCs w:val="28"/>
          <w:lang w:bidi="fa-IR"/>
        </w:rPr>
        <w:t>is</w:t>
      </w:r>
      <w:r w:rsidR="002537F1" w:rsidRPr="0052009D">
        <w:rPr>
          <w:rFonts w:ascii="Times New Roman" w:hAnsi="Times New Roman" w:cs="Times New Roman"/>
          <w:sz w:val="28"/>
          <w:szCs w:val="28"/>
          <w:lang w:bidi="fa-IR"/>
        </w:rPr>
        <w:t xml:space="preserve"> the portion of the </w:t>
      </w:r>
      <w:r w:rsidR="000B49FA" w:rsidRPr="0052009D">
        <w:rPr>
          <w:rFonts w:ascii="Times New Roman" w:hAnsi="Times New Roman" w:cs="Times New Roman"/>
          <w:sz w:val="28"/>
          <w:szCs w:val="28"/>
          <w:lang w:bidi="fa-IR"/>
        </w:rPr>
        <w:t>PVFB</w:t>
      </w:r>
      <w:r w:rsidR="002537F1" w:rsidRPr="0052009D">
        <w:rPr>
          <w:rFonts w:ascii="Times New Roman" w:hAnsi="Times New Roman" w:cs="Times New Roman"/>
          <w:sz w:val="28"/>
          <w:szCs w:val="28"/>
          <w:lang w:bidi="fa-IR"/>
        </w:rPr>
        <w:t xml:space="preserve"> that is attributed to the current year of service. </w:t>
      </w:r>
      <w:r w:rsidR="007175E8" w:rsidRPr="0052009D">
        <w:rPr>
          <w:rFonts w:ascii="Times New Roman" w:hAnsi="Times New Roman" w:cs="Times New Roman"/>
          <w:sz w:val="28"/>
          <w:szCs w:val="28"/>
          <w:lang w:bidi="fa-IR"/>
        </w:rPr>
        <w:t>Therefor</w:t>
      </w:r>
      <w:r w:rsidR="00474806" w:rsidRPr="0052009D">
        <w:rPr>
          <w:rFonts w:ascii="Times New Roman" w:hAnsi="Times New Roman" w:cs="Times New Roman"/>
          <w:sz w:val="28"/>
          <w:szCs w:val="28"/>
          <w:lang w:bidi="fa-IR"/>
        </w:rPr>
        <w:t>e</w:t>
      </w:r>
      <w:r w:rsidR="007175E8" w:rsidRPr="0052009D">
        <w:rPr>
          <w:rFonts w:ascii="Times New Roman" w:hAnsi="Times New Roman" w:cs="Times New Roman"/>
          <w:sz w:val="28"/>
          <w:szCs w:val="28"/>
          <w:lang w:bidi="fa-IR"/>
        </w:rPr>
        <w:t xml:space="preserve">, </w:t>
      </w:r>
      <w:r w:rsidR="00474806" w:rsidRPr="0052009D">
        <w:rPr>
          <w:rFonts w:ascii="Times New Roman" w:hAnsi="Times New Roman" w:cs="Times New Roman"/>
          <w:sz w:val="28"/>
          <w:szCs w:val="28"/>
          <w:lang w:bidi="fa-IR"/>
        </w:rPr>
        <w:t>t</w:t>
      </w:r>
      <w:r w:rsidR="00322853" w:rsidRPr="0052009D">
        <w:rPr>
          <w:rFonts w:ascii="Times New Roman" w:hAnsi="Times New Roman" w:cs="Times New Roman"/>
          <w:sz w:val="28"/>
          <w:szCs w:val="28"/>
          <w:lang w:bidi="fa-IR"/>
        </w:rPr>
        <w:t xml:space="preserve">he </w:t>
      </w:r>
      <w:r w:rsidR="000B49FA" w:rsidRPr="0052009D">
        <w:rPr>
          <w:rFonts w:ascii="Times New Roman" w:hAnsi="Times New Roman" w:cs="Times New Roman"/>
          <w:sz w:val="28"/>
          <w:szCs w:val="28"/>
          <w:lang w:bidi="fa-IR"/>
        </w:rPr>
        <w:t>PVFB</w:t>
      </w:r>
      <w:r w:rsidR="00322853" w:rsidRPr="0052009D">
        <w:rPr>
          <w:rFonts w:ascii="Times New Roman" w:hAnsi="Times New Roman" w:cs="Times New Roman"/>
          <w:sz w:val="28"/>
          <w:szCs w:val="28"/>
          <w:lang w:bidi="fa-IR"/>
        </w:rPr>
        <w:t xml:space="preserve">, which is the basis for determining plan costs and liabilities, is equal to the Present Value of Future </w:t>
      </w:r>
      <w:r w:rsidR="000B49FA" w:rsidRPr="0052009D">
        <w:rPr>
          <w:rFonts w:ascii="Times New Roman" w:hAnsi="Times New Roman" w:cs="Times New Roman"/>
          <w:sz w:val="28"/>
          <w:szCs w:val="28"/>
          <w:lang w:bidi="fa-IR"/>
        </w:rPr>
        <w:t>NC plus AL</w:t>
      </w:r>
      <w:r w:rsidR="00322853" w:rsidRPr="0052009D">
        <w:rPr>
          <w:rFonts w:ascii="Times New Roman" w:hAnsi="Times New Roman" w:cs="Times New Roman"/>
          <w:sz w:val="28"/>
          <w:szCs w:val="28"/>
          <w:lang w:bidi="fa-IR"/>
        </w:rPr>
        <w:t xml:space="preserve">. </w:t>
      </w:r>
    </w:p>
    <w:p w:rsidR="00423F36" w:rsidRPr="0052009D" w:rsidRDefault="00423F36" w:rsidP="00304F86">
      <w:pPr>
        <w:spacing w:line="360" w:lineRule="auto"/>
        <w:jc w:val="both"/>
        <w:rPr>
          <w:rFonts w:ascii="Times New Roman" w:hAnsi="Times New Roman" w:cs="Times New Roman"/>
          <w:b/>
          <w:bCs/>
          <w:i/>
          <w:iCs/>
          <w:sz w:val="28"/>
          <w:szCs w:val="28"/>
        </w:rPr>
      </w:pPr>
      <w:r w:rsidRPr="0052009D">
        <w:rPr>
          <w:rFonts w:ascii="Times New Roman" w:hAnsi="Times New Roman" w:cs="Times New Roman"/>
          <w:sz w:val="28"/>
          <w:szCs w:val="28"/>
          <w:lang w:bidi="fa-IR"/>
        </w:rPr>
        <w:t xml:space="preserve">In this study we </w:t>
      </w:r>
      <w:r w:rsidR="00474806" w:rsidRPr="0052009D">
        <w:rPr>
          <w:rFonts w:ascii="Times New Roman" w:hAnsi="Times New Roman" w:cs="Times New Roman"/>
          <w:sz w:val="28"/>
          <w:szCs w:val="28"/>
          <w:lang w:bidi="fa-IR"/>
        </w:rPr>
        <w:t>have</w:t>
      </w:r>
      <w:r w:rsidRPr="0052009D">
        <w:rPr>
          <w:rFonts w:ascii="Times New Roman" w:hAnsi="Times New Roman" w:cs="Times New Roman"/>
          <w:sz w:val="28"/>
          <w:szCs w:val="28"/>
          <w:lang w:bidi="fa-IR"/>
        </w:rPr>
        <w:t xml:space="preserve"> calculate the amount of Total Actuarial Liability</w:t>
      </w:r>
      <w:r w:rsidR="00E55B9C" w:rsidRPr="0052009D">
        <w:rPr>
          <w:rFonts w:ascii="Times New Roman" w:hAnsi="Times New Roman" w:cs="Times New Roman"/>
          <w:sz w:val="28"/>
          <w:szCs w:val="28"/>
          <w:lang w:bidi="fa-IR"/>
        </w:rPr>
        <w:t xml:space="preserve"> (TAL)</w:t>
      </w:r>
      <w:r w:rsidRPr="0052009D">
        <w:rPr>
          <w:rFonts w:ascii="Times New Roman" w:hAnsi="Times New Roman" w:cs="Times New Roman"/>
          <w:sz w:val="28"/>
          <w:szCs w:val="28"/>
          <w:lang w:bidi="fa-IR"/>
        </w:rPr>
        <w:t xml:space="preserve"> under the application of </w:t>
      </w:r>
      <w:r w:rsidR="00304F86" w:rsidRPr="0052009D">
        <w:rPr>
          <w:rFonts w:ascii="Times New Roman" w:hAnsi="Times New Roman" w:cs="Times New Roman"/>
          <w:sz w:val="28"/>
          <w:szCs w:val="28"/>
          <w:lang w:bidi="fa-IR"/>
        </w:rPr>
        <w:t>most common</w:t>
      </w:r>
      <w:r w:rsidRPr="0052009D">
        <w:rPr>
          <w:rFonts w:ascii="Times New Roman" w:hAnsi="Times New Roman" w:cs="Times New Roman"/>
          <w:sz w:val="28"/>
          <w:szCs w:val="28"/>
          <w:lang w:bidi="fa-IR"/>
        </w:rPr>
        <w:t xml:space="preserve"> actuarial cost methods</w:t>
      </w:r>
      <w:r w:rsidR="00304F86" w:rsidRPr="0052009D">
        <w:rPr>
          <w:rFonts w:ascii="Times New Roman" w:hAnsi="Times New Roman" w:cs="Times New Roman"/>
          <w:sz w:val="28"/>
          <w:szCs w:val="28"/>
          <w:lang w:bidi="fa-IR"/>
        </w:rPr>
        <w:t xml:space="preserve"> including:</w:t>
      </w:r>
      <w:r w:rsidR="00304F86" w:rsidRPr="0052009D">
        <w:rPr>
          <w:rFonts w:ascii="Times New Roman" w:hAnsi="Times New Roman" w:cs="Times New Roman"/>
          <w:sz w:val="28"/>
          <w:szCs w:val="28"/>
        </w:rPr>
        <w:t xml:space="preserve"> </w:t>
      </w:r>
      <w:r w:rsidR="00350C15" w:rsidRPr="0052009D">
        <w:rPr>
          <w:rFonts w:ascii="Times New Roman" w:hAnsi="Times New Roman" w:cs="Times New Roman"/>
          <w:b/>
          <w:bCs/>
          <w:i/>
          <w:iCs/>
          <w:sz w:val="28"/>
          <w:szCs w:val="28"/>
        </w:rPr>
        <w:t>projected unit credit</w:t>
      </w:r>
      <w:r w:rsidR="00350C15" w:rsidRPr="0052009D">
        <w:rPr>
          <w:rFonts w:ascii="Times New Roman" w:hAnsi="Times New Roman" w:cs="Times New Roman"/>
          <w:b/>
          <w:bCs/>
          <w:sz w:val="28"/>
          <w:szCs w:val="28"/>
        </w:rPr>
        <w:t xml:space="preserve"> </w:t>
      </w:r>
      <w:r w:rsidR="00350C15" w:rsidRPr="0052009D">
        <w:rPr>
          <w:rFonts w:ascii="Times New Roman" w:hAnsi="Times New Roman" w:cs="Times New Roman"/>
          <w:b/>
          <w:bCs/>
          <w:i/>
          <w:iCs/>
          <w:sz w:val="28"/>
          <w:szCs w:val="28"/>
        </w:rPr>
        <w:t xml:space="preserve">method </w:t>
      </w:r>
      <w:r w:rsidR="00350C15" w:rsidRPr="0052009D">
        <w:rPr>
          <w:rFonts w:ascii="Times New Roman" w:hAnsi="Times New Roman" w:cs="Times New Roman"/>
          <w:sz w:val="28"/>
          <w:szCs w:val="28"/>
        </w:rPr>
        <w:t>(PUC) and</w:t>
      </w:r>
      <w:r w:rsidR="00350C15" w:rsidRPr="0052009D">
        <w:rPr>
          <w:rFonts w:ascii="Times New Roman" w:hAnsi="Times New Roman" w:cs="Times New Roman"/>
          <w:b/>
          <w:bCs/>
          <w:i/>
          <w:iCs/>
          <w:sz w:val="28"/>
          <w:szCs w:val="28"/>
        </w:rPr>
        <w:t xml:space="preserve"> entry age normal cost method </w:t>
      </w:r>
      <w:r w:rsidR="00350C15" w:rsidRPr="0052009D">
        <w:rPr>
          <w:rFonts w:ascii="Times New Roman" w:hAnsi="Times New Roman" w:cs="Times New Roman"/>
          <w:sz w:val="28"/>
          <w:szCs w:val="28"/>
        </w:rPr>
        <w:t>(EAN)</w:t>
      </w:r>
      <w:r w:rsidR="00350C15" w:rsidRPr="0052009D">
        <w:rPr>
          <w:rFonts w:ascii="Times New Roman" w:hAnsi="Times New Roman" w:cs="Times New Roman"/>
          <w:b/>
          <w:bCs/>
          <w:i/>
          <w:iCs/>
          <w:sz w:val="28"/>
          <w:szCs w:val="28"/>
        </w:rPr>
        <w:t>.</w:t>
      </w:r>
    </w:p>
    <w:p w:rsidR="00350C15" w:rsidRPr="0052009D" w:rsidRDefault="00350C15" w:rsidP="00474806">
      <w:pPr>
        <w:pStyle w:val="Heading2"/>
        <w:rPr>
          <w:rFonts w:asciiTheme="majorBidi" w:hAnsiTheme="majorBidi"/>
          <w:color w:val="auto"/>
          <w:sz w:val="28"/>
          <w:szCs w:val="28"/>
        </w:rPr>
      </w:pPr>
      <w:r w:rsidRPr="0052009D">
        <w:rPr>
          <w:rFonts w:asciiTheme="majorBidi" w:hAnsiTheme="majorBidi"/>
          <w:color w:val="auto"/>
          <w:sz w:val="28"/>
          <w:szCs w:val="28"/>
        </w:rPr>
        <w:t>Project Unit Cost Method</w:t>
      </w:r>
    </w:p>
    <w:p w:rsidR="00825694" w:rsidRPr="0052009D" w:rsidRDefault="00825694" w:rsidP="005B4025">
      <w:pPr>
        <w:spacing w:line="360" w:lineRule="auto"/>
        <w:jc w:val="both"/>
        <w:rPr>
          <w:rFonts w:ascii="Times New Roman" w:hAnsi="Times New Roman" w:cs="Times New Roman"/>
          <w:sz w:val="28"/>
          <w:szCs w:val="28"/>
        </w:rPr>
      </w:pPr>
      <w:r w:rsidRPr="0052009D">
        <w:rPr>
          <w:rFonts w:ascii="Times New Roman" w:hAnsi="Times New Roman" w:cs="Times New Roman"/>
          <w:sz w:val="28"/>
          <w:szCs w:val="28"/>
        </w:rPr>
        <w:t xml:space="preserve">Under </w:t>
      </w:r>
      <w:r w:rsidR="00350C15" w:rsidRPr="0052009D">
        <w:rPr>
          <w:rFonts w:ascii="Times New Roman" w:hAnsi="Times New Roman" w:cs="Times New Roman"/>
          <w:sz w:val="28"/>
          <w:szCs w:val="28"/>
        </w:rPr>
        <w:t>the PUC method</w:t>
      </w:r>
      <w:r w:rsidRPr="0052009D">
        <w:rPr>
          <w:rFonts w:ascii="Times New Roman" w:hAnsi="Times New Roman" w:cs="Times New Roman"/>
          <w:sz w:val="28"/>
          <w:szCs w:val="28"/>
        </w:rPr>
        <w:t>,</w:t>
      </w:r>
      <w:r w:rsidR="00350C15" w:rsidRPr="0052009D">
        <w:rPr>
          <w:rFonts w:ascii="Times New Roman" w:hAnsi="Times New Roman" w:cs="Times New Roman"/>
          <w:sz w:val="28"/>
          <w:szCs w:val="28"/>
        </w:rPr>
        <w:t xml:space="preserve"> </w:t>
      </w:r>
      <w:r w:rsidRPr="0052009D">
        <w:rPr>
          <w:rFonts w:ascii="Times New Roman" w:hAnsi="Times New Roman" w:cs="Times New Roman"/>
          <w:sz w:val="28"/>
          <w:szCs w:val="28"/>
        </w:rPr>
        <w:t xml:space="preserve">the </w:t>
      </w:r>
      <w:r w:rsidR="000B49FA" w:rsidRPr="0052009D">
        <w:rPr>
          <w:rFonts w:ascii="Times New Roman" w:hAnsi="Times New Roman" w:cs="Times New Roman"/>
          <w:sz w:val="28"/>
          <w:szCs w:val="28"/>
        </w:rPr>
        <w:t>AL</w:t>
      </w:r>
      <w:r w:rsidRPr="0052009D">
        <w:rPr>
          <w:rFonts w:ascii="Times New Roman" w:hAnsi="Times New Roman" w:cs="Times New Roman"/>
          <w:sz w:val="28"/>
          <w:szCs w:val="28"/>
        </w:rPr>
        <w:t xml:space="preserve"> is the present value, at the valuation date, of the pension benefit accrued from the date of entry into the </w:t>
      </w:r>
      <w:r w:rsidR="00B363D4" w:rsidRPr="0052009D">
        <w:rPr>
          <w:rFonts w:ascii="Times New Roman" w:hAnsi="Times New Roman" w:cs="Times New Roman"/>
          <w:sz w:val="28"/>
          <w:szCs w:val="28"/>
        </w:rPr>
        <w:t>plan to the date of valuation. Through out this method</w:t>
      </w:r>
      <w:r w:rsidR="004C4212" w:rsidRPr="0052009D">
        <w:rPr>
          <w:rFonts w:ascii="Times New Roman" w:hAnsi="Times New Roman" w:cs="Times New Roman"/>
          <w:sz w:val="28"/>
          <w:szCs w:val="28"/>
        </w:rPr>
        <w:t xml:space="preserve"> annual pension expense calculations are based on future pension benefits that take projected salary levels into consideration. </w:t>
      </w:r>
      <w:r w:rsidRPr="0052009D">
        <w:rPr>
          <w:rFonts w:ascii="Times New Roman" w:hAnsi="Times New Roman" w:cs="Times New Roman"/>
          <w:sz w:val="28"/>
          <w:szCs w:val="28"/>
        </w:rPr>
        <w:t xml:space="preserve">Assuming that each employee is entitled to retire at age </w:t>
      </w:r>
      <w:r w:rsidRPr="0052009D">
        <w:rPr>
          <w:rFonts w:ascii="Times New Roman" w:hAnsi="Times New Roman" w:cs="Times New Roman"/>
          <w:i/>
          <w:iCs/>
          <w:sz w:val="28"/>
          <w:szCs w:val="28"/>
        </w:rPr>
        <w:t>r</w:t>
      </w:r>
      <w:r w:rsidRPr="0052009D">
        <w:rPr>
          <w:rFonts w:ascii="Times New Roman" w:hAnsi="Times New Roman" w:cs="Times New Roman"/>
          <w:sz w:val="28"/>
          <w:szCs w:val="28"/>
        </w:rPr>
        <w:t xml:space="preserve"> with an annual pension equal to </w:t>
      </w:r>
      <w:r w:rsidRPr="0052009D">
        <w:rPr>
          <w:rFonts w:ascii="Times New Roman" w:hAnsi="Times New Roman" w:cs="Times New Roman"/>
          <w:i/>
          <w:iCs/>
          <w:sz w:val="28"/>
          <w:szCs w:val="28"/>
        </w:rPr>
        <w:t>B</w:t>
      </w:r>
      <w:r w:rsidRPr="0052009D">
        <w:rPr>
          <w:rFonts w:ascii="Times New Roman" w:hAnsi="Times New Roman" w:cs="Times New Roman"/>
          <w:i/>
          <w:iCs/>
          <w:sz w:val="28"/>
          <w:szCs w:val="28"/>
          <w:vertAlign w:val="subscript"/>
        </w:rPr>
        <w:t>r</w:t>
      </w:r>
      <w:r w:rsidR="00C82F3C" w:rsidRPr="0052009D">
        <w:rPr>
          <w:rFonts w:ascii="Times New Roman" w:hAnsi="Times New Roman" w:cs="Times New Roman"/>
          <w:sz w:val="28"/>
          <w:szCs w:val="28"/>
        </w:rPr>
        <w:t xml:space="preserve"> , a</w:t>
      </w:r>
      <w:r w:rsidRPr="0052009D">
        <w:rPr>
          <w:rFonts w:ascii="Times New Roman" w:hAnsi="Times New Roman" w:cs="Times New Roman"/>
          <w:sz w:val="28"/>
          <w:szCs w:val="28"/>
        </w:rPr>
        <w:t xml:space="preserve">t age </w:t>
      </w:r>
      <w:r w:rsidRPr="0052009D">
        <w:rPr>
          <w:rFonts w:ascii="Times New Roman" w:hAnsi="Times New Roman" w:cs="Times New Roman"/>
          <w:i/>
          <w:iCs/>
          <w:sz w:val="28"/>
          <w:szCs w:val="28"/>
        </w:rPr>
        <w:t>x</w:t>
      </w:r>
      <w:r w:rsidRPr="0052009D">
        <w:rPr>
          <w:rFonts w:ascii="Times New Roman" w:hAnsi="Times New Roman" w:cs="Times New Roman"/>
          <w:sz w:val="28"/>
          <w:szCs w:val="28"/>
        </w:rPr>
        <w:t xml:space="preserve">, earlier than </w:t>
      </w:r>
      <w:r w:rsidRPr="0052009D">
        <w:rPr>
          <w:rFonts w:ascii="Times New Roman" w:hAnsi="Times New Roman" w:cs="Times New Roman"/>
          <w:i/>
          <w:iCs/>
          <w:sz w:val="28"/>
          <w:szCs w:val="28"/>
        </w:rPr>
        <w:t>r</w:t>
      </w:r>
      <w:r w:rsidRPr="0052009D">
        <w:rPr>
          <w:rFonts w:ascii="Times New Roman" w:hAnsi="Times New Roman" w:cs="Times New Roman"/>
          <w:sz w:val="28"/>
          <w:szCs w:val="28"/>
        </w:rPr>
        <w:t xml:space="preserve">, it has some intermediate value </w:t>
      </w:r>
      <w:r w:rsidRPr="0052009D">
        <w:rPr>
          <w:rFonts w:ascii="Times New Roman" w:hAnsi="Times New Roman" w:cs="Times New Roman"/>
          <w:i/>
          <w:iCs/>
          <w:sz w:val="28"/>
          <w:szCs w:val="28"/>
        </w:rPr>
        <w:t>B</w:t>
      </w:r>
      <w:r w:rsidRPr="0052009D">
        <w:rPr>
          <w:rFonts w:ascii="Times New Roman" w:hAnsi="Times New Roman" w:cs="Times New Roman"/>
          <w:i/>
          <w:iCs/>
          <w:sz w:val="28"/>
          <w:szCs w:val="28"/>
          <w:vertAlign w:val="subscript"/>
        </w:rPr>
        <w:t>x</w:t>
      </w:r>
      <w:r w:rsidRPr="0052009D">
        <w:rPr>
          <w:rFonts w:ascii="Times New Roman" w:hAnsi="Times New Roman" w:cs="Times New Roman"/>
          <w:sz w:val="28"/>
          <w:szCs w:val="28"/>
          <w:vertAlign w:val="subscript"/>
        </w:rPr>
        <w:t xml:space="preserve"> </w:t>
      </w:r>
      <w:r w:rsidRPr="0052009D">
        <w:rPr>
          <w:rFonts w:ascii="Times New Roman" w:hAnsi="Times New Roman" w:cs="Times New Roman"/>
          <w:sz w:val="28"/>
          <w:szCs w:val="28"/>
        </w:rPr>
        <w:t>which is called his accrued benefit.</w:t>
      </w:r>
      <w:r w:rsidR="004C4212" w:rsidRPr="0052009D">
        <w:rPr>
          <w:rFonts w:ascii="Times New Roman" w:hAnsi="Times New Roman" w:cs="Times New Roman"/>
          <w:sz w:val="28"/>
          <w:szCs w:val="28"/>
        </w:rPr>
        <w:t xml:space="preserve"> Based on the current rules</w:t>
      </w:r>
      <w:r w:rsidR="00824146" w:rsidRPr="0052009D">
        <w:rPr>
          <w:rFonts w:ascii="Times New Roman" w:hAnsi="Times New Roman" w:cs="Times New Roman"/>
          <w:sz w:val="28"/>
          <w:szCs w:val="28"/>
        </w:rPr>
        <w:t xml:space="preserve"> in Iran</w:t>
      </w:r>
      <w:r w:rsidR="004C4212" w:rsidRPr="0052009D">
        <w:rPr>
          <w:rFonts w:ascii="Times New Roman" w:hAnsi="Times New Roman" w:cs="Times New Roman"/>
          <w:sz w:val="28"/>
          <w:szCs w:val="28"/>
        </w:rPr>
        <w:t xml:space="preserve">, the amount of pension benefit accrued to age </w:t>
      </w:r>
      <w:r w:rsidR="004C4212" w:rsidRPr="0052009D">
        <w:rPr>
          <w:rFonts w:ascii="Times New Roman" w:hAnsi="Times New Roman" w:cs="Times New Roman"/>
          <w:i/>
          <w:iCs/>
          <w:sz w:val="28"/>
          <w:szCs w:val="28"/>
        </w:rPr>
        <w:t xml:space="preserve">x, </w:t>
      </w:r>
      <w:r w:rsidR="004C4212" w:rsidRPr="0052009D">
        <w:rPr>
          <w:rFonts w:ascii="Times New Roman" w:hAnsi="Times New Roman" w:cs="Times New Roman"/>
          <w:sz w:val="28"/>
          <w:szCs w:val="28"/>
        </w:rPr>
        <w:t xml:space="preserve">is equal to the average of the last two </w:t>
      </w:r>
      <w:r w:rsidR="00E659CE" w:rsidRPr="0052009D">
        <w:rPr>
          <w:rFonts w:ascii="Times New Roman" w:hAnsi="Times New Roman" w:cs="Times New Roman"/>
          <w:sz w:val="28"/>
          <w:szCs w:val="28"/>
        </w:rPr>
        <w:t>years’</w:t>
      </w:r>
      <w:r w:rsidR="004C4212" w:rsidRPr="0052009D">
        <w:rPr>
          <w:rFonts w:ascii="Times New Roman" w:hAnsi="Times New Roman" w:cs="Times New Roman"/>
          <w:sz w:val="28"/>
          <w:szCs w:val="28"/>
        </w:rPr>
        <w:t xml:space="preserve"> salary multiple by total years of service.</w:t>
      </w:r>
      <w:r w:rsidR="004C4212" w:rsidRPr="0052009D">
        <w:rPr>
          <w:rFonts w:ascii="Times New Roman" w:hAnsi="Times New Roman" w:cs="Times New Roman"/>
          <w:i/>
          <w:iCs/>
          <w:sz w:val="28"/>
          <w:szCs w:val="28"/>
        </w:rPr>
        <w:t xml:space="preserve"> </w:t>
      </w:r>
      <w:r w:rsidRPr="0052009D">
        <w:rPr>
          <w:rFonts w:ascii="Times New Roman" w:hAnsi="Times New Roman" w:cs="Times New Roman"/>
          <w:sz w:val="28"/>
          <w:szCs w:val="28"/>
        </w:rPr>
        <w:t xml:space="preserve">At </w:t>
      </w:r>
      <w:r w:rsidRPr="0052009D">
        <w:rPr>
          <w:rFonts w:ascii="Times New Roman" w:hAnsi="Times New Roman" w:cs="Times New Roman"/>
          <w:sz w:val="28"/>
          <w:szCs w:val="28"/>
        </w:rPr>
        <w:lastRenderedPageBreak/>
        <w:t xml:space="preserve">age x, the present value of employee j’s accrued benefit is equal to </w:t>
      </w:r>
      <m:oMath>
        <m:sSub>
          <m:sSubPr>
            <m:ctrlPr>
              <w:rPr>
                <w:rFonts w:ascii="Cambria Math" w:hAnsi="Cambria Math" w:cs="Times New Roman"/>
                <w:i/>
                <w:sz w:val="28"/>
                <w:szCs w:val="28"/>
              </w:rPr>
            </m:ctrlPr>
          </m:sSubPr>
          <m:e>
            <m:sSubSup>
              <m:sSubSupPr>
                <m:ctrlPr>
                  <w:rPr>
                    <w:rFonts w:ascii="Cambria Math" w:hAnsi="Cambria Math" w:cs="Times New Roman"/>
                    <w:i/>
                    <w:sz w:val="28"/>
                    <w:szCs w:val="28"/>
                  </w:rPr>
                </m:ctrlPr>
              </m:sSubSupPr>
              <m:e>
                <m:r>
                  <w:rPr>
                    <w:rFonts w:ascii="Cambria Math" w:hAnsi="Cambria Math" w:cs="Times New Roman"/>
                    <w:sz w:val="28"/>
                    <w:szCs w:val="28"/>
                  </w:rPr>
                  <m:t>B</m:t>
                </m:r>
              </m:e>
              <m:sub>
                <m:r>
                  <w:rPr>
                    <w:rFonts w:ascii="Cambria Math" w:hAnsi="Cambria Math" w:cs="Times New Roman"/>
                    <w:sz w:val="28"/>
                    <w:szCs w:val="28"/>
                  </w:rPr>
                  <m:t>x</m:t>
                </m:r>
              </m:sub>
              <m:sup>
                <m:r>
                  <w:rPr>
                    <w:rFonts w:ascii="Cambria Math" w:hAnsi="Cambria Math" w:cs="Times New Roman"/>
                    <w:sz w:val="28"/>
                    <w:szCs w:val="28"/>
                  </w:rPr>
                  <m:t>j</m:t>
                </m:r>
              </m:sup>
            </m:sSubSup>
          </m:e>
          <m:sub/>
        </m:sSub>
        <m:r>
          <w:rPr>
            <w:rFonts w:ascii="Cambria Math" w:hAnsi="Cambria Math" w:cs="Times New Roman"/>
            <w:sz w:val="28"/>
            <w:szCs w:val="28"/>
          </w:rPr>
          <m:t>⨯</m:t>
        </m:r>
        <m:sSubSup>
          <m:sSubSupPr>
            <m:ctrlPr>
              <w:rPr>
                <w:rFonts w:ascii="Cambria Math" w:hAnsi="Cambria Math" w:cs="Times New Roman"/>
                <w:i/>
                <w:sz w:val="28"/>
                <w:szCs w:val="28"/>
              </w:rPr>
            </m:ctrlPr>
          </m:sSubSupPr>
          <m:e>
            <m:acc>
              <m:accPr>
                <m:chr m:val="̈"/>
                <m:ctrlPr>
                  <w:rPr>
                    <w:rFonts w:ascii="Cambria Math" w:hAnsi="Cambria Math" w:cs="Times New Roman"/>
                    <w:i/>
                    <w:sz w:val="28"/>
                    <w:szCs w:val="28"/>
                  </w:rPr>
                </m:ctrlPr>
              </m:accPr>
              <m:e>
                <m:r>
                  <w:rPr>
                    <w:rFonts w:ascii="Cambria Math" w:hAnsi="Cambria Math" w:cs="Times New Roman"/>
                    <w:sz w:val="28"/>
                    <w:szCs w:val="28"/>
                  </w:rPr>
                  <m:t>a</m:t>
                </m:r>
              </m:e>
            </m:acc>
          </m:e>
          <m:sub>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j</m:t>
                </m:r>
              </m:sub>
            </m:sSub>
          </m:sub>
          <m:sup>
            <m:r>
              <w:rPr>
                <w:rFonts w:ascii="Cambria Math" w:hAnsi="Cambria Math" w:cs="Times New Roman"/>
                <w:sz w:val="28"/>
                <w:szCs w:val="28"/>
              </w:rPr>
              <m:t>(12)</m:t>
            </m:r>
            <m:r>
              <w:rPr>
                <w:rStyle w:val="FootnoteReference"/>
                <w:rFonts w:ascii="Cambria Math" w:hAnsi="Cambria Math" w:cs="Times New Roman"/>
                <w:i/>
                <w:sz w:val="28"/>
                <w:szCs w:val="28"/>
              </w:rPr>
              <w:footnoteReference w:id="1"/>
            </m:r>
          </m:sup>
        </m:sSubSup>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m:t>
                </m:r>
              </m:e>
              <m:sub>
                <m:sSub>
                  <m:sSubPr>
                    <m:ctrlPr>
                      <w:rPr>
                        <w:rFonts w:ascii="Cambria Math" w:hAnsi="Cambria Math"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j</m:t>
                    </m:r>
                  </m:sub>
                </m:sSub>
              </m:sub>
            </m:sSub>
          </m:num>
          <m:den>
            <m:sSub>
              <m:sSubPr>
                <m:ctrlPr>
                  <w:rPr>
                    <w:rFonts w:ascii="Cambria Math" w:hAnsi="Cambria Math" w:cs="Times New Roman"/>
                    <w:i/>
                    <w:sz w:val="28"/>
                    <w:szCs w:val="28"/>
                  </w:rPr>
                </m:ctrlPr>
              </m:sSubPr>
              <m:e>
                <m:r>
                  <w:rPr>
                    <w:rFonts w:ascii="Cambria Math" w:hAnsi="Cambria Math" w:cs="Times New Roman"/>
                    <w:sz w:val="28"/>
                    <w:szCs w:val="28"/>
                  </w:rPr>
                  <m:t>D</m:t>
                </m:r>
              </m:e>
              <m:sub>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sub>
            </m:sSub>
          </m:den>
        </m:f>
      </m:oMath>
      <w:r w:rsidRPr="0052009D">
        <w:rPr>
          <w:rFonts w:ascii="Times New Roman" w:hAnsi="Times New Roman" w:cs="Times New Roman"/>
          <w:sz w:val="28"/>
          <w:szCs w:val="28"/>
        </w:rPr>
        <w:t xml:space="preserve"> , where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r</m:t>
                </m:r>
              </m:sub>
            </m:sSub>
          </m:num>
          <m:den>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x</m:t>
                </m:r>
              </m:sub>
            </m:sSub>
          </m:den>
        </m:f>
      </m:oMath>
      <w:r w:rsidRPr="0052009D">
        <w:rPr>
          <w:rFonts w:ascii="Times New Roman" w:hAnsi="Times New Roman" w:cs="Times New Roman"/>
          <w:sz w:val="28"/>
          <w:szCs w:val="28"/>
        </w:rPr>
        <w:t xml:space="preserve"> represents probabilities of termination of employment before age r from all causes</w:t>
      </w:r>
      <w:r w:rsidR="008F4191" w:rsidRPr="0052009D">
        <w:rPr>
          <w:rFonts w:ascii="Times New Roman" w:hAnsi="Times New Roman" w:cs="Times New Roman"/>
          <w:sz w:val="28"/>
          <w:szCs w:val="28"/>
        </w:rPr>
        <w:t xml:space="preserve"> like mortality,</w:t>
      </w:r>
      <w:r w:rsidRPr="0052009D">
        <w:rPr>
          <w:rFonts w:ascii="Times New Roman" w:hAnsi="Times New Roman" w:cs="Times New Roman"/>
          <w:sz w:val="28"/>
          <w:szCs w:val="28"/>
        </w:rPr>
        <w:t xml:space="preserve"> resignation, discharge, </w:t>
      </w:r>
      <w:r w:rsidR="004D7DA0" w:rsidRPr="0052009D">
        <w:rPr>
          <w:rFonts w:ascii="Times New Roman" w:hAnsi="Times New Roman" w:cs="Times New Roman"/>
          <w:sz w:val="28"/>
          <w:szCs w:val="28"/>
        </w:rPr>
        <w:t>disability</w:t>
      </w:r>
      <w:r w:rsidRPr="0052009D">
        <w:rPr>
          <w:rFonts w:ascii="Times New Roman" w:hAnsi="Times New Roman" w:cs="Times New Roman"/>
          <w:sz w:val="28"/>
          <w:szCs w:val="28"/>
        </w:rPr>
        <w:t>, etc.</w:t>
      </w:r>
      <w:r w:rsidR="004D7DA0" w:rsidRPr="0052009D">
        <w:rPr>
          <w:rFonts w:ascii="Times New Roman" w:hAnsi="Times New Roman" w:cs="Times New Roman"/>
          <w:sz w:val="28"/>
          <w:szCs w:val="28"/>
        </w:rPr>
        <w:t xml:space="preserve"> However,</w:t>
      </w:r>
      <w:r w:rsidRPr="0052009D">
        <w:rPr>
          <w:rFonts w:ascii="Times New Roman" w:hAnsi="Times New Roman" w:cs="Times New Roman"/>
          <w:sz w:val="28"/>
          <w:szCs w:val="28"/>
        </w:rPr>
        <w:t xml:space="preserve"> </w:t>
      </w:r>
      <w:r w:rsidR="004D7DA0" w:rsidRPr="0052009D">
        <w:rPr>
          <w:rFonts w:ascii="Times New Roman" w:hAnsi="Times New Roman" w:cs="Times New Roman"/>
          <w:sz w:val="28"/>
          <w:szCs w:val="28"/>
        </w:rPr>
        <w:t>i</w:t>
      </w:r>
      <w:r w:rsidRPr="0052009D">
        <w:rPr>
          <w:rFonts w:ascii="Times New Roman" w:hAnsi="Times New Roman" w:cs="Times New Roman"/>
          <w:sz w:val="28"/>
          <w:szCs w:val="28"/>
        </w:rPr>
        <w:t xml:space="preserve">n this </w:t>
      </w:r>
      <w:r w:rsidR="004D7DA0" w:rsidRPr="0052009D">
        <w:rPr>
          <w:rFonts w:ascii="Times New Roman" w:hAnsi="Times New Roman" w:cs="Times New Roman"/>
          <w:sz w:val="28"/>
          <w:szCs w:val="28"/>
        </w:rPr>
        <w:t>study</w:t>
      </w:r>
      <w:r w:rsidRPr="0052009D">
        <w:rPr>
          <w:rFonts w:ascii="Times New Roman" w:hAnsi="Times New Roman" w:cs="Times New Roman"/>
          <w:sz w:val="28"/>
          <w:szCs w:val="28"/>
        </w:rPr>
        <w:t>, we are going to just focus on the termination from mortality due to the lack of the data available for the calculation of the other probabilities.</w:t>
      </w:r>
      <w:r w:rsidR="004D7DA0" w:rsidRPr="0052009D">
        <w:rPr>
          <w:rFonts w:ascii="Times New Roman" w:hAnsi="Times New Roman" w:cs="Times New Roman"/>
          <w:sz w:val="28"/>
          <w:szCs w:val="28"/>
        </w:rPr>
        <w:t xml:space="preserve"> The amount of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r</m:t>
                </m:r>
              </m:sub>
            </m:sSub>
          </m:num>
          <m:den>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x</m:t>
                </m:r>
              </m:sub>
            </m:sSub>
          </m:den>
        </m:f>
      </m:oMath>
      <w:r w:rsidR="004D7DA0" w:rsidRPr="0052009D">
        <w:rPr>
          <w:rFonts w:ascii="Times New Roman" w:hAnsi="Times New Roman" w:cs="Times New Roman"/>
          <w:sz w:val="28"/>
          <w:szCs w:val="28"/>
        </w:rPr>
        <w:t xml:space="preserve"> is calculated </w:t>
      </w:r>
      <w:r w:rsidR="00824146" w:rsidRPr="0052009D">
        <w:rPr>
          <w:rFonts w:ascii="Times New Roman" w:hAnsi="Times New Roman" w:cs="Times New Roman"/>
          <w:sz w:val="28"/>
          <w:szCs w:val="28"/>
        </w:rPr>
        <w:t>using</w:t>
      </w:r>
      <w:r w:rsidR="004D7DA0" w:rsidRPr="0052009D">
        <w:rPr>
          <w:rFonts w:ascii="Times New Roman" w:hAnsi="Times New Roman" w:cs="Times New Roman"/>
          <w:sz w:val="28"/>
          <w:szCs w:val="28"/>
        </w:rPr>
        <w:t xml:space="preserve"> the following formula:</w:t>
      </w:r>
    </w:p>
    <w:p w:rsidR="004D7DA0" w:rsidRPr="0052009D" w:rsidRDefault="00855B4F" w:rsidP="004D7DA0">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r</m:t>
                  </m:r>
                </m:sub>
              </m:sSub>
            </m:num>
            <m:den>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x</m:t>
                  </m:r>
                </m:sub>
              </m:sSub>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r</m:t>
                  </m:r>
                </m:sup>
              </m:sSup>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r</m:t>
                  </m:r>
                </m:sub>
              </m:sSub>
            </m:num>
            <m:den>
              <m:sSup>
                <m:sSupPr>
                  <m:ctrlPr>
                    <w:rPr>
                      <w:rFonts w:ascii="Cambria Math" w:hAnsi="Cambria Math" w:cs="Times New Roman"/>
                      <w:i/>
                      <w:sz w:val="24"/>
                      <w:szCs w:val="24"/>
                    </w:rPr>
                  </m:ctrlPr>
                </m:sSupPr>
                <m:e>
                  <m:r>
                    <w:rPr>
                      <w:rFonts w:ascii="Cambria Math" w:hAnsi="Cambria Math" w:cs="Times New Roman"/>
                      <w:sz w:val="24"/>
                      <w:szCs w:val="24"/>
                    </w:rPr>
                    <m:t>v</m:t>
                  </m:r>
                </m:e>
                <m:sup>
                  <m:r>
                    <w:rPr>
                      <w:rFonts w:ascii="Cambria Math" w:hAnsi="Cambria Math" w:cs="Times New Roman"/>
                      <w:sz w:val="24"/>
                      <w:szCs w:val="24"/>
                    </w:rPr>
                    <m:t>x</m:t>
                  </m:r>
                </m:sup>
              </m:sSup>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x</m:t>
                  </m:r>
                </m:sub>
              </m:sSub>
            </m:den>
          </m:f>
        </m:oMath>
      </m:oMathPara>
    </w:p>
    <w:p w:rsidR="00730002" w:rsidRPr="0052009D" w:rsidRDefault="007456D8" w:rsidP="00554980">
      <w:pPr>
        <w:spacing w:line="360" w:lineRule="auto"/>
        <w:jc w:val="both"/>
        <w:rPr>
          <w:rFonts w:ascii="Times New Roman" w:hAnsi="Times New Roman" w:cs="Times New Roman"/>
          <w:sz w:val="28"/>
          <w:szCs w:val="28"/>
        </w:rPr>
      </w:pPr>
      <w:r w:rsidRPr="0052009D">
        <w:rPr>
          <w:rFonts w:ascii="Times New Roman" w:hAnsi="Times New Roman" w:cs="Times New Roman"/>
          <w:sz w:val="28"/>
          <w:szCs w:val="28"/>
        </w:rPr>
        <w:t xml:space="preserve">The term </w:t>
      </w:r>
      <m:oMath>
        <m:r>
          <w:rPr>
            <w:rFonts w:ascii="Cambria Math" w:hAnsi="Cambria Math" w:cs="Times New Roman"/>
            <w:sz w:val="28"/>
            <w:szCs w:val="28"/>
          </w:rPr>
          <m:t>v</m:t>
        </m:r>
      </m:oMath>
      <w:r w:rsidRPr="0052009D">
        <w:rPr>
          <w:rFonts w:ascii="Times New Roman" w:hAnsi="Times New Roman" w:cs="Times New Roman"/>
          <w:sz w:val="28"/>
          <w:szCs w:val="28"/>
        </w:rPr>
        <w:t xml:space="preserve"> is called a discount factor and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r</m:t>
                </m:r>
              </m:sub>
            </m:sSub>
          </m:num>
          <m:den>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x</m:t>
                </m:r>
              </m:sub>
            </m:sSub>
          </m:den>
        </m:f>
      </m:oMath>
      <w:r w:rsidRPr="0052009D">
        <w:rPr>
          <w:rFonts w:ascii="Times New Roman" w:hAnsi="Times New Roman" w:cs="Times New Roman"/>
          <w:sz w:val="28"/>
          <w:szCs w:val="28"/>
        </w:rPr>
        <w:t xml:space="preserve"> calculates the probability that a person currently age x s</w:t>
      </w:r>
      <w:r w:rsidR="00F669FC" w:rsidRPr="0052009D">
        <w:rPr>
          <w:rFonts w:ascii="Times New Roman" w:hAnsi="Times New Roman" w:cs="Times New Roman"/>
          <w:sz w:val="28"/>
          <w:szCs w:val="28"/>
        </w:rPr>
        <w:t>u</w:t>
      </w:r>
      <w:r w:rsidR="004D4C34" w:rsidRPr="0052009D">
        <w:rPr>
          <w:rFonts w:ascii="Times New Roman" w:hAnsi="Times New Roman" w:cs="Times New Roman"/>
          <w:sz w:val="28"/>
          <w:szCs w:val="28"/>
        </w:rPr>
        <w:t>rvive to the age of retirement, w</w:t>
      </w:r>
      <w:r w:rsidR="00824146" w:rsidRPr="0052009D">
        <w:rPr>
          <w:rFonts w:ascii="Times New Roman" w:hAnsi="Times New Roman" w:cs="Times New Roman"/>
          <w:sz w:val="28"/>
          <w:szCs w:val="28"/>
        </w:rPr>
        <w:t xml:space="preserve">hich is </w:t>
      </w:r>
      <w:r w:rsidR="00D5003C" w:rsidRPr="0052009D">
        <w:rPr>
          <w:rFonts w:ascii="Times New Roman" w:hAnsi="Times New Roman" w:cs="Times New Roman"/>
          <w:sz w:val="28"/>
          <w:szCs w:val="28"/>
        </w:rPr>
        <w:t>provided</w:t>
      </w:r>
      <w:r w:rsidR="00F669FC" w:rsidRPr="0052009D">
        <w:rPr>
          <w:rFonts w:ascii="Times New Roman" w:hAnsi="Times New Roman" w:cs="Times New Roman"/>
          <w:sz w:val="28"/>
          <w:szCs w:val="28"/>
        </w:rPr>
        <w:t xml:space="preserve"> in a mortality table</w:t>
      </w:r>
      <w:r w:rsidR="00824146" w:rsidRPr="0052009D">
        <w:rPr>
          <w:rFonts w:ascii="Times New Roman" w:hAnsi="Times New Roman" w:cs="Times New Roman"/>
          <w:sz w:val="28"/>
          <w:szCs w:val="28"/>
        </w:rPr>
        <w:t xml:space="preserve"> TD 88-90. T</w:t>
      </w:r>
      <w:r w:rsidR="00F669FC" w:rsidRPr="0052009D">
        <w:rPr>
          <w:rFonts w:ascii="Times New Roman" w:hAnsi="Times New Roman" w:cs="Times New Roman"/>
          <w:sz w:val="28"/>
          <w:szCs w:val="28"/>
        </w:rPr>
        <w:t xml:space="preserve">he amount of the </w:t>
      </w:r>
      <w:r w:rsidR="00554980" w:rsidRPr="0052009D">
        <w:rPr>
          <w:rFonts w:ascii="Times New Roman" w:hAnsi="Times New Roman" w:cs="Times New Roman"/>
          <w:sz w:val="28"/>
          <w:szCs w:val="28"/>
        </w:rPr>
        <w:t>TAL</w:t>
      </w:r>
      <w:r w:rsidR="00F669FC" w:rsidRPr="0052009D">
        <w:rPr>
          <w:rFonts w:ascii="Times New Roman" w:hAnsi="Times New Roman" w:cs="Times New Roman"/>
          <w:sz w:val="28"/>
          <w:szCs w:val="28"/>
        </w:rPr>
        <w:t xml:space="preserve"> is equal to the sumation of the Actuarial </w:t>
      </w:r>
      <w:r w:rsidR="004D4C34" w:rsidRPr="0052009D">
        <w:rPr>
          <w:rFonts w:ascii="Times New Roman" w:hAnsi="Times New Roman" w:cs="Times New Roman"/>
          <w:sz w:val="28"/>
          <w:szCs w:val="28"/>
        </w:rPr>
        <w:t>L</w:t>
      </w:r>
      <w:r w:rsidR="008F4191" w:rsidRPr="0052009D">
        <w:rPr>
          <w:rFonts w:ascii="Times New Roman" w:hAnsi="Times New Roman" w:cs="Times New Roman"/>
          <w:sz w:val="28"/>
          <w:szCs w:val="28"/>
        </w:rPr>
        <w:t xml:space="preserve">iability for each participant. </w:t>
      </w:r>
      <w:r w:rsidR="00E659CE" w:rsidRPr="0052009D">
        <w:rPr>
          <w:rFonts w:ascii="Times New Roman" w:hAnsi="Times New Roman" w:cs="Times New Roman"/>
          <w:sz w:val="28"/>
          <w:szCs w:val="28"/>
        </w:rPr>
        <w:t>In this method t</w:t>
      </w:r>
      <w:r w:rsidR="00730002" w:rsidRPr="0052009D">
        <w:rPr>
          <w:rFonts w:ascii="Times New Roman" w:hAnsi="Times New Roman" w:cs="Times New Roman"/>
          <w:sz w:val="28"/>
          <w:szCs w:val="28"/>
        </w:rPr>
        <w:t>he costs are low at the low ages, due to discounting from retirement back to these ages, but the c</w:t>
      </w:r>
      <w:r w:rsidR="004D4C34" w:rsidRPr="0052009D">
        <w:rPr>
          <w:rFonts w:ascii="Times New Roman" w:hAnsi="Times New Roman" w:cs="Times New Roman"/>
          <w:sz w:val="28"/>
          <w:szCs w:val="28"/>
        </w:rPr>
        <w:t xml:space="preserve">osts usually increase with age </w:t>
      </w:r>
      <w:r w:rsidR="00767253" w:rsidRPr="0052009D">
        <w:rPr>
          <w:rFonts w:ascii="Times New Roman" w:hAnsi="Times New Roman" w:cs="Times New Roman"/>
          <w:sz w:val="28"/>
          <w:szCs w:val="28"/>
        </w:rPr>
        <w:t>(Aitken, 1996)</w:t>
      </w:r>
      <w:r w:rsidR="00730002" w:rsidRPr="0052009D">
        <w:rPr>
          <w:rFonts w:ascii="Times New Roman" w:hAnsi="Times New Roman" w:cs="Times New Roman"/>
          <w:sz w:val="28"/>
          <w:szCs w:val="28"/>
        </w:rPr>
        <w:t>.</w:t>
      </w:r>
    </w:p>
    <w:p w:rsidR="00730002" w:rsidRPr="0052009D" w:rsidRDefault="00730002" w:rsidP="000B49FA">
      <w:pPr>
        <w:spacing w:line="360" w:lineRule="auto"/>
        <w:jc w:val="both"/>
        <w:rPr>
          <w:rFonts w:ascii="Times New Roman" w:hAnsi="Times New Roman" w:cs="Times New Roman"/>
          <w:sz w:val="28"/>
          <w:szCs w:val="28"/>
        </w:rPr>
      </w:pPr>
      <w:r w:rsidRPr="0052009D">
        <w:rPr>
          <w:rFonts w:ascii="Times New Roman" w:hAnsi="Times New Roman" w:cs="Times New Roman"/>
          <w:sz w:val="28"/>
          <w:szCs w:val="28"/>
        </w:rPr>
        <w:t>Under the rules of Iranian audit organization, pension funds must follow PUC method for their calculation. As an alternative approach we are going to use EAN method too.</w:t>
      </w:r>
      <w:r w:rsidR="008F4191" w:rsidRPr="0052009D">
        <w:rPr>
          <w:rFonts w:ascii="Times New Roman" w:hAnsi="Times New Roman" w:cs="Times New Roman"/>
          <w:sz w:val="28"/>
          <w:szCs w:val="28"/>
        </w:rPr>
        <w:t xml:space="preserve"> This method is most commonly used in the United States for both accounting and funding purposes</w:t>
      </w:r>
      <w:r w:rsidR="0061618D" w:rsidRPr="0052009D">
        <w:rPr>
          <w:rFonts w:ascii="Times New Roman" w:hAnsi="Times New Roman" w:cs="Times New Roman"/>
          <w:sz w:val="28"/>
          <w:szCs w:val="28"/>
        </w:rPr>
        <w:t xml:space="preserve"> (Brownlee, 1985)</w:t>
      </w:r>
      <w:r w:rsidR="008F4191" w:rsidRPr="0052009D">
        <w:rPr>
          <w:rFonts w:ascii="Times New Roman" w:hAnsi="Times New Roman" w:cs="Times New Roman"/>
          <w:sz w:val="28"/>
          <w:szCs w:val="28"/>
        </w:rPr>
        <w:t xml:space="preserve">. </w:t>
      </w:r>
    </w:p>
    <w:p w:rsidR="00730002" w:rsidRPr="0052009D" w:rsidRDefault="00D77238" w:rsidP="00D77238">
      <w:pPr>
        <w:pStyle w:val="Heading2"/>
        <w:rPr>
          <w:rFonts w:asciiTheme="majorBidi" w:hAnsiTheme="majorBidi"/>
          <w:color w:val="auto"/>
          <w:sz w:val="28"/>
          <w:szCs w:val="28"/>
        </w:rPr>
      </w:pPr>
      <w:r w:rsidRPr="0052009D">
        <w:rPr>
          <w:rFonts w:asciiTheme="majorBidi" w:hAnsiTheme="majorBidi"/>
          <w:color w:val="auto"/>
          <w:sz w:val="28"/>
          <w:szCs w:val="28"/>
        </w:rPr>
        <w:t>Entry Age Normal Cost M</w:t>
      </w:r>
      <w:r w:rsidR="00730002" w:rsidRPr="0052009D">
        <w:rPr>
          <w:rFonts w:asciiTheme="majorBidi" w:hAnsiTheme="majorBidi"/>
          <w:color w:val="auto"/>
          <w:sz w:val="28"/>
          <w:szCs w:val="28"/>
        </w:rPr>
        <w:t>ethod</w:t>
      </w:r>
    </w:p>
    <w:p w:rsidR="00B66308" w:rsidRPr="0052009D" w:rsidRDefault="000B49FA" w:rsidP="000B49FA">
      <w:pPr>
        <w:spacing w:line="360" w:lineRule="auto"/>
        <w:jc w:val="both"/>
        <w:rPr>
          <w:rFonts w:ascii="Times New Roman" w:hAnsi="Times New Roman" w:cs="Times New Roman"/>
          <w:sz w:val="28"/>
          <w:szCs w:val="28"/>
        </w:rPr>
      </w:pPr>
      <w:r w:rsidRPr="0052009D">
        <w:rPr>
          <w:rFonts w:ascii="Times New Roman" w:hAnsi="Times New Roman" w:cs="Times New Roman"/>
          <w:sz w:val="28"/>
          <w:szCs w:val="28"/>
        </w:rPr>
        <w:t>PUC</w:t>
      </w:r>
      <w:r w:rsidR="00730002" w:rsidRPr="0052009D">
        <w:rPr>
          <w:rFonts w:ascii="Times New Roman" w:hAnsi="Times New Roman" w:cs="Times New Roman"/>
          <w:sz w:val="28"/>
          <w:szCs w:val="28"/>
        </w:rPr>
        <w:t xml:space="preserve"> method was built upon the premise that the accrued liability should equal the present value of accrued benefits at all times during an employee’s career, right up until retirement. The fact that the </w:t>
      </w:r>
      <w:r w:rsidRPr="0052009D">
        <w:rPr>
          <w:rFonts w:ascii="Times New Roman" w:hAnsi="Times New Roman" w:cs="Times New Roman"/>
          <w:sz w:val="28"/>
          <w:szCs w:val="28"/>
        </w:rPr>
        <w:t>NC</w:t>
      </w:r>
      <w:r w:rsidR="00730002" w:rsidRPr="0052009D">
        <w:rPr>
          <w:rFonts w:ascii="Times New Roman" w:hAnsi="Times New Roman" w:cs="Times New Roman"/>
          <w:sz w:val="28"/>
          <w:szCs w:val="28"/>
        </w:rPr>
        <w:t xml:space="preserve"> had this generally undesirable characteristic (that it tended to increase more rapidly than pay) was therefore a result of the way the method was constructed. The bad feature can be eliminated by defining the normal cost directly and t</w:t>
      </w:r>
      <w:r w:rsidR="004D4C34" w:rsidRPr="0052009D">
        <w:rPr>
          <w:rFonts w:ascii="Times New Roman" w:hAnsi="Times New Roman" w:cs="Times New Roman"/>
          <w:sz w:val="28"/>
          <w:szCs w:val="28"/>
        </w:rPr>
        <w:t>hat is the approach called the Entry Age N</w:t>
      </w:r>
      <w:r w:rsidR="00730002" w:rsidRPr="0052009D">
        <w:rPr>
          <w:rFonts w:ascii="Times New Roman" w:hAnsi="Times New Roman" w:cs="Times New Roman"/>
          <w:sz w:val="28"/>
          <w:szCs w:val="28"/>
        </w:rPr>
        <w:t xml:space="preserve">ormal method (Anderson, 1985). </w:t>
      </w:r>
    </w:p>
    <w:p w:rsidR="00AA19E3" w:rsidRPr="0052009D" w:rsidRDefault="00AA19E3" w:rsidP="000B49FA">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The </w:t>
      </w:r>
      <w:r w:rsidR="000B49FA" w:rsidRPr="0052009D">
        <w:rPr>
          <w:rFonts w:ascii="Times New Roman" w:hAnsi="Times New Roman" w:cs="Times New Roman"/>
          <w:sz w:val="28"/>
          <w:szCs w:val="28"/>
          <w:lang w:bidi="fa-IR"/>
        </w:rPr>
        <w:t>EAN method</w:t>
      </w:r>
      <w:r w:rsidRPr="0052009D">
        <w:rPr>
          <w:rFonts w:ascii="Times New Roman" w:hAnsi="Times New Roman" w:cs="Times New Roman"/>
          <w:sz w:val="28"/>
          <w:szCs w:val="28"/>
          <w:lang w:bidi="fa-IR"/>
        </w:rPr>
        <w:t xml:space="preserve"> (level dollar) is a cost method which start with the total value of each participant’s pension benefits (accruing from entry to retirement)</w:t>
      </w:r>
      <w:r w:rsidR="00824146" w:rsidRPr="0052009D">
        <w:rPr>
          <w:rFonts w:ascii="Times New Roman" w:hAnsi="Times New Roman" w:cs="Times New Roman"/>
          <w:sz w:val="28"/>
          <w:szCs w:val="28"/>
          <w:lang w:bidi="fa-IR"/>
        </w:rPr>
        <w:t xml:space="preserve">. The EAN (level dollar) method </w:t>
      </w:r>
      <w:r w:rsidRPr="0052009D">
        <w:rPr>
          <w:rFonts w:ascii="Times New Roman" w:hAnsi="Times New Roman" w:cs="Times New Roman"/>
          <w:sz w:val="28"/>
          <w:szCs w:val="28"/>
          <w:lang w:bidi="fa-IR"/>
        </w:rPr>
        <w:t xml:space="preserve">is such that, at age e, the present value of all future </w:t>
      </w:r>
      <w:r w:rsidR="000B49FA" w:rsidRPr="0052009D">
        <w:rPr>
          <w:rFonts w:ascii="Times New Roman" w:hAnsi="Times New Roman" w:cs="Times New Roman"/>
          <w:sz w:val="28"/>
          <w:szCs w:val="28"/>
          <w:lang w:bidi="fa-IR"/>
        </w:rPr>
        <w:t>NC</w:t>
      </w:r>
      <w:r w:rsidRPr="0052009D">
        <w:rPr>
          <w:rFonts w:ascii="Times New Roman" w:hAnsi="Times New Roman" w:cs="Times New Roman"/>
          <w:sz w:val="28"/>
          <w:szCs w:val="28"/>
          <w:lang w:bidi="fa-IR"/>
        </w:rPr>
        <w:t xml:space="preserve"> equals the present value of all future benefit. Symbolically we have: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8"/>
        <w:gridCol w:w="1125"/>
      </w:tblGrid>
      <w:tr w:rsidR="00AA19E3" w:rsidRPr="0052009D" w:rsidTr="00D77238">
        <w:tc>
          <w:tcPr>
            <w:tcW w:w="8118" w:type="dxa"/>
          </w:tcPr>
          <w:p w:rsidR="00AA19E3" w:rsidRPr="0052009D" w:rsidRDefault="00AA19E3" w:rsidP="00AA19E3">
            <w:pPr>
              <w:jc w:val="center"/>
              <w:rPr>
                <w:rFonts w:ascii="Cambria Math" w:hAnsi="Cambria Math" w:cs="Times New Roman"/>
                <w:sz w:val="24"/>
                <w:szCs w:val="24"/>
                <w:lang w:bidi="fa-IR"/>
              </w:rPr>
            </w:pPr>
            <w:r w:rsidRPr="0052009D">
              <w:rPr>
                <w:rFonts w:ascii="Cambria Math" w:hAnsi="Cambria Math" w:cs="Times New Roman"/>
                <w:sz w:val="28"/>
                <w:szCs w:val="28"/>
                <w:lang w:bidi="fa-IR"/>
              </w:rPr>
              <w:t>NC</w:t>
            </w:r>
            <w:r w:rsidRPr="0052009D">
              <w:rPr>
                <w:rFonts w:ascii="Cambria Math" w:hAnsi="Cambria Math" w:cs="Times New Roman"/>
                <w:sz w:val="28"/>
                <w:szCs w:val="28"/>
                <w:vertAlign w:val="subscript"/>
                <w:lang w:bidi="fa-IR"/>
              </w:rPr>
              <w:t>e</w:t>
            </w:r>
            <w:r w:rsidRPr="0052009D">
              <w:rPr>
                <w:rFonts w:ascii="Cambria Math" w:hAnsi="Cambria Math" w:cs="Times New Roman"/>
                <w:sz w:val="28"/>
                <w:szCs w:val="28"/>
                <w:lang w:bidi="fa-IR"/>
              </w:rPr>
              <w:t xml:space="preserve"> . </w:t>
            </w:r>
            <m:oMath>
              <m:sSubSup>
                <m:sSubSupPr>
                  <m:ctrlPr>
                    <w:rPr>
                      <w:rFonts w:ascii="Cambria Math" w:hAnsi="Cambria Math" w:cs="Times New Roman"/>
                      <w:i/>
                      <w:sz w:val="28"/>
                      <w:szCs w:val="28"/>
                      <w:lang w:bidi="fa-IR"/>
                    </w:rPr>
                  </m:ctrlPr>
                </m:sSubSupPr>
                <m:e>
                  <m:acc>
                    <m:accPr>
                      <m:chr m:val="̈"/>
                      <m:ctrlPr>
                        <w:rPr>
                          <w:rFonts w:ascii="Cambria Math" w:hAnsi="Cambria Math" w:cs="Times New Roman"/>
                          <w:i/>
                          <w:sz w:val="28"/>
                          <w:szCs w:val="28"/>
                          <w:lang w:bidi="fa-IR"/>
                        </w:rPr>
                      </m:ctrlPr>
                    </m:accPr>
                    <m:e>
                      <m:r>
                        <w:rPr>
                          <w:rFonts w:ascii="Cambria Math" w:hAnsi="Cambria Math" w:cs="Times New Roman"/>
                          <w:sz w:val="28"/>
                          <w:szCs w:val="28"/>
                          <w:lang w:bidi="fa-IR"/>
                        </w:rPr>
                        <m:t>a</m:t>
                      </m:r>
                    </m:e>
                  </m:acc>
                </m:e>
                <m:sub>
                  <m:bar>
                    <m:barPr>
                      <m:pos m:val="top"/>
                      <m:ctrlPr>
                        <w:rPr>
                          <w:rFonts w:ascii="Cambria Math" w:hAnsi="Cambria Math" w:cs="Times New Roman"/>
                          <w:i/>
                          <w:sz w:val="28"/>
                          <w:szCs w:val="28"/>
                          <w:lang w:bidi="fa-IR"/>
                        </w:rPr>
                      </m:ctrlPr>
                    </m:barPr>
                    <m:e>
                      <m:r>
                        <w:rPr>
                          <w:rFonts w:ascii="Cambria Math" w:hAnsi="Cambria Math" w:cs="Times New Roman"/>
                          <w:sz w:val="28"/>
                          <w:szCs w:val="28"/>
                          <w:lang w:bidi="fa-IR"/>
                        </w:rPr>
                        <m:t>e:r-e</m:t>
                      </m:r>
                    </m:e>
                  </m:bar>
                </m:sub>
                <m:sup>
                  <m:r>
                    <w:rPr>
                      <w:rFonts w:ascii="Cambria Math" w:hAnsi="Cambria Math" w:cs="Times New Roman"/>
                      <w:sz w:val="28"/>
                      <w:szCs w:val="28"/>
                      <w:lang w:bidi="fa-IR"/>
                    </w:rPr>
                    <m:t>r</m:t>
                  </m:r>
                </m:sup>
              </m:sSubSup>
            </m:oMath>
            <w:r w:rsidRPr="0052009D">
              <w:rPr>
                <w:rFonts w:ascii="Cambria Math" w:hAnsi="Cambria Math" w:cs="Times New Roman"/>
                <w:sz w:val="28"/>
                <w:szCs w:val="28"/>
                <w:lang w:bidi="fa-IR"/>
              </w:rPr>
              <w:t>= B</w:t>
            </w:r>
            <w:r w:rsidRPr="0052009D">
              <w:rPr>
                <w:rFonts w:ascii="Cambria Math" w:hAnsi="Cambria Math" w:cs="Times New Roman"/>
                <w:sz w:val="28"/>
                <w:szCs w:val="28"/>
                <w:vertAlign w:val="subscript"/>
                <w:lang w:bidi="fa-IR"/>
              </w:rPr>
              <w:t>r</w:t>
            </w:r>
            <w:r w:rsidRPr="0052009D">
              <w:rPr>
                <w:rFonts w:ascii="Cambria Math" w:hAnsi="Cambria Math" w:cs="Times New Roman"/>
                <w:sz w:val="28"/>
                <w:szCs w:val="28"/>
                <w:lang w:bidi="fa-IR"/>
              </w:rPr>
              <w:t xml:space="preserve"> . v</w:t>
            </w:r>
            <w:r w:rsidRPr="0052009D">
              <w:rPr>
                <w:rFonts w:ascii="Cambria Math" w:hAnsi="Cambria Math" w:cs="Times New Roman"/>
                <w:sz w:val="28"/>
                <w:szCs w:val="28"/>
                <w:vertAlign w:val="superscript"/>
                <w:lang w:bidi="fa-IR"/>
              </w:rPr>
              <w:t>r-e</w:t>
            </w:r>
            <w:r w:rsidRPr="0052009D">
              <w:rPr>
                <w:rFonts w:ascii="Cambria Math" w:hAnsi="Cambria Math" w:cs="Times New Roman"/>
                <w:sz w:val="28"/>
                <w:szCs w:val="28"/>
                <w:lang w:bidi="fa-IR"/>
              </w:rPr>
              <w:t xml:space="preserve"> .</w:t>
            </w:r>
            <w:r w:rsidRPr="0052009D">
              <w:rPr>
                <w:rFonts w:ascii="Cambria Math" w:hAnsi="Cambria Math" w:cs="Times New Roman"/>
                <w:sz w:val="28"/>
                <w:szCs w:val="28"/>
                <w:vertAlign w:val="superscript"/>
                <w:lang w:bidi="fa-IR"/>
              </w:rPr>
              <w:t xml:space="preserve"> </w:t>
            </w:r>
            <w:r w:rsidRPr="0052009D">
              <w:rPr>
                <w:rFonts w:ascii="Cambria Math" w:hAnsi="Cambria Math" w:cs="Times New Roman"/>
                <w:sz w:val="28"/>
                <w:szCs w:val="28"/>
                <w:lang w:bidi="fa-IR"/>
              </w:rPr>
              <w:t xml:space="preserve"> </w:t>
            </w:r>
            <w:r w:rsidRPr="0052009D">
              <w:rPr>
                <w:rFonts w:ascii="Cambria Math" w:hAnsi="Cambria Math" w:cs="Times New Roman"/>
                <w:sz w:val="28"/>
                <w:szCs w:val="28"/>
                <w:vertAlign w:val="subscript"/>
                <w:lang w:bidi="fa-IR"/>
              </w:rPr>
              <w:t>r-e</w:t>
            </w:r>
            <w:r w:rsidRPr="0052009D">
              <w:rPr>
                <w:rFonts w:ascii="Cambria Math" w:hAnsi="Cambria Math" w:cs="Times New Roman"/>
                <w:sz w:val="28"/>
                <w:szCs w:val="28"/>
                <w:lang w:bidi="fa-IR"/>
              </w:rPr>
              <w:t>p</w:t>
            </w:r>
            <w:r w:rsidRPr="0052009D">
              <w:rPr>
                <w:rFonts w:ascii="Cambria Math" w:hAnsi="Cambria Math" w:cs="Times New Roman"/>
                <w:sz w:val="28"/>
                <w:szCs w:val="28"/>
                <w:vertAlign w:val="subscript"/>
                <w:lang w:bidi="fa-IR"/>
              </w:rPr>
              <w:t xml:space="preserve">e </w:t>
            </w:r>
            <w:r w:rsidRPr="0052009D">
              <w:rPr>
                <w:rFonts w:ascii="Cambria Math" w:hAnsi="Cambria Math" w:cs="Times New Roman"/>
                <w:sz w:val="28"/>
                <w:szCs w:val="28"/>
                <w:lang w:bidi="fa-IR"/>
              </w:rPr>
              <w:t xml:space="preserve">. </w:t>
            </w:r>
            <m:oMath>
              <m:sSubSup>
                <m:sSubSupPr>
                  <m:ctrlPr>
                    <w:rPr>
                      <w:rFonts w:ascii="Cambria Math" w:hAnsi="Cambria Math" w:cs="Times New Roman"/>
                      <w:i/>
                      <w:sz w:val="28"/>
                      <w:szCs w:val="28"/>
                      <w:lang w:bidi="fa-IR"/>
                    </w:rPr>
                  </m:ctrlPr>
                </m:sSubSupPr>
                <m:e>
                  <m:acc>
                    <m:accPr>
                      <m:chr m:val="̈"/>
                      <m:ctrlPr>
                        <w:rPr>
                          <w:rFonts w:ascii="Cambria Math" w:hAnsi="Cambria Math" w:cs="Times New Roman"/>
                          <w:i/>
                          <w:sz w:val="28"/>
                          <w:szCs w:val="28"/>
                          <w:lang w:bidi="fa-IR"/>
                        </w:rPr>
                      </m:ctrlPr>
                    </m:accPr>
                    <m:e>
                      <m:r>
                        <w:rPr>
                          <w:rFonts w:ascii="Cambria Math" w:hAnsi="Cambria Math" w:cs="Times New Roman"/>
                          <w:sz w:val="28"/>
                          <w:szCs w:val="28"/>
                          <w:lang w:bidi="fa-IR"/>
                        </w:rPr>
                        <m:t>a</m:t>
                      </m:r>
                    </m:e>
                  </m:acc>
                </m:e>
                <m:sub>
                  <m:r>
                    <w:rPr>
                      <w:rFonts w:ascii="Cambria Math" w:hAnsi="Cambria Math" w:cs="Times New Roman"/>
                      <w:sz w:val="28"/>
                      <w:szCs w:val="28"/>
                      <w:lang w:bidi="fa-IR"/>
                    </w:rPr>
                    <m:t>r</m:t>
                  </m:r>
                </m:sub>
                <m:sup>
                  <m:r>
                    <w:rPr>
                      <w:rFonts w:ascii="Cambria Math" w:hAnsi="Cambria Math" w:cs="Times New Roman"/>
                      <w:sz w:val="28"/>
                      <w:szCs w:val="28"/>
                      <w:lang w:bidi="fa-IR"/>
                    </w:rPr>
                    <m:t>12</m:t>
                  </m:r>
                </m:sup>
              </m:sSubSup>
            </m:oMath>
          </w:p>
        </w:tc>
        <w:tc>
          <w:tcPr>
            <w:tcW w:w="1125" w:type="dxa"/>
          </w:tcPr>
          <w:p w:rsidR="00AA19E3" w:rsidRPr="0052009D" w:rsidRDefault="00AA19E3" w:rsidP="00AA19E3">
            <w:pPr>
              <w:spacing w:line="360" w:lineRule="auto"/>
              <w:jc w:val="both"/>
              <w:rPr>
                <w:rFonts w:ascii="Times New Roman" w:hAnsi="Times New Roman" w:cs="Times New Roman"/>
                <w:sz w:val="28"/>
                <w:szCs w:val="28"/>
                <w:lang w:bidi="fa-IR"/>
              </w:rPr>
            </w:pPr>
          </w:p>
        </w:tc>
      </w:tr>
    </w:tbl>
    <w:p w:rsidR="00AA19E3" w:rsidRPr="0052009D" w:rsidRDefault="00AA19E3" w:rsidP="00C82F3C">
      <w:pPr>
        <w:spacing w:line="240" w:lineRule="auto"/>
        <w:jc w:val="both"/>
        <w:rPr>
          <w:rFonts w:ascii="Times New Roman" w:hAnsi="Times New Roman" w:cs="Times New Roman"/>
          <w:sz w:val="24"/>
          <w:szCs w:val="24"/>
          <w:lang w:bidi="fa-IR"/>
        </w:rPr>
      </w:pPr>
    </w:p>
    <w:p w:rsidR="00AA19E3" w:rsidRPr="0052009D" w:rsidRDefault="00AA19E3" w:rsidP="00824146">
      <w:pPr>
        <w:spacing w:line="360" w:lineRule="auto"/>
        <w:jc w:val="both"/>
        <w:rPr>
          <w:rFonts w:ascii="Times New Roman" w:hAnsi="Times New Roman" w:cs="Times New Roman"/>
          <w:sz w:val="28"/>
          <w:szCs w:val="28"/>
          <w:lang w:bidi="fa-IR"/>
        </w:rPr>
      </w:pPr>
      <w:r w:rsidRPr="0052009D">
        <w:rPr>
          <w:rFonts w:ascii="Times New Roman" w:hAnsi="Times New Roman" w:cs="Times New Roman"/>
          <w:i/>
          <w:iCs/>
          <w:sz w:val="28"/>
          <w:szCs w:val="28"/>
          <w:vertAlign w:val="subscript"/>
          <w:lang w:bidi="fa-IR"/>
        </w:rPr>
        <w:t>r-e</w:t>
      </w:r>
      <w:r w:rsidRPr="0052009D">
        <w:rPr>
          <w:rFonts w:ascii="Times New Roman" w:hAnsi="Times New Roman" w:cs="Times New Roman"/>
          <w:i/>
          <w:iCs/>
          <w:sz w:val="28"/>
          <w:szCs w:val="28"/>
          <w:lang w:bidi="fa-IR"/>
        </w:rPr>
        <w:t>p</w:t>
      </w:r>
      <w:r w:rsidRPr="0052009D">
        <w:rPr>
          <w:rFonts w:ascii="Times New Roman" w:hAnsi="Times New Roman" w:cs="Times New Roman"/>
          <w:i/>
          <w:iCs/>
          <w:sz w:val="28"/>
          <w:szCs w:val="28"/>
          <w:vertAlign w:val="subscript"/>
          <w:lang w:bidi="fa-IR"/>
        </w:rPr>
        <w:t>e</w:t>
      </w:r>
      <w:r w:rsidRPr="0052009D">
        <w:rPr>
          <w:rFonts w:ascii="Times New Roman" w:hAnsi="Times New Roman" w:cs="Times New Roman"/>
          <w:sz w:val="28"/>
          <w:szCs w:val="28"/>
          <w:vertAlign w:val="subscript"/>
          <w:lang w:bidi="fa-IR"/>
        </w:rPr>
        <w:t xml:space="preserve"> </w:t>
      </w:r>
      <w:r w:rsidRPr="0052009D">
        <w:rPr>
          <w:rFonts w:ascii="Times New Roman" w:hAnsi="Times New Roman" w:cs="Times New Roman"/>
          <w:sz w:val="28"/>
          <w:szCs w:val="28"/>
          <w:lang w:bidi="fa-IR"/>
        </w:rPr>
        <w:t>states for the probability that a person aged e stays alive for r-e years.</w:t>
      </w:r>
    </w:p>
    <w:p w:rsidR="00D77238" w:rsidRPr="0052009D" w:rsidRDefault="00AA19E3" w:rsidP="000B49FA">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For pension benefit based on salary, the actuarial cost method will be expressed as a level percentage of salary. A participant’s </w:t>
      </w:r>
      <w:r w:rsidR="000B49FA" w:rsidRPr="0052009D">
        <w:rPr>
          <w:rFonts w:ascii="Times New Roman" w:hAnsi="Times New Roman" w:cs="Times New Roman"/>
          <w:sz w:val="28"/>
          <w:szCs w:val="28"/>
          <w:lang w:bidi="fa-IR"/>
        </w:rPr>
        <w:t>NC</w:t>
      </w:r>
      <w:r w:rsidRPr="0052009D">
        <w:rPr>
          <w:rFonts w:ascii="Times New Roman" w:hAnsi="Times New Roman" w:cs="Times New Roman"/>
          <w:sz w:val="28"/>
          <w:szCs w:val="28"/>
          <w:lang w:bidi="fa-IR"/>
        </w:rPr>
        <w:t xml:space="preserve"> for a certain year is then a </w:t>
      </w:r>
      <w:r w:rsidR="008F4191" w:rsidRPr="0052009D">
        <w:rPr>
          <w:rFonts w:ascii="Times New Roman" w:hAnsi="Times New Roman" w:cs="Times New Roman"/>
          <w:sz w:val="28"/>
          <w:szCs w:val="28"/>
          <w:lang w:bidi="fa-IR"/>
        </w:rPr>
        <w:t xml:space="preserve"> fixed </w:t>
      </w:r>
      <w:r w:rsidRPr="0052009D">
        <w:rPr>
          <w:rFonts w:ascii="Times New Roman" w:hAnsi="Times New Roman" w:cs="Times New Roman"/>
          <w:sz w:val="28"/>
          <w:szCs w:val="28"/>
          <w:lang w:bidi="fa-IR"/>
        </w:rPr>
        <w:t xml:space="preserve">percentage </w:t>
      </w:r>
      <w:r w:rsidR="008F4191" w:rsidRPr="0052009D">
        <w:rPr>
          <w:rFonts w:ascii="Times New Roman" w:hAnsi="Times New Roman" w:cs="Times New Roman"/>
          <w:sz w:val="28"/>
          <w:szCs w:val="28"/>
          <w:lang w:bidi="fa-IR"/>
        </w:rPr>
        <w:t>of his salary in that year</w:t>
      </w:r>
      <w:r w:rsidR="00554980" w:rsidRPr="0052009D">
        <w:rPr>
          <w:rFonts w:ascii="Times New Roman" w:hAnsi="Times New Roman" w:cs="Times New Roman"/>
          <w:sz w:val="28"/>
          <w:szCs w:val="28"/>
          <w:lang w:bidi="fa-IR"/>
        </w:rPr>
        <w:t>, by</w:t>
      </w:r>
      <w:r w:rsidR="000B49FA" w:rsidRPr="0052009D">
        <w:rPr>
          <w:rFonts w:ascii="Times New Roman" w:hAnsi="Times New Roman" w:cs="Times New Roman"/>
          <w:sz w:val="28"/>
          <w:szCs w:val="28"/>
          <w:lang w:bidi="fa-IR"/>
        </w:rPr>
        <w:t xml:space="preserve"> using</w:t>
      </w:r>
      <w:r w:rsidR="00554980" w:rsidRPr="0052009D">
        <w:rPr>
          <w:rFonts w:ascii="Times New Roman" w:hAnsi="Times New Roman" w:cs="Times New Roman"/>
          <w:sz w:val="28"/>
          <w:szCs w:val="28"/>
          <w:lang w:bidi="fa-IR"/>
        </w:rPr>
        <w:t xml:space="preserve"> </w:t>
      </w:r>
      <w:r w:rsidR="00554980" w:rsidRPr="0052009D">
        <w:rPr>
          <w:rFonts w:ascii="Times New Roman" w:hAnsi="Times New Roman" w:cs="Times New Roman"/>
          <w:i/>
          <w:iCs/>
          <w:sz w:val="28"/>
          <w:szCs w:val="28"/>
          <w:lang w:bidi="fa-IR"/>
        </w:rPr>
        <w:t>s</w:t>
      </w:r>
      <w:r w:rsidR="00554980" w:rsidRPr="0052009D">
        <w:rPr>
          <w:rFonts w:ascii="Times New Roman" w:hAnsi="Times New Roman" w:cs="Times New Roman"/>
          <w:sz w:val="28"/>
          <w:szCs w:val="28"/>
          <w:lang w:bidi="fa-IR"/>
        </w:rPr>
        <w:t xml:space="preserve"> as a salary scale</w:t>
      </w:r>
      <w:r w:rsidR="008F4191" w:rsidRPr="0052009D">
        <w:rPr>
          <w:rFonts w:ascii="Times New Roman" w:hAnsi="Times New Roman" w:cs="Times New Roman"/>
          <w:sz w:val="28"/>
          <w:szCs w:val="28"/>
          <w:lang w:bidi="fa-IR"/>
        </w:rPr>
        <w:t>:</w:t>
      </w:r>
    </w:p>
    <w:p w:rsidR="008F4191" w:rsidRPr="0052009D" w:rsidRDefault="00855B4F" w:rsidP="00554980">
      <w:pPr>
        <w:spacing w:line="360" w:lineRule="auto"/>
        <w:jc w:val="both"/>
        <w:rPr>
          <w:rFonts w:ascii="Times New Roman" w:hAnsi="Times New Roman" w:cs="Times New Roman"/>
          <w:sz w:val="28"/>
          <w:szCs w:val="28"/>
          <w:lang w:bidi="fa-IR"/>
        </w:rPr>
      </w:pPr>
      <m:oMathPara>
        <m:oMath>
          <m:sSub>
            <m:sSubPr>
              <m:ctrlPr>
                <w:rPr>
                  <w:rFonts w:ascii="Cambria Math" w:hAnsi="Cambria Math" w:cs="Times New Roman"/>
                  <w:i/>
                  <w:sz w:val="28"/>
                  <w:szCs w:val="28"/>
                  <w:lang w:bidi="fa-IR"/>
                </w:rPr>
              </m:ctrlPr>
            </m:sSubPr>
            <m:e>
              <m:r>
                <w:rPr>
                  <w:rFonts w:ascii="Cambria Math" w:hAnsi="Cambria Math" w:cs="Times New Roman"/>
                  <w:sz w:val="28"/>
                  <w:szCs w:val="28"/>
                  <w:lang w:bidi="fa-IR"/>
                </w:rPr>
                <m:t>NC</m:t>
              </m:r>
            </m:e>
            <m:sub>
              <m:r>
                <w:rPr>
                  <w:rFonts w:ascii="Cambria Math" w:hAnsi="Cambria Math" w:cs="Times New Roman"/>
                  <w:sz w:val="28"/>
                  <w:szCs w:val="28"/>
                  <w:lang w:bidi="fa-IR"/>
                </w:rPr>
                <m:t>x</m:t>
              </m:r>
            </m:sub>
          </m:sSub>
          <m:r>
            <w:rPr>
              <w:rFonts w:ascii="Cambria Math" w:hAnsi="Cambria Math" w:cs="Times New Roman"/>
              <w:sz w:val="28"/>
              <w:szCs w:val="28"/>
              <w:lang w:bidi="fa-IR"/>
            </w:rPr>
            <m:t>=</m:t>
          </m:r>
          <m:sSub>
            <m:sSubPr>
              <m:ctrlPr>
                <w:rPr>
                  <w:rFonts w:ascii="Cambria Math" w:hAnsi="Cambria Math" w:cs="Times New Roman"/>
                  <w:i/>
                  <w:sz w:val="28"/>
                  <w:szCs w:val="28"/>
                  <w:lang w:bidi="fa-IR"/>
                </w:rPr>
              </m:ctrlPr>
            </m:sSubPr>
            <m:e>
              <m:r>
                <w:rPr>
                  <w:rFonts w:ascii="Cambria Math" w:hAnsi="Cambria Math" w:cs="Times New Roman"/>
                  <w:sz w:val="28"/>
                  <w:szCs w:val="28"/>
                  <w:lang w:bidi="fa-IR"/>
                </w:rPr>
                <m:t>NC</m:t>
              </m:r>
            </m:e>
            <m:sub>
              <m:r>
                <w:rPr>
                  <w:rFonts w:ascii="Cambria Math" w:hAnsi="Cambria Math" w:cs="Times New Roman"/>
                  <w:sz w:val="28"/>
                  <w:szCs w:val="28"/>
                  <w:lang w:bidi="fa-IR"/>
                </w:rPr>
                <m:t>e</m:t>
              </m:r>
            </m:sub>
          </m:sSub>
          <m:sSup>
            <m:sSupPr>
              <m:ctrlPr>
                <w:rPr>
                  <w:rFonts w:ascii="Cambria Math" w:hAnsi="Cambria Math" w:cs="Times New Roman"/>
                  <w:i/>
                  <w:sz w:val="28"/>
                  <w:szCs w:val="28"/>
                  <w:lang w:bidi="fa-IR"/>
                </w:rPr>
              </m:ctrlPr>
            </m:sSupPr>
            <m:e>
              <m:r>
                <w:rPr>
                  <w:rFonts w:ascii="Cambria Math" w:hAnsi="Cambria Math" w:cs="Times New Roman"/>
                  <w:sz w:val="28"/>
                  <w:szCs w:val="28"/>
                  <w:lang w:bidi="fa-IR"/>
                </w:rPr>
                <m:t>(1+s)</m:t>
              </m:r>
            </m:e>
            <m:sup>
              <m:r>
                <w:rPr>
                  <w:rFonts w:ascii="Cambria Math" w:hAnsi="Cambria Math" w:cs="Times New Roman"/>
                  <w:sz w:val="28"/>
                  <w:szCs w:val="28"/>
                  <w:lang w:bidi="fa-IR"/>
                </w:rPr>
                <m:t>x-e</m:t>
              </m:r>
            </m:sup>
          </m:sSup>
        </m:oMath>
      </m:oMathPara>
    </w:p>
    <w:p w:rsidR="00AA19E3" w:rsidRPr="0052009D" w:rsidRDefault="00554980" w:rsidP="00C82F3C">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AL </w:t>
      </w:r>
      <w:r w:rsidR="00AA19E3" w:rsidRPr="0052009D">
        <w:rPr>
          <w:rFonts w:ascii="Times New Roman" w:hAnsi="Times New Roman" w:cs="Times New Roman"/>
          <w:sz w:val="28"/>
          <w:szCs w:val="28"/>
          <w:lang w:bidi="fa-IR"/>
        </w:rPr>
        <w:t xml:space="preserve">at age x can be calculated in the usual way, which is equal to the </w:t>
      </w:r>
      <w:r w:rsidR="00C82F3C" w:rsidRPr="0052009D">
        <w:rPr>
          <w:rFonts w:ascii="Times New Roman" w:hAnsi="Times New Roman" w:cs="Times New Roman"/>
          <w:sz w:val="28"/>
          <w:szCs w:val="28"/>
          <w:lang w:bidi="fa-IR"/>
        </w:rPr>
        <w:t>PVFB</w:t>
      </w:r>
      <w:r w:rsidR="00AA19E3" w:rsidRPr="0052009D">
        <w:rPr>
          <w:rFonts w:ascii="Times New Roman" w:hAnsi="Times New Roman" w:cs="Times New Roman"/>
          <w:sz w:val="28"/>
          <w:szCs w:val="28"/>
          <w:lang w:bidi="fa-IR"/>
        </w:rPr>
        <w:t xml:space="preserve"> minus the present value of future </w:t>
      </w:r>
      <w:r w:rsidR="00C82F3C" w:rsidRPr="0052009D">
        <w:rPr>
          <w:rFonts w:ascii="Times New Roman" w:hAnsi="Times New Roman" w:cs="Times New Roman"/>
          <w:sz w:val="28"/>
          <w:szCs w:val="28"/>
          <w:lang w:bidi="fa-IR"/>
        </w:rPr>
        <w:t>NC</w:t>
      </w:r>
      <w:r w:rsidR="00824146" w:rsidRPr="0052009D">
        <w:rPr>
          <w:rFonts w:ascii="Times New Roman" w:hAnsi="Times New Roman" w:cs="Times New Roman"/>
          <w:sz w:val="28"/>
          <w:szCs w:val="28"/>
          <w:lang w:bidi="fa-IR"/>
        </w:rPr>
        <w:t xml:space="preserve"> (Aitken, 1996)</w:t>
      </w:r>
      <w:r w:rsidR="00AA19E3" w:rsidRPr="0052009D">
        <w:rPr>
          <w:rFonts w:ascii="Times New Roman" w:hAnsi="Times New Roman" w:cs="Times New Roman"/>
          <w:sz w:val="28"/>
          <w:szCs w:val="28"/>
          <w:lang w:bidi="fa-IR"/>
        </w:rPr>
        <w:t>.</w:t>
      </w:r>
    </w:p>
    <w:p w:rsidR="00CF4C7F" w:rsidRPr="0052009D" w:rsidRDefault="00D77238" w:rsidP="00E67F9E">
      <w:pPr>
        <w:pStyle w:val="Heading1"/>
        <w:rPr>
          <w:rFonts w:asciiTheme="majorBidi" w:eastAsia="Times New Roman" w:hAnsiTheme="majorBidi"/>
          <w:color w:val="auto"/>
          <w:sz w:val="32"/>
          <w:szCs w:val="32"/>
          <w:lang w:bidi="fa-IR"/>
        </w:rPr>
      </w:pPr>
      <w:r w:rsidRPr="0052009D">
        <w:rPr>
          <w:rFonts w:asciiTheme="majorBidi" w:eastAsia="Times New Roman" w:hAnsiTheme="majorBidi"/>
          <w:color w:val="auto"/>
          <w:sz w:val="32"/>
          <w:szCs w:val="32"/>
          <w:lang w:bidi="fa-IR"/>
        </w:rPr>
        <w:t xml:space="preserve">4. </w:t>
      </w:r>
      <w:r w:rsidR="00E67F9E" w:rsidRPr="0052009D">
        <w:rPr>
          <w:rFonts w:asciiTheme="majorBidi" w:eastAsia="Times New Roman" w:hAnsiTheme="majorBidi"/>
          <w:color w:val="auto"/>
          <w:sz w:val="32"/>
          <w:szCs w:val="32"/>
          <w:lang w:bidi="fa-IR"/>
        </w:rPr>
        <w:t>Interest rate and d</w:t>
      </w:r>
      <w:r w:rsidR="00CF4C7F" w:rsidRPr="0052009D">
        <w:rPr>
          <w:rFonts w:asciiTheme="majorBidi" w:eastAsia="Times New Roman" w:hAnsiTheme="majorBidi"/>
          <w:color w:val="auto"/>
          <w:sz w:val="32"/>
          <w:szCs w:val="32"/>
          <w:lang w:bidi="fa-IR"/>
        </w:rPr>
        <w:t xml:space="preserve">emographic </w:t>
      </w:r>
      <w:r w:rsidR="00E67F9E" w:rsidRPr="0052009D">
        <w:rPr>
          <w:rFonts w:asciiTheme="majorBidi" w:eastAsia="Times New Roman" w:hAnsiTheme="majorBidi"/>
          <w:color w:val="auto"/>
          <w:sz w:val="32"/>
          <w:szCs w:val="32"/>
          <w:lang w:bidi="fa-IR"/>
        </w:rPr>
        <w:t>a</w:t>
      </w:r>
      <w:r w:rsidR="00CF4C7F" w:rsidRPr="0052009D">
        <w:rPr>
          <w:rFonts w:asciiTheme="majorBidi" w:eastAsia="Times New Roman" w:hAnsiTheme="majorBidi"/>
          <w:color w:val="auto"/>
          <w:sz w:val="32"/>
          <w:szCs w:val="32"/>
          <w:lang w:bidi="fa-IR"/>
        </w:rPr>
        <w:t>nalysis</w:t>
      </w:r>
    </w:p>
    <w:p w:rsidR="00E67F9E" w:rsidRPr="0052009D" w:rsidRDefault="00E67F9E" w:rsidP="00E67F9E">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As mentioned above, a controversial issue is how pension liabilities should be valued. The pension liabilities are calculated as the present value of guaranteed future pension payments. To do these calculations, the choice of an appropriate discount rate plays a significant role.</w:t>
      </w:r>
    </w:p>
    <w:p w:rsidR="00E67F9E" w:rsidRPr="0052009D" w:rsidRDefault="00E67F9E" w:rsidP="00E67F9E">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In this study, we are going to calculate the Total Actuarial Liability under the application of 3 different discount rates. We are going to find the understatement of pension liabilities resulting from the difference between what Iranian pension funds used for their discount rate and the rate that if the state followed as an unbiased application of alternative discount rates. The three different discount rates that are being used in this study are:</w:t>
      </w:r>
    </w:p>
    <w:p w:rsidR="00E67F9E" w:rsidRPr="0052009D" w:rsidRDefault="00E67F9E" w:rsidP="00C82F3C">
      <w:pPr>
        <w:numPr>
          <w:ilvl w:val="0"/>
          <w:numId w:val="1"/>
        </w:numPr>
        <w:spacing w:line="24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5% more than the highest </w:t>
      </w:r>
      <w:r w:rsidRPr="0052009D">
        <w:rPr>
          <w:rFonts w:ascii="Times New Roman" w:hAnsi="Times New Roman" w:cs="Times New Roman"/>
          <w:sz w:val="28"/>
          <w:szCs w:val="28"/>
          <w:lang w:val="en" w:bidi="fa-IR"/>
        </w:rPr>
        <w:t>banking system’s deposit rate in Iran</w:t>
      </w:r>
    </w:p>
    <w:p w:rsidR="00E67F9E" w:rsidRPr="0052009D" w:rsidRDefault="00E67F9E" w:rsidP="00C82F3C">
      <w:pPr>
        <w:numPr>
          <w:ilvl w:val="0"/>
          <w:numId w:val="1"/>
        </w:numPr>
        <w:spacing w:line="24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val="en" w:bidi="fa-IR"/>
        </w:rPr>
        <w:t>Technical interest rate of the Iranian’s Central Insurance</w:t>
      </w:r>
      <w:r w:rsidRPr="0052009D">
        <w:rPr>
          <w:rFonts w:ascii="Times New Roman" w:hAnsi="Times New Roman" w:cs="Times New Roman"/>
          <w:sz w:val="28"/>
          <w:szCs w:val="28"/>
          <w:vertAlign w:val="superscript"/>
          <w:lang w:val="en" w:bidi="fa-IR"/>
        </w:rPr>
        <w:footnoteReference w:id="2"/>
      </w:r>
    </w:p>
    <w:p w:rsidR="00E67F9E" w:rsidRPr="0052009D" w:rsidRDefault="00E67F9E" w:rsidP="00C82F3C">
      <w:pPr>
        <w:numPr>
          <w:ilvl w:val="0"/>
          <w:numId w:val="1"/>
        </w:numPr>
        <w:spacing w:line="24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Hypothetical discount rate.</w:t>
      </w:r>
    </w:p>
    <w:p w:rsidR="00E67F9E" w:rsidRPr="0052009D" w:rsidRDefault="00E67F9E" w:rsidP="004D4C34">
      <w:pPr>
        <w:spacing w:line="360" w:lineRule="auto"/>
        <w:jc w:val="both"/>
        <w:rPr>
          <w:rFonts w:ascii="Times New Roman" w:hAnsi="Times New Roman" w:cs="Times New Roman"/>
          <w:sz w:val="28"/>
          <w:szCs w:val="28"/>
          <w:lang w:val="en" w:bidi="fa-IR"/>
        </w:rPr>
      </w:pPr>
      <w:r w:rsidRPr="0052009D">
        <w:rPr>
          <w:rFonts w:ascii="Times New Roman" w:hAnsi="Times New Roman" w:cs="Times New Roman"/>
          <w:sz w:val="28"/>
          <w:szCs w:val="28"/>
          <w:lang w:bidi="fa-IR"/>
        </w:rPr>
        <w:t xml:space="preserve">The first suggested discount rate is considered to be 20% because the highest </w:t>
      </w:r>
      <w:r w:rsidRPr="0052009D">
        <w:rPr>
          <w:rFonts w:ascii="Times New Roman" w:hAnsi="Times New Roman" w:cs="Times New Roman"/>
          <w:sz w:val="28"/>
          <w:szCs w:val="28"/>
          <w:lang w:val="en" w:bidi="fa-IR"/>
        </w:rPr>
        <w:t xml:space="preserve">banking system’s deposit rate in Iran is about 15% and </w:t>
      </w:r>
      <w:r w:rsidRPr="0052009D">
        <w:rPr>
          <w:rFonts w:ascii="Times New Roman" w:hAnsi="Times New Roman" w:cs="Times New Roman"/>
          <w:sz w:val="28"/>
          <w:szCs w:val="28"/>
          <w:lang w:bidi="fa-IR"/>
        </w:rPr>
        <w:t xml:space="preserve">Banks Employee’s Pension Fund uses 5 to 4 percent more than this rate for its calculations. This is the rate that is currently being used for discounting pension liabilities. The alternative discount rate is the rate based on the Technical interest rate of the Iranian’s Central Insurance. Based on this interest rate, the discount rate is equal to 18% for the first 5 years, and is equal to 15% for the second 5 years and for the remainder years this rate is equal to 10%. This rate is legislated by </w:t>
      </w:r>
      <w:r w:rsidRPr="0052009D">
        <w:rPr>
          <w:rFonts w:ascii="Times New Roman" w:hAnsi="Times New Roman" w:cs="Times New Roman"/>
          <w:sz w:val="28"/>
          <w:szCs w:val="28"/>
          <w:lang w:val="en" w:bidi="fa-IR"/>
        </w:rPr>
        <w:t>Life insurance and pension law of Iranian’s Central Insurance. The third option which is the hypothetical discount rate, is equal to 22%. We are going to find out that how much change will be caused in actuarial liabilities as a consequence of a 1% change in the discount rate.</w:t>
      </w:r>
    </w:p>
    <w:p w:rsidR="001E4E4A" w:rsidRPr="0052009D" w:rsidRDefault="00411B57" w:rsidP="00E079AD">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For practical analysis we </w:t>
      </w:r>
      <w:r w:rsidR="00D77238" w:rsidRPr="0052009D">
        <w:rPr>
          <w:rFonts w:ascii="Times New Roman" w:hAnsi="Times New Roman" w:cs="Times New Roman"/>
          <w:sz w:val="28"/>
          <w:szCs w:val="28"/>
          <w:lang w:bidi="fa-IR"/>
        </w:rPr>
        <w:t>have</w:t>
      </w:r>
      <w:r w:rsidRPr="0052009D">
        <w:rPr>
          <w:rFonts w:ascii="Times New Roman" w:hAnsi="Times New Roman" w:cs="Times New Roman"/>
          <w:sz w:val="28"/>
          <w:szCs w:val="28"/>
          <w:lang w:bidi="fa-IR"/>
        </w:rPr>
        <w:t xml:space="preserve"> use</w:t>
      </w:r>
      <w:r w:rsidR="00D77238" w:rsidRPr="0052009D">
        <w:rPr>
          <w:rFonts w:ascii="Times New Roman" w:hAnsi="Times New Roman" w:cs="Times New Roman"/>
          <w:sz w:val="28"/>
          <w:szCs w:val="28"/>
          <w:lang w:bidi="fa-IR"/>
        </w:rPr>
        <w:t>d</w:t>
      </w:r>
      <w:r w:rsidRPr="0052009D">
        <w:rPr>
          <w:rFonts w:ascii="Times New Roman" w:hAnsi="Times New Roman" w:cs="Times New Roman"/>
          <w:sz w:val="28"/>
          <w:szCs w:val="28"/>
          <w:lang w:bidi="fa-IR"/>
        </w:rPr>
        <w:t xml:space="preserve"> data available from one of the members of the Banks Employees’ Pension Fund for the year 1390. Table below </w:t>
      </w:r>
      <w:r w:rsidR="00E659CE" w:rsidRPr="0052009D">
        <w:rPr>
          <w:rFonts w:ascii="Times New Roman" w:hAnsi="Times New Roman" w:cs="Times New Roman"/>
          <w:sz w:val="28"/>
          <w:szCs w:val="28"/>
          <w:lang w:bidi="fa-IR"/>
        </w:rPr>
        <w:t>shows</w:t>
      </w:r>
      <w:r w:rsidRPr="0052009D">
        <w:rPr>
          <w:rFonts w:ascii="Times New Roman" w:hAnsi="Times New Roman" w:cs="Times New Roman"/>
          <w:sz w:val="28"/>
          <w:szCs w:val="28"/>
          <w:lang w:bidi="fa-IR"/>
        </w:rPr>
        <w:t xml:space="preserve"> a </w:t>
      </w:r>
      <w:r w:rsidR="00E659CE" w:rsidRPr="0052009D">
        <w:rPr>
          <w:rFonts w:ascii="Times New Roman" w:hAnsi="Times New Roman" w:cs="Times New Roman"/>
          <w:sz w:val="28"/>
          <w:szCs w:val="28"/>
          <w:lang w:bidi="fa-IR"/>
        </w:rPr>
        <w:t>summary</w:t>
      </w:r>
      <w:r w:rsidR="00E079AD" w:rsidRPr="0052009D">
        <w:rPr>
          <w:rFonts w:ascii="Times New Roman" w:hAnsi="Times New Roman" w:cs="Times New Roman"/>
          <w:sz w:val="28"/>
          <w:szCs w:val="28"/>
          <w:lang w:bidi="fa-IR"/>
        </w:rPr>
        <w:t xml:space="preserve"> of the provided information:</w:t>
      </w:r>
    </w:p>
    <w:p w:rsidR="00411B57" w:rsidRPr="0052009D" w:rsidRDefault="00411B57" w:rsidP="00411B57">
      <w:pPr>
        <w:pStyle w:val="ListofTables"/>
        <w:jc w:val="center"/>
        <w:rPr>
          <w:rFonts w:ascii="Times New Roman" w:hAnsi="Times New Roman" w:cs="Times New Roman"/>
          <w:b/>
          <w:bCs/>
          <w:i/>
          <w:iCs/>
          <w:sz w:val="24"/>
          <w:szCs w:val="24"/>
          <w:lang w:bidi="fa-IR"/>
        </w:rPr>
      </w:pPr>
      <w:r w:rsidRPr="0052009D">
        <w:rPr>
          <w:rFonts w:ascii="Times New Roman" w:hAnsi="Times New Roman" w:cs="Times New Roman"/>
          <w:sz w:val="28"/>
          <w:szCs w:val="28"/>
          <w:lang w:bidi="fa-IR"/>
        </w:rPr>
        <w:t xml:space="preserve"> </w:t>
      </w:r>
      <w:bookmarkStart w:id="1" w:name="_Toc474778854"/>
      <w:bookmarkStart w:id="2" w:name="_Toc474925661"/>
      <w:r w:rsidRPr="0052009D">
        <w:rPr>
          <w:rFonts w:ascii="Times New Roman" w:hAnsi="Times New Roman" w:cs="Times New Roman"/>
          <w:b/>
          <w:bCs/>
          <w:i/>
          <w:iCs/>
          <w:sz w:val="24"/>
          <w:szCs w:val="24"/>
          <w:lang w:bidi="fa-IR"/>
        </w:rPr>
        <w:t>Table 4.1.</w:t>
      </w:r>
      <w:r w:rsidRPr="0052009D">
        <w:rPr>
          <w:rFonts w:ascii="Times New Roman" w:hAnsi="Times New Roman" w:cs="Times New Roman"/>
          <w:sz w:val="24"/>
          <w:szCs w:val="24"/>
          <w:lang w:bidi="fa-IR"/>
        </w:rPr>
        <w:t>Demographic Information</w:t>
      </w:r>
      <w:bookmarkEnd w:id="1"/>
      <w:bookmarkEnd w:id="2"/>
    </w:p>
    <w:tbl>
      <w:tblPr>
        <w:tblStyle w:val="TableGrid"/>
        <w:tblW w:w="0" w:type="auto"/>
        <w:tblLook w:val="04A0" w:firstRow="1" w:lastRow="0" w:firstColumn="1" w:lastColumn="0" w:noHBand="0" w:noVBand="1"/>
      </w:tblPr>
      <w:tblGrid>
        <w:gridCol w:w="1408"/>
        <w:gridCol w:w="1230"/>
        <w:gridCol w:w="1337"/>
        <w:gridCol w:w="1182"/>
        <w:gridCol w:w="1347"/>
        <w:gridCol w:w="1306"/>
        <w:gridCol w:w="1433"/>
      </w:tblGrid>
      <w:tr w:rsidR="0052009D" w:rsidRPr="0052009D" w:rsidTr="00C82F3C">
        <w:tc>
          <w:tcPr>
            <w:tcW w:w="5157" w:type="dxa"/>
            <w:gridSpan w:val="4"/>
          </w:tcPr>
          <w:p w:rsidR="00411B57" w:rsidRPr="0052009D" w:rsidRDefault="00411B57" w:rsidP="00411B57">
            <w:pPr>
              <w:jc w:val="center"/>
              <w:rPr>
                <w:rFonts w:ascii="Times New Roman" w:hAnsi="Times New Roman" w:cs="Times New Roman"/>
                <w:b/>
                <w:bCs/>
              </w:rPr>
            </w:pPr>
          </w:p>
        </w:tc>
        <w:tc>
          <w:tcPr>
            <w:tcW w:w="2653" w:type="dxa"/>
            <w:gridSpan w:val="2"/>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year</w:t>
            </w:r>
          </w:p>
        </w:tc>
        <w:tc>
          <w:tcPr>
            <w:tcW w:w="1433"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rial</w:t>
            </w:r>
          </w:p>
        </w:tc>
      </w:tr>
      <w:tr w:rsidR="0052009D" w:rsidRPr="0052009D" w:rsidTr="00C82F3C">
        <w:tc>
          <w:tcPr>
            <w:tcW w:w="2638" w:type="dxa"/>
            <w:gridSpan w:val="2"/>
          </w:tcPr>
          <w:p w:rsidR="00411B57" w:rsidRPr="0052009D" w:rsidRDefault="00411B57" w:rsidP="00411B57">
            <w:pPr>
              <w:jc w:val="center"/>
              <w:rPr>
                <w:rFonts w:ascii="Times New Roman" w:hAnsi="Times New Roman" w:cs="Times New Roman"/>
                <w:b/>
                <w:bCs/>
              </w:rPr>
            </w:pPr>
          </w:p>
        </w:tc>
        <w:tc>
          <w:tcPr>
            <w:tcW w:w="1337"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Number of the employees</w:t>
            </w:r>
          </w:p>
        </w:tc>
        <w:tc>
          <w:tcPr>
            <w:tcW w:w="1182"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Number of the married employees</w:t>
            </w:r>
          </w:p>
        </w:tc>
        <w:tc>
          <w:tcPr>
            <w:tcW w:w="1347"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Average of the age of the employees</w:t>
            </w:r>
          </w:p>
        </w:tc>
        <w:tc>
          <w:tcPr>
            <w:tcW w:w="1306"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Average of the years of service</w:t>
            </w:r>
          </w:p>
        </w:tc>
        <w:tc>
          <w:tcPr>
            <w:tcW w:w="1433"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Average of the salary</w:t>
            </w:r>
          </w:p>
        </w:tc>
      </w:tr>
      <w:tr w:rsidR="0052009D" w:rsidRPr="0052009D" w:rsidTr="00C82F3C">
        <w:tc>
          <w:tcPr>
            <w:tcW w:w="1408" w:type="dxa"/>
            <w:vMerge w:val="restart"/>
          </w:tcPr>
          <w:p w:rsidR="00411B57" w:rsidRPr="0052009D" w:rsidRDefault="00411B57" w:rsidP="00411B57">
            <w:pPr>
              <w:jc w:val="center"/>
              <w:rPr>
                <w:rFonts w:ascii="Times New Roman" w:hAnsi="Times New Roman" w:cs="Times New Roman"/>
                <w:b/>
                <w:bCs/>
              </w:rPr>
            </w:pPr>
          </w:p>
          <w:p w:rsidR="00411B57" w:rsidRPr="0052009D" w:rsidRDefault="00411B57" w:rsidP="00411B57">
            <w:pPr>
              <w:spacing w:line="360" w:lineRule="auto"/>
              <w:jc w:val="center"/>
              <w:rPr>
                <w:rFonts w:ascii="Times New Roman" w:hAnsi="Times New Roman" w:cs="Times New Roman"/>
                <w:b/>
                <w:bCs/>
              </w:rPr>
            </w:pPr>
            <w:r w:rsidRPr="0052009D">
              <w:rPr>
                <w:rFonts w:ascii="Times New Roman" w:hAnsi="Times New Roman" w:cs="Times New Roman"/>
                <w:b/>
                <w:bCs/>
              </w:rPr>
              <w:t>Employees</w:t>
            </w:r>
          </w:p>
        </w:tc>
        <w:tc>
          <w:tcPr>
            <w:tcW w:w="1230"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Male</w:t>
            </w:r>
          </w:p>
        </w:tc>
        <w:tc>
          <w:tcPr>
            <w:tcW w:w="1337"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901</w:t>
            </w:r>
          </w:p>
        </w:tc>
        <w:tc>
          <w:tcPr>
            <w:tcW w:w="1182"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691</w:t>
            </w:r>
          </w:p>
        </w:tc>
        <w:tc>
          <w:tcPr>
            <w:tcW w:w="1347"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37</w:t>
            </w:r>
          </w:p>
        </w:tc>
        <w:tc>
          <w:tcPr>
            <w:tcW w:w="1306"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10</w:t>
            </w:r>
          </w:p>
        </w:tc>
        <w:tc>
          <w:tcPr>
            <w:tcW w:w="1433"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6832958.52</w:t>
            </w:r>
          </w:p>
          <w:p w:rsidR="00411B57" w:rsidRPr="0052009D" w:rsidRDefault="00411B57" w:rsidP="00411B57">
            <w:pPr>
              <w:jc w:val="center"/>
              <w:rPr>
                <w:rFonts w:ascii="Times New Roman" w:hAnsi="Times New Roman" w:cs="Times New Roman"/>
                <w:b/>
                <w:bCs/>
              </w:rPr>
            </w:pPr>
          </w:p>
        </w:tc>
      </w:tr>
      <w:tr w:rsidR="00411B57" w:rsidRPr="0052009D" w:rsidTr="00C82F3C">
        <w:tc>
          <w:tcPr>
            <w:tcW w:w="1408" w:type="dxa"/>
            <w:vMerge/>
          </w:tcPr>
          <w:p w:rsidR="00411B57" w:rsidRPr="0052009D" w:rsidRDefault="00411B57" w:rsidP="00411B57">
            <w:pPr>
              <w:jc w:val="center"/>
              <w:rPr>
                <w:rFonts w:ascii="Times New Roman" w:hAnsi="Times New Roman" w:cs="Times New Roman"/>
                <w:b/>
                <w:bCs/>
              </w:rPr>
            </w:pPr>
          </w:p>
        </w:tc>
        <w:tc>
          <w:tcPr>
            <w:tcW w:w="1230"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female</w:t>
            </w:r>
          </w:p>
        </w:tc>
        <w:tc>
          <w:tcPr>
            <w:tcW w:w="1337"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269</w:t>
            </w:r>
          </w:p>
        </w:tc>
        <w:tc>
          <w:tcPr>
            <w:tcW w:w="1182"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149</w:t>
            </w:r>
          </w:p>
        </w:tc>
        <w:tc>
          <w:tcPr>
            <w:tcW w:w="1347"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34</w:t>
            </w:r>
          </w:p>
        </w:tc>
        <w:tc>
          <w:tcPr>
            <w:tcW w:w="1306"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9</w:t>
            </w:r>
          </w:p>
        </w:tc>
        <w:tc>
          <w:tcPr>
            <w:tcW w:w="1433" w:type="dxa"/>
          </w:tcPr>
          <w:p w:rsidR="00411B57" w:rsidRPr="0052009D" w:rsidRDefault="00411B57" w:rsidP="00411B57">
            <w:pPr>
              <w:jc w:val="center"/>
              <w:rPr>
                <w:rFonts w:ascii="Times New Roman" w:hAnsi="Times New Roman" w:cs="Times New Roman"/>
                <w:b/>
                <w:bCs/>
              </w:rPr>
            </w:pPr>
            <w:r w:rsidRPr="0052009D">
              <w:rPr>
                <w:rFonts w:ascii="Times New Roman" w:hAnsi="Times New Roman" w:cs="Times New Roman"/>
                <w:b/>
                <w:bCs/>
              </w:rPr>
              <w:t>6291130.07</w:t>
            </w:r>
          </w:p>
          <w:p w:rsidR="00411B57" w:rsidRPr="0052009D" w:rsidRDefault="00411B57" w:rsidP="00411B57">
            <w:pPr>
              <w:jc w:val="center"/>
              <w:rPr>
                <w:rFonts w:ascii="Times New Roman" w:hAnsi="Times New Roman" w:cs="Times New Roman"/>
                <w:b/>
                <w:bCs/>
              </w:rPr>
            </w:pPr>
          </w:p>
        </w:tc>
      </w:tr>
    </w:tbl>
    <w:p w:rsidR="0081782B" w:rsidRPr="0052009D" w:rsidRDefault="0081782B" w:rsidP="004D4C34">
      <w:pPr>
        <w:spacing w:line="360" w:lineRule="auto"/>
        <w:jc w:val="both"/>
        <w:rPr>
          <w:rFonts w:ascii="Times New Roman" w:hAnsi="Times New Roman" w:cs="Times New Roman"/>
          <w:sz w:val="28"/>
          <w:szCs w:val="28"/>
        </w:rPr>
      </w:pPr>
    </w:p>
    <w:p w:rsidR="004D4C34" w:rsidRPr="0052009D" w:rsidRDefault="001E4E4A" w:rsidP="004D4C34">
      <w:pPr>
        <w:spacing w:line="360" w:lineRule="auto"/>
        <w:jc w:val="both"/>
        <w:rPr>
          <w:rFonts w:ascii="Times New Roman" w:hAnsi="Times New Roman" w:cs="Times New Roman"/>
          <w:sz w:val="28"/>
          <w:szCs w:val="28"/>
        </w:rPr>
      </w:pPr>
      <w:r w:rsidRPr="0052009D">
        <w:rPr>
          <w:rFonts w:ascii="Times New Roman" w:hAnsi="Times New Roman" w:cs="Times New Roman"/>
          <w:sz w:val="28"/>
          <w:szCs w:val="28"/>
        </w:rPr>
        <w:t xml:space="preserve">By using MATLAB software, we have calculated Total Actuarial Liability under two different cost methods and for three different discount rates. Based on the current rules, </w:t>
      </w:r>
      <w:r w:rsidRPr="0052009D">
        <w:rPr>
          <w:rFonts w:ascii="Times New Roman" w:hAnsi="Times New Roman" w:cs="Times New Roman"/>
          <w:b/>
          <w:bCs/>
          <w:sz w:val="28"/>
          <w:szCs w:val="28"/>
        </w:rPr>
        <w:t>Salary scale for retirees</w:t>
      </w:r>
      <w:r w:rsidRPr="0052009D">
        <w:rPr>
          <w:rFonts w:ascii="Times New Roman" w:hAnsi="Times New Roman" w:cs="Times New Roman"/>
          <w:sz w:val="28"/>
          <w:szCs w:val="28"/>
        </w:rPr>
        <w:t xml:space="preserve"> is considered to be</w:t>
      </w:r>
      <w:r w:rsidRPr="0052009D">
        <w:rPr>
          <w:rFonts w:ascii="Times New Roman" w:hAnsi="Times New Roman" w:cs="Times New Roman"/>
          <w:b/>
          <w:bCs/>
          <w:sz w:val="28"/>
          <w:szCs w:val="28"/>
        </w:rPr>
        <w:t xml:space="preserve"> </w:t>
      </w:r>
      <w:r w:rsidRPr="0052009D">
        <w:rPr>
          <w:rFonts w:ascii="Times New Roman" w:hAnsi="Times New Roman" w:cs="Times New Roman"/>
          <w:sz w:val="28"/>
          <w:szCs w:val="28"/>
        </w:rPr>
        <w:t xml:space="preserve">14.4 percent and </w:t>
      </w:r>
      <w:r w:rsidRPr="0052009D">
        <w:rPr>
          <w:rFonts w:ascii="Times New Roman" w:hAnsi="Times New Roman" w:cs="Times New Roman"/>
          <w:b/>
          <w:bCs/>
          <w:sz w:val="28"/>
          <w:szCs w:val="28"/>
        </w:rPr>
        <w:t xml:space="preserve">Salary scale for employees </w:t>
      </w:r>
      <w:r w:rsidRPr="0052009D">
        <w:rPr>
          <w:rFonts w:ascii="Times New Roman" w:hAnsi="Times New Roman" w:cs="Times New Roman"/>
          <w:sz w:val="28"/>
          <w:szCs w:val="28"/>
        </w:rPr>
        <w:t xml:space="preserve">is also considered to be 16.6 percent. And also the retirement age is equal to 60 years old. </w:t>
      </w:r>
    </w:p>
    <w:p w:rsidR="00E67F9E" w:rsidRPr="0052009D" w:rsidRDefault="00E67F9E" w:rsidP="004D4C34">
      <w:pPr>
        <w:pStyle w:val="Heading1"/>
        <w:rPr>
          <w:rFonts w:asciiTheme="majorBidi" w:hAnsiTheme="majorBidi"/>
          <w:color w:val="auto"/>
          <w:sz w:val="32"/>
          <w:szCs w:val="32"/>
        </w:rPr>
      </w:pPr>
      <w:r w:rsidRPr="0052009D">
        <w:rPr>
          <w:rFonts w:asciiTheme="majorBidi" w:hAnsiTheme="majorBidi"/>
          <w:color w:val="auto"/>
          <w:sz w:val="32"/>
          <w:szCs w:val="32"/>
        </w:rPr>
        <w:t>5</w:t>
      </w:r>
      <w:r w:rsidR="004D4C34" w:rsidRPr="0052009D">
        <w:rPr>
          <w:rFonts w:asciiTheme="majorBidi" w:eastAsia="Times New Roman" w:hAnsiTheme="majorBidi"/>
          <w:color w:val="auto"/>
          <w:sz w:val="32"/>
          <w:szCs w:val="32"/>
          <w:lang w:bidi="fa-IR"/>
        </w:rPr>
        <w:t>. R</w:t>
      </w:r>
      <w:r w:rsidRPr="0052009D">
        <w:rPr>
          <w:rFonts w:asciiTheme="majorBidi" w:eastAsia="Times New Roman" w:hAnsiTheme="majorBidi"/>
          <w:color w:val="auto"/>
          <w:sz w:val="32"/>
          <w:szCs w:val="32"/>
          <w:lang w:bidi="fa-IR"/>
        </w:rPr>
        <w:t>esults</w:t>
      </w:r>
    </w:p>
    <w:p w:rsidR="001E4E4A" w:rsidRPr="0052009D" w:rsidRDefault="00F456C6" w:rsidP="004D4C34">
      <w:pPr>
        <w:spacing w:line="360" w:lineRule="auto"/>
        <w:jc w:val="both"/>
        <w:rPr>
          <w:rFonts w:ascii="Times New Roman" w:hAnsi="Times New Roman" w:cs="Times New Roman"/>
          <w:sz w:val="28"/>
          <w:szCs w:val="28"/>
        </w:rPr>
      </w:pPr>
      <w:r w:rsidRPr="0052009D">
        <w:rPr>
          <w:rFonts w:ascii="Times New Roman" w:hAnsi="Times New Roman" w:cs="Times New Roman"/>
          <w:sz w:val="28"/>
          <w:szCs w:val="28"/>
        </w:rPr>
        <w:t>As we can see</w:t>
      </w:r>
      <w:r w:rsidR="004D4C34" w:rsidRPr="0052009D">
        <w:rPr>
          <w:rFonts w:ascii="Times New Roman" w:hAnsi="Times New Roman" w:cs="Times New Roman"/>
          <w:sz w:val="28"/>
          <w:szCs w:val="28"/>
        </w:rPr>
        <w:t xml:space="preserve"> in table 4.2 and 4.3,</w:t>
      </w:r>
      <w:r w:rsidRPr="0052009D">
        <w:rPr>
          <w:rFonts w:ascii="Times New Roman" w:hAnsi="Times New Roman" w:cs="Times New Roman"/>
          <w:sz w:val="28"/>
          <w:szCs w:val="28"/>
        </w:rPr>
        <w:t xml:space="preserve"> a rate based on expected rate of return assumptions understates pension liabilities</w:t>
      </w:r>
      <w:r w:rsidR="00E079AD" w:rsidRPr="0052009D">
        <w:rPr>
          <w:rFonts w:ascii="Times New Roman" w:hAnsi="Times New Roman" w:cs="Times New Roman"/>
          <w:sz w:val="28"/>
          <w:szCs w:val="28"/>
        </w:rPr>
        <w:t xml:space="preserve"> by huge amount</w:t>
      </w:r>
      <w:r w:rsidRPr="0052009D">
        <w:rPr>
          <w:rFonts w:ascii="Times New Roman" w:hAnsi="Times New Roman" w:cs="Times New Roman"/>
          <w:sz w:val="28"/>
          <w:szCs w:val="28"/>
        </w:rPr>
        <w:t xml:space="preserve">. By using lower discount rate, the amount of the </w:t>
      </w:r>
      <w:r w:rsidR="004D4C34" w:rsidRPr="0052009D">
        <w:rPr>
          <w:rFonts w:ascii="Times New Roman" w:hAnsi="Times New Roman" w:cs="Times New Roman"/>
          <w:sz w:val="28"/>
          <w:szCs w:val="28"/>
        </w:rPr>
        <w:t>TAL</w:t>
      </w:r>
      <w:r w:rsidRPr="0052009D">
        <w:rPr>
          <w:rFonts w:ascii="Times New Roman" w:hAnsi="Times New Roman" w:cs="Times New Roman"/>
          <w:sz w:val="28"/>
          <w:szCs w:val="28"/>
        </w:rPr>
        <w:t xml:space="preserve"> increases. The </w:t>
      </w:r>
      <w:r w:rsidR="004D4C34" w:rsidRPr="0052009D">
        <w:rPr>
          <w:rFonts w:ascii="Times New Roman" w:hAnsi="Times New Roman" w:cs="Times New Roman"/>
          <w:sz w:val="28"/>
          <w:szCs w:val="28"/>
        </w:rPr>
        <w:t>TAL</w:t>
      </w:r>
      <w:r w:rsidRPr="0052009D">
        <w:rPr>
          <w:rFonts w:ascii="Times New Roman" w:hAnsi="Times New Roman" w:cs="Times New Roman"/>
          <w:sz w:val="28"/>
          <w:szCs w:val="28"/>
        </w:rPr>
        <w:t xml:space="preserve"> under the current discount rate which is being used by Iranian pension funds, has lower amount. Therefore, raising the discount rate lowers the present value of benefits, thereby reducing the required normal cost payment. The conventional wisdom is that a one percentage point increase in the discount rate reduces the present value at least by 20%. As we can see, our results admit that a one percent decrease in the discount rate will cause the TAL to increase by 19% in the PUC method and to increase by 17% in the EAN method. The third approach which has the lowest discount rates, has the highest amount of </w:t>
      </w:r>
      <w:r w:rsidR="004D4C34" w:rsidRPr="0052009D">
        <w:rPr>
          <w:rFonts w:ascii="Times New Roman" w:hAnsi="Times New Roman" w:cs="Times New Roman"/>
          <w:sz w:val="28"/>
          <w:szCs w:val="28"/>
        </w:rPr>
        <w:t>TAL</w:t>
      </w:r>
      <w:r w:rsidRPr="0052009D">
        <w:rPr>
          <w:rFonts w:ascii="Times New Roman" w:hAnsi="Times New Roman" w:cs="Times New Roman"/>
          <w:sz w:val="28"/>
          <w:szCs w:val="28"/>
        </w:rPr>
        <w:t xml:space="preserve">. This will lead to the reduction in understating the </w:t>
      </w:r>
      <w:r w:rsidR="004D4C34" w:rsidRPr="0052009D">
        <w:rPr>
          <w:rFonts w:ascii="Times New Roman" w:hAnsi="Times New Roman" w:cs="Times New Roman"/>
          <w:sz w:val="28"/>
          <w:szCs w:val="28"/>
        </w:rPr>
        <w:t>TAL</w:t>
      </w:r>
      <w:r w:rsidRPr="0052009D">
        <w:rPr>
          <w:rFonts w:ascii="Times New Roman" w:hAnsi="Times New Roman" w:cs="Times New Roman"/>
          <w:sz w:val="28"/>
          <w:szCs w:val="28"/>
        </w:rPr>
        <w:t>, which is provided by the current discount r</w:t>
      </w:r>
      <w:r w:rsidR="00E67F9E" w:rsidRPr="0052009D">
        <w:rPr>
          <w:rFonts w:ascii="Times New Roman" w:hAnsi="Times New Roman" w:cs="Times New Roman"/>
          <w:sz w:val="28"/>
          <w:szCs w:val="28"/>
        </w:rPr>
        <w:t>ate being used in pension funds.</w:t>
      </w:r>
    </w:p>
    <w:p w:rsidR="001E4E4A" w:rsidRPr="0052009D" w:rsidRDefault="001E4E4A" w:rsidP="001E4E4A">
      <w:pPr>
        <w:spacing w:after="160" w:line="259" w:lineRule="auto"/>
        <w:jc w:val="center"/>
        <w:rPr>
          <w:rFonts w:ascii="Times New Roman" w:hAnsi="Times New Roman" w:cs="Times New Roman"/>
          <w:sz w:val="24"/>
          <w:szCs w:val="24"/>
          <w:lang w:bidi="fa-IR"/>
        </w:rPr>
      </w:pPr>
      <w:bookmarkStart w:id="3" w:name="_Toc474778855"/>
      <w:bookmarkStart w:id="4" w:name="_Toc474925662"/>
      <w:r w:rsidRPr="0052009D">
        <w:rPr>
          <w:rFonts w:ascii="Times New Roman" w:hAnsi="Times New Roman" w:cs="Times New Roman"/>
          <w:b/>
          <w:bCs/>
          <w:i/>
          <w:iCs/>
          <w:sz w:val="24"/>
          <w:szCs w:val="24"/>
          <w:lang w:bidi="fa-IR"/>
        </w:rPr>
        <w:t>Table 4.2.</w:t>
      </w:r>
      <w:r w:rsidRPr="0052009D">
        <w:rPr>
          <w:rFonts w:ascii="Times New Roman" w:hAnsi="Times New Roman" w:cs="Times New Roman"/>
          <w:sz w:val="24"/>
          <w:szCs w:val="24"/>
          <w:lang w:bidi="fa-IR"/>
        </w:rPr>
        <w:t xml:space="preserve"> Total Actuarial Liability under Project Unit Cost method</w:t>
      </w:r>
      <w:bookmarkEnd w:id="3"/>
      <w:bookmarkEnd w:id="4"/>
    </w:p>
    <w:tbl>
      <w:tblPr>
        <w:tblStyle w:val="TableGrid1"/>
        <w:tblW w:w="0" w:type="auto"/>
        <w:tblLook w:val="04A0" w:firstRow="1" w:lastRow="0" w:firstColumn="1" w:lastColumn="0" w:noHBand="0" w:noVBand="1"/>
      </w:tblPr>
      <w:tblGrid>
        <w:gridCol w:w="2440"/>
        <w:gridCol w:w="2448"/>
        <w:gridCol w:w="2523"/>
        <w:gridCol w:w="2165"/>
      </w:tblGrid>
      <w:tr w:rsidR="0052009D" w:rsidRPr="0052009D" w:rsidTr="00D77238">
        <w:tc>
          <w:tcPr>
            <w:tcW w:w="2440" w:type="dxa"/>
          </w:tcPr>
          <w:p w:rsidR="001E4E4A" w:rsidRPr="0052009D" w:rsidRDefault="001E4E4A" w:rsidP="001E4E4A">
            <w:pPr>
              <w:jc w:val="center"/>
              <w:rPr>
                <w:b/>
                <w:bCs/>
              </w:rPr>
            </w:pPr>
          </w:p>
          <w:p w:rsidR="001E4E4A" w:rsidRPr="0052009D" w:rsidRDefault="001E4E4A" w:rsidP="001E4E4A">
            <w:pPr>
              <w:jc w:val="center"/>
              <w:rPr>
                <w:b/>
                <w:bCs/>
              </w:rPr>
            </w:pPr>
          </w:p>
          <w:p w:rsidR="001E4E4A" w:rsidRPr="0052009D" w:rsidRDefault="001E4E4A" w:rsidP="001E4E4A">
            <w:pPr>
              <w:jc w:val="center"/>
            </w:pPr>
            <w:r w:rsidRPr="0052009D">
              <w:rPr>
                <w:b/>
                <w:bCs/>
              </w:rPr>
              <w:t>Discount rate</w:t>
            </w:r>
          </w:p>
        </w:tc>
        <w:tc>
          <w:tcPr>
            <w:tcW w:w="2448" w:type="dxa"/>
          </w:tcPr>
          <w:p w:rsidR="001E4E4A" w:rsidRPr="0052009D" w:rsidRDefault="001E4E4A" w:rsidP="001E4E4A">
            <w:pPr>
              <w:jc w:val="center"/>
              <w:rPr>
                <w:b/>
                <w:bCs/>
              </w:rPr>
            </w:pPr>
          </w:p>
          <w:p w:rsidR="001E4E4A" w:rsidRPr="0052009D" w:rsidRDefault="001E4E4A" w:rsidP="001E4E4A">
            <w:pPr>
              <w:jc w:val="center"/>
              <w:rPr>
                <w:b/>
                <w:bCs/>
              </w:rPr>
            </w:pPr>
          </w:p>
          <w:p w:rsidR="001E4E4A" w:rsidRPr="0052009D" w:rsidRDefault="001E4E4A" w:rsidP="001E4E4A">
            <w:pPr>
              <w:jc w:val="center"/>
              <w:rPr>
                <w:b/>
                <w:bCs/>
              </w:rPr>
            </w:pPr>
            <w:r w:rsidRPr="0052009D">
              <w:rPr>
                <w:b/>
                <w:bCs/>
              </w:rPr>
              <w:t>Total Actuarial Liability</w:t>
            </w:r>
          </w:p>
          <w:p w:rsidR="001E4E4A" w:rsidRPr="0052009D" w:rsidRDefault="001E4E4A" w:rsidP="001E4E4A">
            <w:pPr>
              <w:jc w:val="center"/>
            </w:pPr>
            <w:r w:rsidRPr="0052009D">
              <w:rPr>
                <w:b/>
                <w:bCs/>
              </w:rPr>
              <w:t>(1 billion rials)</w:t>
            </w:r>
          </w:p>
        </w:tc>
        <w:tc>
          <w:tcPr>
            <w:tcW w:w="2523" w:type="dxa"/>
          </w:tcPr>
          <w:p w:rsidR="001E4E4A" w:rsidRPr="0052009D" w:rsidRDefault="001E4E4A" w:rsidP="001E4E4A">
            <w:pPr>
              <w:jc w:val="center"/>
              <w:rPr>
                <w:b/>
                <w:bCs/>
              </w:rPr>
            </w:pPr>
            <w:r w:rsidRPr="0052009D">
              <w:rPr>
                <w:b/>
                <w:bCs/>
              </w:rPr>
              <w:t>Differences between the TAL based on the current discount rate and based on  the alternative discount rates</w:t>
            </w:r>
          </w:p>
          <w:p w:rsidR="001E4E4A" w:rsidRPr="0052009D" w:rsidRDefault="001E4E4A" w:rsidP="001E4E4A">
            <w:pPr>
              <w:jc w:val="center"/>
            </w:pPr>
            <w:r w:rsidRPr="0052009D">
              <w:rPr>
                <w:b/>
                <w:bCs/>
              </w:rPr>
              <w:t>(1 billion rials)</w:t>
            </w:r>
          </w:p>
        </w:tc>
        <w:tc>
          <w:tcPr>
            <w:tcW w:w="2165" w:type="dxa"/>
          </w:tcPr>
          <w:p w:rsidR="001E4E4A" w:rsidRPr="0052009D" w:rsidRDefault="001E4E4A" w:rsidP="001E4E4A">
            <w:pPr>
              <w:jc w:val="center"/>
              <w:rPr>
                <w:b/>
                <w:bCs/>
              </w:rPr>
            </w:pPr>
          </w:p>
          <w:p w:rsidR="001E4E4A" w:rsidRPr="0052009D" w:rsidRDefault="001E4E4A" w:rsidP="001E4E4A">
            <w:pPr>
              <w:jc w:val="center"/>
              <w:rPr>
                <w:b/>
                <w:bCs/>
              </w:rPr>
            </w:pPr>
          </w:p>
          <w:p w:rsidR="001E4E4A" w:rsidRPr="0052009D" w:rsidRDefault="001E4E4A" w:rsidP="001E4E4A">
            <w:pPr>
              <w:jc w:val="center"/>
              <w:rPr>
                <w:b/>
                <w:bCs/>
              </w:rPr>
            </w:pPr>
            <w:r w:rsidRPr="0052009D">
              <w:rPr>
                <w:b/>
                <w:bCs/>
              </w:rPr>
              <w:t>Percentage difference</w:t>
            </w:r>
          </w:p>
        </w:tc>
      </w:tr>
      <w:tr w:rsidR="0052009D" w:rsidRPr="0052009D" w:rsidTr="00D77238">
        <w:tc>
          <w:tcPr>
            <w:tcW w:w="2440"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22%</w:t>
            </w:r>
          </w:p>
        </w:tc>
        <w:tc>
          <w:tcPr>
            <w:tcW w:w="2448"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1,889</w:t>
            </w:r>
          </w:p>
          <w:p w:rsidR="001E4E4A" w:rsidRPr="0052009D" w:rsidRDefault="001E4E4A" w:rsidP="001E4E4A">
            <w:pPr>
              <w:jc w:val="center"/>
              <w:rPr>
                <w:b/>
                <w:bCs/>
                <w:sz w:val="24"/>
                <w:szCs w:val="24"/>
              </w:rPr>
            </w:pPr>
          </w:p>
        </w:tc>
        <w:tc>
          <w:tcPr>
            <w:tcW w:w="2523"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w:t>
            </w:r>
          </w:p>
        </w:tc>
        <w:tc>
          <w:tcPr>
            <w:tcW w:w="2165"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w:t>
            </w:r>
          </w:p>
        </w:tc>
      </w:tr>
      <w:tr w:rsidR="0052009D" w:rsidRPr="0052009D" w:rsidTr="00D77238">
        <w:tc>
          <w:tcPr>
            <w:tcW w:w="2440"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20%</w:t>
            </w:r>
          </w:p>
        </w:tc>
        <w:tc>
          <w:tcPr>
            <w:tcW w:w="2448"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2,615</w:t>
            </w:r>
          </w:p>
          <w:p w:rsidR="001E4E4A" w:rsidRPr="0052009D" w:rsidRDefault="001E4E4A" w:rsidP="001E4E4A">
            <w:pPr>
              <w:jc w:val="center"/>
              <w:rPr>
                <w:b/>
                <w:bCs/>
                <w:sz w:val="24"/>
                <w:szCs w:val="24"/>
              </w:rPr>
            </w:pPr>
          </w:p>
        </w:tc>
        <w:tc>
          <w:tcPr>
            <w:tcW w:w="2523"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726</w:t>
            </w:r>
          </w:p>
        </w:tc>
        <w:tc>
          <w:tcPr>
            <w:tcW w:w="2165"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38%</w:t>
            </w:r>
          </w:p>
        </w:tc>
      </w:tr>
      <w:tr w:rsidR="001E4E4A" w:rsidRPr="0052009D" w:rsidTr="00D77238">
        <w:tc>
          <w:tcPr>
            <w:tcW w:w="2440" w:type="dxa"/>
          </w:tcPr>
          <w:p w:rsidR="001E4E4A" w:rsidRPr="0052009D" w:rsidRDefault="001E4E4A" w:rsidP="001E4E4A">
            <w:pPr>
              <w:jc w:val="center"/>
              <w:rPr>
                <w:b/>
                <w:bCs/>
              </w:rPr>
            </w:pPr>
            <w:r w:rsidRPr="0052009D">
              <w:rPr>
                <w:b/>
                <w:bCs/>
              </w:rPr>
              <w:t>For the first 5 years:18%</w:t>
            </w:r>
          </w:p>
          <w:p w:rsidR="001E4E4A" w:rsidRPr="0052009D" w:rsidRDefault="001E4E4A" w:rsidP="001E4E4A">
            <w:pPr>
              <w:jc w:val="center"/>
              <w:rPr>
                <w:b/>
                <w:bCs/>
              </w:rPr>
            </w:pPr>
            <w:r w:rsidRPr="0052009D">
              <w:rPr>
                <w:b/>
                <w:bCs/>
              </w:rPr>
              <w:t>for the next 5  years:15%</w:t>
            </w:r>
          </w:p>
          <w:p w:rsidR="001E4E4A" w:rsidRPr="0052009D" w:rsidRDefault="001E4E4A" w:rsidP="001E4E4A">
            <w:pPr>
              <w:jc w:val="center"/>
              <w:rPr>
                <w:b/>
                <w:bCs/>
              </w:rPr>
            </w:pPr>
            <w:r w:rsidRPr="0052009D">
              <w:rPr>
                <w:b/>
                <w:bCs/>
              </w:rPr>
              <w:t>for the remainder years:10%</w:t>
            </w:r>
          </w:p>
          <w:p w:rsidR="001E4E4A" w:rsidRPr="0052009D" w:rsidRDefault="001E4E4A" w:rsidP="001E4E4A">
            <w:pPr>
              <w:jc w:val="center"/>
            </w:pPr>
          </w:p>
        </w:tc>
        <w:tc>
          <w:tcPr>
            <w:tcW w:w="2448"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5,552</w:t>
            </w:r>
          </w:p>
        </w:tc>
        <w:tc>
          <w:tcPr>
            <w:tcW w:w="2523"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3,663</w:t>
            </w:r>
          </w:p>
          <w:p w:rsidR="001E4E4A" w:rsidRPr="0052009D" w:rsidRDefault="001E4E4A" w:rsidP="001E4E4A">
            <w:pPr>
              <w:jc w:val="center"/>
              <w:rPr>
                <w:b/>
                <w:bCs/>
                <w:sz w:val="24"/>
                <w:szCs w:val="24"/>
              </w:rPr>
            </w:pPr>
          </w:p>
        </w:tc>
        <w:tc>
          <w:tcPr>
            <w:tcW w:w="2165"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194%</w:t>
            </w:r>
          </w:p>
        </w:tc>
      </w:tr>
    </w:tbl>
    <w:p w:rsidR="00B75999" w:rsidRPr="0052009D" w:rsidRDefault="00B75999" w:rsidP="00554980">
      <w:pPr>
        <w:spacing w:line="360" w:lineRule="auto"/>
        <w:jc w:val="both"/>
        <w:rPr>
          <w:rFonts w:ascii="Times New Roman" w:hAnsi="Times New Roman" w:cs="Times New Roman"/>
          <w:sz w:val="28"/>
          <w:szCs w:val="28"/>
        </w:rPr>
      </w:pPr>
    </w:p>
    <w:p w:rsidR="004D4C34" w:rsidRPr="0052009D" w:rsidRDefault="00F456C6" w:rsidP="00554980">
      <w:pPr>
        <w:spacing w:line="360" w:lineRule="auto"/>
        <w:jc w:val="both"/>
        <w:rPr>
          <w:rFonts w:ascii="Times New Roman" w:hAnsi="Times New Roman" w:cs="Times New Roman"/>
          <w:sz w:val="28"/>
          <w:szCs w:val="28"/>
        </w:rPr>
      </w:pPr>
      <w:r w:rsidRPr="0052009D">
        <w:rPr>
          <w:rFonts w:ascii="Times New Roman" w:hAnsi="Times New Roman" w:cs="Times New Roman"/>
          <w:sz w:val="28"/>
          <w:szCs w:val="28"/>
        </w:rPr>
        <w:t xml:space="preserve">A defined-benefit plan is considered adequately </w:t>
      </w:r>
      <w:r w:rsidRPr="0052009D">
        <w:rPr>
          <w:rFonts w:ascii="Times New Roman" w:hAnsi="Times New Roman" w:cs="Times New Roman"/>
          <w:b/>
          <w:bCs/>
          <w:sz w:val="28"/>
          <w:szCs w:val="28"/>
        </w:rPr>
        <w:t>funded</w:t>
      </w:r>
      <w:r w:rsidRPr="0052009D">
        <w:rPr>
          <w:rFonts w:ascii="Times New Roman" w:hAnsi="Times New Roman" w:cs="Times New Roman"/>
          <w:sz w:val="28"/>
          <w:szCs w:val="28"/>
        </w:rPr>
        <w:t xml:space="preserve"> if its assets equal or exceed the discounted value of its future pension liabilities. A DB "</w:t>
      </w:r>
      <w:r w:rsidRPr="0052009D">
        <w:rPr>
          <w:rFonts w:ascii="Times New Roman" w:hAnsi="Times New Roman" w:cs="Times New Roman"/>
          <w:b/>
          <w:bCs/>
          <w:sz w:val="28"/>
          <w:szCs w:val="28"/>
        </w:rPr>
        <w:t>funding ratio</w:t>
      </w:r>
      <w:r w:rsidRPr="0052009D">
        <w:rPr>
          <w:rFonts w:ascii="Times New Roman" w:hAnsi="Times New Roman" w:cs="Times New Roman"/>
          <w:sz w:val="28"/>
          <w:szCs w:val="28"/>
        </w:rPr>
        <w:t xml:space="preserve">" measures assets divided by liabilities. Most assets can be valued accurately, but as we have mentioned above, the valuation of liabilities is far more complex. Funding ratios above one will indicate the pension or annuity can cover all obligated payments. Ratios below one will reflect that it is unable to make payments or may be in </w:t>
      </w:r>
      <w:r w:rsidR="0058436E" w:rsidRPr="0052009D">
        <w:rPr>
          <w:rFonts w:ascii="Times New Roman" w:hAnsi="Times New Roman" w:cs="Times New Roman"/>
          <w:sz w:val="28"/>
          <w:szCs w:val="28"/>
        </w:rPr>
        <w:t>danger</w:t>
      </w:r>
      <w:r w:rsidRPr="0052009D">
        <w:rPr>
          <w:rFonts w:ascii="Times New Roman" w:hAnsi="Times New Roman" w:cs="Times New Roman"/>
          <w:sz w:val="28"/>
          <w:szCs w:val="28"/>
        </w:rPr>
        <w:t xml:space="preserve"> of not being about to make payments at a later time. The funding ratio is a core indicator of a pension fund’s financial health. Higher TAL will indicate that the plan is facing challenges to pay these liabilities. Lower discount rate causes the TAL to increase which will lead to a decrease in funding ratio. This will help funds to avoid understating their future obligations and will also help them to assess their situation</w:t>
      </w:r>
      <w:r w:rsidR="003A0963" w:rsidRPr="0052009D">
        <w:rPr>
          <w:rFonts w:ascii="Times New Roman" w:hAnsi="Times New Roman" w:cs="Times New Roman"/>
          <w:sz w:val="28"/>
          <w:szCs w:val="28"/>
        </w:rPr>
        <w:t xml:space="preserve"> and conditions with open eyes.</w:t>
      </w:r>
    </w:p>
    <w:p w:rsidR="001E4E4A" w:rsidRPr="0052009D" w:rsidRDefault="001E4E4A" w:rsidP="001E4E4A">
      <w:pPr>
        <w:spacing w:after="160" w:line="259" w:lineRule="auto"/>
        <w:jc w:val="center"/>
        <w:rPr>
          <w:rFonts w:ascii="Times New Roman" w:hAnsi="Times New Roman" w:cs="Times New Roman"/>
          <w:sz w:val="24"/>
          <w:szCs w:val="24"/>
          <w:lang w:bidi="fa-IR"/>
        </w:rPr>
      </w:pPr>
      <w:bookmarkStart w:id="5" w:name="_Toc474778856"/>
      <w:bookmarkStart w:id="6" w:name="_Toc474925663"/>
      <w:r w:rsidRPr="0052009D">
        <w:rPr>
          <w:rFonts w:ascii="Times New Roman" w:hAnsi="Times New Roman" w:cs="Times New Roman"/>
          <w:b/>
          <w:bCs/>
          <w:i/>
          <w:iCs/>
          <w:sz w:val="24"/>
          <w:szCs w:val="24"/>
          <w:lang w:bidi="fa-IR"/>
        </w:rPr>
        <w:t>Table 4.3.</w:t>
      </w:r>
      <w:r w:rsidRPr="0052009D">
        <w:rPr>
          <w:rFonts w:ascii="Times New Roman" w:hAnsi="Times New Roman" w:cs="Times New Roman"/>
          <w:sz w:val="24"/>
          <w:szCs w:val="24"/>
          <w:lang w:bidi="fa-IR"/>
        </w:rPr>
        <w:t xml:space="preserve"> Total Actuarial Liability under Entry Age Normal Cost method</w:t>
      </w:r>
      <w:bookmarkEnd w:id="5"/>
      <w:bookmarkEnd w:id="6"/>
    </w:p>
    <w:tbl>
      <w:tblPr>
        <w:tblStyle w:val="TableGrid2"/>
        <w:tblW w:w="0" w:type="auto"/>
        <w:tblLook w:val="04A0" w:firstRow="1" w:lastRow="0" w:firstColumn="1" w:lastColumn="0" w:noHBand="0" w:noVBand="1"/>
      </w:tblPr>
      <w:tblGrid>
        <w:gridCol w:w="2440"/>
        <w:gridCol w:w="2448"/>
        <w:gridCol w:w="2523"/>
        <w:gridCol w:w="2165"/>
      </w:tblGrid>
      <w:tr w:rsidR="0052009D" w:rsidRPr="0052009D" w:rsidTr="00D77238">
        <w:tc>
          <w:tcPr>
            <w:tcW w:w="2440" w:type="dxa"/>
          </w:tcPr>
          <w:p w:rsidR="001E4E4A" w:rsidRPr="0052009D" w:rsidRDefault="001E4E4A" w:rsidP="001E4E4A">
            <w:pPr>
              <w:jc w:val="center"/>
              <w:rPr>
                <w:b/>
                <w:bCs/>
              </w:rPr>
            </w:pPr>
          </w:p>
          <w:p w:rsidR="001E4E4A" w:rsidRPr="0052009D" w:rsidRDefault="001E4E4A" w:rsidP="001E4E4A">
            <w:pPr>
              <w:jc w:val="center"/>
              <w:rPr>
                <w:b/>
                <w:bCs/>
              </w:rPr>
            </w:pPr>
          </w:p>
          <w:p w:rsidR="001E4E4A" w:rsidRPr="0052009D" w:rsidRDefault="001E4E4A" w:rsidP="001E4E4A">
            <w:pPr>
              <w:jc w:val="center"/>
            </w:pPr>
            <w:r w:rsidRPr="0052009D">
              <w:rPr>
                <w:b/>
                <w:bCs/>
              </w:rPr>
              <w:t>Discount rate</w:t>
            </w:r>
          </w:p>
        </w:tc>
        <w:tc>
          <w:tcPr>
            <w:tcW w:w="2448" w:type="dxa"/>
          </w:tcPr>
          <w:p w:rsidR="001E4E4A" w:rsidRPr="0052009D" w:rsidRDefault="001E4E4A" w:rsidP="001E4E4A">
            <w:pPr>
              <w:jc w:val="center"/>
              <w:rPr>
                <w:b/>
                <w:bCs/>
              </w:rPr>
            </w:pPr>
          </w:p>
          <w:p w:rsidR="001E4E4A" w:rsidRPr="0052009D" w:rsidRDefault="001E4E4A" w:rsidP="001E4E4A">
            <w:pPr>
              <w:jc w:val="center"/>
              <w:rPr>
                <w:b/>
                <w:bCs/>
              </w:rPr>
            </w:pPr>
          </w:p>
          <w:p w:rsidR="001E4E4A" w:rsidRPr="0052009D" w:rsidRDefault="001E4E4A" w:rsidP="001E4E4A">
            <w:pPr>
              <w:jc w:val="center"/>
              <w:rPr>
                <w:b/>
                <w:bCs/>
              </w:rPr>
            </w:pPr>
            <w:r w:rsidRPr="0052009D">
              <w:rPr>
                <w:b/>
                <w:bCs/>
              </w:rPr>
              <w:t>Total Actuarial Liability</w:t>
            </w:r>
          </w:p>
          <w:p w:rsidR="001E4E4A" w:rsidRPr="0052009D" w:rsidRDefault="001E4E4A" w:rsidP="001E4E4A">
            <w:pPr>
              <w:jc w:val="center"/>
            </w:pPr>
            <w:r w:rsidRPr="0052009D">
              <w:rPr>
                <w:b/>
                <w:bCs/>
              </w:rPr>
              <w:t>(10 million rials)</w:t>
            </w:r>
          </w:p>
        </w:tc>
        <w:tc>
          <w:tcPr>
            <w:tcW w:w="2523" w:type="dxa"/>
          </w:tcPr>
          <w:p w:rsidR="001E4E4A" w:rsidRPr="0052009D" w:rsidRDefault="001E4E4A" w:rsidP="001E4E4A">
            <w:pPr>
              <w:jc w:val="center"/>
              <w:rPr>
                <w:b/>
                <w:bCs/>
              </w:rPr>
            </w:pPr>
            <w:r w:rsidRPr="0052009D">
              <w:rPr>
                <w:b/>
                <w:bCs/>
              </w:rPr>
              <w:t>Differences between the TAL based on the current discount rate and based on  the alternative discount rates</w:t>
            </w:r>
          </w:p>
          <w:p w:rsidR="001E4E4A" w:rsidRPr="0052009D" w:rsidRDefault="001E4E4A" w:rsidP="001E4E4A">
            <w:pPr>
              <w:jc w:val="center"/>
            </w:pPr>
            <w:r w:rsidRPr="0052009D">
              <w:rPr>
                <w:b/>
                <w:bCs/>
              </w:rPr>
              <w:t>(10 million rials)</w:t>
            </w:r>
          </w:p>
        </w:tc>
        <w:tc>
          <w:tcPr>
            <w:tcW w:w="2165" w:type="dxa"/>
          </w:tcPr>
          <w:p w:rsidR="001E4E4A" w:rsidRPr="0052009D" w:rsidRDefault="001E4E4A" w:rsidP="001E4E4A">
            <w:pPr>
              <w:jc w:val="center"/>
              <w:rPr>
                <w:b/>
                <w:bCs/>
              </w:rPr>
            </w:pPr>
          </w:p>
          <w:p w:rsidR="001E4E4A" w:rsidRPr="0052009D" w:rsidRDefault="001E4E4A" w:rsidP="001E4E4A">
            <w:pPr>
              <w:jc w:val="center"/>
              <w:rPr>
                <w:b/>
                <w:bCs/>
              </w:rPr>
            </w:pPr>
          </w:p>
          <w:p w:rsidR="001E4E4A" w:rsidRPr="0052009D" w:rsidRDefault="001E4E4A" w:rsidP="001E4E4A">
            <w:pPr>
              <w:jc w:val="center"/>
              <w:rPr>
                <w:b/>
                <w:bCs/>
              </w:rPr>
            </w:pPr>
            <w:r w:rsidRPr="0052009D">
              <w:rPr>
                <w:b/>
                <w:bCs/>
              </w:rPr>
              <w:t>Percentage difference</w:t>
            </w:r>
          </w:p>
        </w:tc>
      </w:tr>
      <w:tr w:rsidR="0052009D" w:rsidRPr="0052009D" w:rsidTr="00D77238">
        <w:tc>
          <w:tcPr>
            <w:tcW w:w="2440"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22%</w:t>
            </w:r>
          </w:p>
        </w:tc>
        <w:tc>
          <w:tcPr>
            <w:tcW w:w="2448"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111</w:t>
            </w:r>
          </w:p>
          <w:p w:rsidR="001E4E4A" w:rsidRPr="0052009D" w:rsidRDefault="001E4E4A" w:rsidP="001E4E4A">
            <w:pPr>
              <w:jc w:val="center"/>
              <w:rPr>
                <w:b/>
                <w:bCs/>
                <w:sz w:val="24"/>
                <w:szCs w:val="24"/>
              </w:rPr>
            </w:pPr>
          </w:p>
        </w:tc>
        <w:tc>
          <w:tcPr>
            <w:tcW w:w="2523"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w:t>
            </w:r>
          </w:p>
        </w:tc>
        <w:tc>
          <w:tcPr>
            <w:tcW w:w="2165"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w:t>
            </w:r>
          </w:p>
        </w:tc>
      </w:tr>
      <w:tr w:rsidR="0052009D" w:rsidRPr="0052009D" w:rsidTr="00D77238">
        <w:tc>
          <w:tcPr>
            <w:tcW w:w="2440"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20%</w:t>
            </w:r>
          </w:p>
        </w:tc>
        <w:tc>
          <w:tcPr>
            <w:tcW w:w="2448"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148</w:t>
            </w:r>
          </w:p>
          <w:p w:rsidR="001E4E4A" w:rsidRPr="0052009D" w:rsidRDefault="001E4E4A" w:rsidP="001E4E4A">
            <w:pPr>
              <w:jc w:val="center"/>
              <w:rPr>
                <w:b/>
                <w:bCs/>
                <w:sz w:val="24"/>
                <w:szCs w:val="24"/>
              </w:rPr>
            </w:pPr>
          </w:p>
        </w:tc>
        <w:tc>
          <w:tcPr>
            <w:tcW w:w="2523"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37</w:t>
            </w:r>
          </w:p>
          <w:p w:rsidR="001E4E4A" w:rsidRPr="0052009D" w:rsidRDefault="001E4E4A" w:rsidP="001E4E4A">
            <w:pPr>
              <w:jc w:val="center"/>
              <w:rPr>
                <w:b/>
                <w:bCs/>
                <w:sz w:val="24"/>
                <w:szCs w:val="24"/>
              </w:rPr>
            </w:pPr>
          </w:p>
        </w:tc>
        <w:tc>
          <w:tcPr>
            <w:tcW w:w="2165"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33%</w:t>
            </w:r>
          </w:p>
        </w:tc>
      </w:tr>
      <w:tr w:rsidR="001E4E4A" w:rsidRPr="0052009D" w:rsidTr="00D77238">
        <w:tc>
          <w:tcPr>
            <w:tcW w:w="2440" w:type="dxa"/>
          </w:tcPr>
          <w:p w:rsidR="001E4E4A" w:rsidRPr="0052009D" w:rsidRDefault="001E4E4A" w:rsidP="001E4E4A">
            <w:pPr>
              <w:jc w:val="center"/>
              <w:rPr>
                <w:b/>
                <w:bCs/>
              </w:rPr>
            </w:pPr>
            <w:r w:rsidRPr="0052009D">
              <w:rPr>
                <w:b/>
                <w:bCs/>
              </w:rPr>
              <w:t>For the first 5 years:18%</w:t>
            </w:r>
          </w:p>
          <w:p w:rsidR="001E4E4A" w:rsidRPr="0052009D" w:rsidRDefault="001E4E4A" w:rsidP="001E4E4A">
            <w:pPr>
              <w:jc w:val="center"/>
              <w:rPr>
                <w:b/>
                <w:bCs/>
              </w:rPr>
            </w:pPr>
            <w:r w:rsidRPr="0052009D">
              <w:rPr>
                <w:b/>
                <w:bCs/>
              </w:rPr>
              <w:t>for the next 5  years:15%</w:t>
            </w:r>
          </w:p>
          <w:p w:rsidR="001E4E4A" w:rsidRPr="0052009D" w:rsidRDefault="001E4E4A" w:rsidP="001E4E4A">
            <w:pPr>
              <w:jc w:val="center"/>
              <w:rPr>
                <w:b/>
                <w:bCs/>
              </w:rPr>
            </w:pPr>
            <w:r w:rsidRPr="0052009D">
              <w:rPr>
                <w:b/>
                <w:bCs/>
              </w:rPr>
              <w:t>for the remainder years:10%</w:t>
            </w:r>
          </w:p>
          <w:p w:rsidR="001E4E4A" w:rsidRPr="0052009D" w:rsidRDefault="001E4E4A" w:rsidP="001E4E4A">
            <w:pPr>
              <w:jc w:val="center"/>
            </w:pPr>
          </w:p>
        </w:tc>
        <w:tc>
          <w:tcPr>
            <w:tcW w:w="2448"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270</w:t>
            </w:r>
          </w:p>
        </w:tc>
        <w:tc>
          <w:tcPr>
            <w:tcW w:w="2523"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159</w:t>
            </w:r>
          </w:p>
          <w:p w:rsidR="001E4E4A" w:rsidRPr="0052009D" w:rsidRDefault="001E4E4A" w:rsidP="001E4E4A">
            <w:pPr>
              <w:jc w:val="center"/>
              <w:rPr>
                <w:b/>
                <w:bCs/>
                <w:sz w:val="24"/>
                <w:szCs w:val="24"/>
              </w:rPr>
            </w:pPr>
          </w:p>
        </w:tc>
        <w:tc>
          <w:tcPr>
            <w:tcW w:w="2165" w:type="dxa"/>
          </w:tcPr>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p>
          <w:p w:rsidR="001E4E4A" w:rsidRPr="0052009D" w:rsidRDefault="001E4E4A" w:rsidP="001E4E4A">
            <w:pPr>
              <w:jc w:val="center"/>
              <w:rPr>
                <w:b/>
                <w:bCs/>
                <w:sz w:val="24"/>
                <w:szCs w:val="24"/>
              </w:rPr>
            </w:pPr>
            <w:r w:rsidRPr="0052009D">
              <w:rPr>
                <w:b/>
                <w:bCs/>
                <w:sz w:val="24"/>
                <w:szCs w:val="24"/>
              </w:rPr>
              <w:t>143%</w:t>
            </w:r>
          </w:p>
        </w:tc>
      </w:tr>
    </w:tbl>
    <w:p w:rsidR="00730002" w:rsidRPr="0052009D" w:rsidRDefault="00730002" w:rsidP="00730002">
      <w:pPr>
        <w:spacing w:line="360" w:lineRule="auto"/>
        <w:jc w:val="both"/>
        <w:rPr>
          <w:rFonts w:ascii="Times New Roman" w:hAnsi="Times New Roman" w:cs="Times New Roman"/>
          <w:sz w:val="28"/>
          <w:szCs w:val="28"/>
        </w:rPr>
      </w:pPr>
    </w:p>
    <w:p w:rsidR="0058436E" w:rsidRPr="0052009D" w:rsidRDefault="0058436E" w:rsidP="0058436E">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Based on the standard 27 rules of Iranian audit organization, the accountants report’s information is used by the board of directors, the members of the funds and the plan’s sponsors. Each of these sectors acts differently when encountering this information. </w:t>
      </w:r>
    </w:p>
    <w:p w:rsidR="0058436E" w:rsidRPr="0052009D" w:rsidRDefault="0058436E" w:rsidP="001479F3">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From the perspective of the members of the fund and the board of directors, the realistic actuarial liability based on the rational discount rate is more favorable even if it causes fear. The more realistic discount rate avoids masking plan funding issues that could impact future generations of retirees and plan members. For example</w:t>
      </w:r>
      <w:r w:rsidR="001479F3" w:rsidRPr="0052009D">
        <w:rPr>
          <w:rFonts w:ascii="Times New Roman" w:hAnsi="Times New Roman" w:cs="Times New Roman"/>
          <w:sz w:val="28"/>
          <w:szCs w:val="28"/>
          <w:lang w:bidi="fa-IR"/>
        </w:rPr>
        <w:t xml:space="preserve">, if the assumption is too high, </w:t>
      </w:r>
      <w:r w:rsidRPr="0052009D">
        <w:rPr>
          <w:rFonts w:ascii="Times New Roman" w:hAnsi="Times New Roman" w:cs="Times New Roman"/>
          <w:sz w:val="28"/>
          <w:szCs w:val="28"/>
          <w:lang w:bidi="fa-IR"/>
        </w:rPr>
        <w:t xml:space="preserve">a </w:t>
      </w:r>
      <w:r w:rsidR="001479F3" w:rsidRPr="0052009D">
        <w:rPr>
          <w:rFonts w:ascii="Times New Roman" w:hAnsi="Times New Roman" w:cs="Times New Roman"/>
          <w:sz w:val="28"/>
          <w:szCs w:val="28"/>
          <w:lang w:bidi="fa-IR"/>
        </w:rPr>
        <w:t>funding shortfall could result that requires</w:t>
      </w:r>
      <w:r w:rsidRPr="0052009D">
        <w:rPr>
          <w:rFonts w:ascii="Times New Roman" w:hAnsi="Times New Roman" w:cs="Times New Roman"/>
          <w:sz w:val="28"/>
          <w:szCs w:val="28"/>
          <w:lang w:bidi="fa-IR"/>
        </w:rPr>
        <w:t xml:space="preserve"> younger and future plan members to contribute more to the pension plan, receive lower benefits, or both. If the assumption is too low, current members could pay more than necessary for their pensions or benefits may be reduced more than necessary.</w:t>
      </w:r>
    </w:p>
    <w:p w:rsidR="0058436E" w:rsidRPr="0052009D" w:rsidRDefault="0058436E" w:rsidP="001479F3">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On the other hand, from the perspective of the plan’s sponsors higher actuarial liability is not favorable because they have to cover the shortfalls. So they explicitly prefer pension boards to use higher discount rate in order to decrease annual pension contributions because they </w:t>
      </w:r>
      <w:r w:rsidR="001479F3" w:rsidRPr="0052009D">
        <w:rPr>
          <w:rFonts w:ascii="Times New Roman" w:hAnsi="Times New Roman" w:cs="Times New Roman"/>
          <w:sz w:val="28"/>
          <w:szCs w:val="28"/>
          <w:lang w:bidi="fa-IR"/>
        </w:rPr>
        <w:t>believe</w:t>
      </w:r>
      <w:r w:rsidRPr="0052009D">
        <w:rPr>
          <w:rFonts w:ascii="Times New Roman" w:hAnsi="Times New Roman" w:cs="Times New Roman"/>
          <w:sz w:val="28"/>
          <w:szCs w:val="28"/>
          <w:lang w:bidi="fa-IR"/>
        </w:rPr>
        <w:t xml:space="preserve"> that increasing discount rates reduces the cost of pensions. However, changing the discount rate does not reduce the true, long-term cost of a pension.</w:t>
      </w:r>
    </w:p>
    <w:p w:rsidR="00135E3B" w:rsidRPr="0052009D" w:rsidRDefault="00135E3B" w:rsidP="00135E3B">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Given the results of the application of two actuarial cost methods, we can see that the TAL is lower in EAN method than in PUC method. Both methods create a distinction between past service liability, and current normal cost, as a part of the total projected liability. Entry age normal method allocates the present value of </w:t>
      </w:r>
      <w:r w:rsidR="00D5003C" w:rsidRPr="0052009D">
        <w:rPr>
          <w:rFonts w:ascii="Times New Roman" w:hAnsi="Times New Roman" w:cs="Times New Roman"/>
          <w:sz w:val="28"/>
          <w:szCs w:val="28"/>
          <w:lang w:bidi="fa-IR"/>
        </w:rPr>
        <w:t xml:space="preserve">future </w:t>
      </w:r>
      <w:r w:rsidRPr="0052009D">
        <w:rPr>
          <w:rFonts w:ascii="Times New Roman" w:hAnsi="Times New Roman" w:cs="Times New Roman"/>
          <w:sz w:val="28"/>
          <w:szCs w:val="28"/>
          <w:lang w:bidi="fa-IR"/>
        </w:rPr>
        <w:t>benefits (PV</w:t>
      </w:r>
      <w:r w:rsidR="00D5003C" w:rsidRPr="0052009D">
        <w:rPr>
          <w:rFonts w:ascii="Times New Roman" w:hAnsi="Times New Roman" w:cs="Times New Roman"/>
          <w:sz w:val="28"/>
          <w:szCs w:val="28"/>
          <w:lang w:bidi="fa-IR"/>
        </w:rPr>
        <w:t>F</w:t>
      </w:r>
      <w:r w:rsidRPr="0052009D">
        <w:rPr>
          <w:rFonts w:ascii="Times New Roman" w:hAnsi="Times New Roman" w:cs="Times New Roman"/>
          <w:sz w:val="28"/>
          <w:szCs w:val="28"/>
          <w:lang w:bidi="fa-IR"/>
        </w:rPr>
        <w:t>B) of a member over the working lifetime of that member, from his or her “entry age,” or date of membership, through his or her assumed exit age(s). Unit credit allocates the PV</w:t>
      </w:r>
      <w:r w:rsidR="00D5003C" w:rsidRPr="0052009D">
        <w:rPr>
          <w:rFonts w:ascii="Times New Roman" w:hAnsi="Times New Roman" w:cs="Times New Roman"/>
          <w:sz w:val="28"/>
          <w:szCs w:val="28"/>
          <w:lang w:bidi="fa-IR"/>
        </w:rPr>
        <w:t>F</w:t>
      </w:r>
      <w:r w:rsidRPr="0052009D">
        <w:rPr>
          <w:rFonts w:ascii="Times New Roman" w:hAnsi="Times New Roman" w:cs="Times New Roman"/>
          <w:sz w:val="28"/>
          <w:szCs w:val="28"/>
          <w:lang w:bidi="fa-IR"/>
        </w:rPr>
        <w:t>B of a member based on benefits accrued as of the valuation date. If the benefit is pay-related, this allocation would reflect the impact of future pay increases and is referred to as projected unit credit.</w:t>
      </w:r>
    </w:p>
    <w:p w:rsidR="00135E3B" w:rsidRPr="0052009D" w:rsidRDefault="00135E3B" w:rsidP="00154BE8">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Under the </w:t>
      </w:r>
      <w:r w:rsidR="00154BE8" w:rsidRPr="0052009D">
        <w:rPr>
          <w:rFonts w:ascii="Times New Roman" w:hAnsi="Times New Roman" w:cs="Times New Roman"/>
          <w:sz w:val="28"/>
          <w:szCs w:val="28"/>
          <w:lang w:bidi="fa-IR"/>
        </w:rPr>
        <w:t>EAN</w:t>
      </w:r>
      <w:r w:rsidRPr="0052009D">
        <w:rPr>
          <w:rFonts w:ascii="Times New Roman" w:hAnsi="Times New Roman" w:cs="Times New Roman"/>
          <w:sz w:val="28"/>
          <w:szCs w:val="28"/>
          <w:lang w:bidi="fa-IR"/>
        </w:rPr>
        <w:t xml:space="preserve"> cost method, the actuary projects the contributions needed each year to finance an employee’s benefits and then levels those contributions over the entire period the employee is expected to participate in the plan. Under the </w:t>
      </w:r>
      <w:r w:rsidR="00154BE8" w:rsidRPr="0052009D">
        <w:rPr>
          <w:rFonts w:ascii="Times New Roman" w:hAnsi="Times New Roman" w:cs="Times New Roman"/>
          <w:sz w:val="28"/>
          <w:szCs w:val="28"/>
          <w:lang w:bidi="fa-IR"/>
        </w:rPr>
        <w:t>PUC</w:t>
      </w:r>
      <w:r w:rsidRPr="0052009D">
        <w:rPr>
          <w:rFonts w:ascii="Times New Roman" w:hAnsi="Times New Roman" w:cs="Times New Roman"/>
          <w:sz w:val="28"/>
          <w:szCs w:val="28"/>
          <w:lang w:bidi="fa-IR"/>
        </w:rPr>
        <w:t xml:space="preserve"> method, contributions are made as benefits accrue, so they start low and increase each year. In addition, because the PUC method allocates a large portion of the required future contributions to normal cost than does the EAN method, it usually yields a substantially higher unfunded liability (Soto, 2008).</w:t>
      </w:r>
    </w:p>
    <w:p w:rsidR="00135E3B" w:rsidRPr="0052009D" w:rsidRDefault="00135E3B" w:rsidP="00154BE8">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The </w:t>
      </w:r>
      <w:r w:rsidR="00154BE8" w:rsidRPr="0052009D">
        <w:rPr>
          <w:rFonts w:ascii="Times New Roman" w:hAnsi="Times New Roman" w:cs="Times New Roman"/>
          <w:sz w:val="28"/>
          <w:szCs w:val="28"/>
          <w:lang w:bidi="fa-IR"/>
        </w:rPr>
        <w:t>EAN</w:t>
      </w:r>
      <w:r w:rsidRPr="0052009D">
        <w:rPr>
          <w:rFonts w:ascii="Times New Roman" w:hAnsi="Times New Roman" w:cs="Times New Roman"/>
          <w:sz w:val="28"/>
          <w:szCs w:val="28"/>
          <w:lang w:bidi="fa-IR"/>
        </w:rPr>
        <w:t xml:space="preserve"> cost is higher than normal cost under </w:t>
      </w:r>
      <w:r w:rsidR="00154BE8" w:rsidRPr="0052009D">
        <w:rPr>
          <w:rFonts w:ascii="Times New Roman" w:hAnsi="Times New Roman" w:cs="Times New Roman"/>
          <w:sz w:val="28"/>
          <w:szCs w:val="28"/>
          <w:lang w:bidi="fa-IR"/>
        </w:rPr>
        <w:t>PUC method</w:t>
      </w:r>
      <w:r w:rsidRPr="0052009D">
        <w:rPr>
          <w:rFonts w:ascii="Times New Roman" w:hAnsi="Times New Roman" w:cs="Times New Roman"/>
          <w:sz w:val="28"/>
          <w:szCs w:val="28"/>
          <w:lang w:bidi="fa-IR"/>
        </w:rPr>
        <w:t xml:space="preserve"> upon entry, but it remains level as a percentage of pay throughout the member’s assumed working lifetime. Under </w:t>
      </w:r>
      <w:r w:rsidR="00154BE8" w:rsidRPr="0052009D">
        <w:rPr>
          <w:rFonts w:ascii="Times New Roman" w:hAnsi="Times New Roman" w:cs="Times New Roman"/>
          <w:sz w:val="28"/>
          <w:szCs w:val="28"/>
          <w:lang w:bidi="fa-IR"/>
        </w:rPr>
        <w:t>PUC method</w:t>
      </w:r>
      <w:r w:rsidRPr="0052009D">
        <w:rPr>
          <w:rFonts w:ascii="Times New Roman" w:hAnsi="Times New Roman" w:cs="Times New Roman"/>
          <w:sz w:val="28"/>
          <w:szCs w:val="28"/>
          <w:lang w:bidi="fa-IR"/>
        </w:rPr>
        <w:t xml:space="preserve">, the normal cost increases dramatically as the member approaches retirement. </w:t>
      </w:r>
      <w:r w:rsidR="00154BE8" w:rsidRPr="0052009D">
        <w:rPr>
          <w:rFonts w:ascii="Times New Roman" w:hAnsi="Times New Roman" w:cs="Times New Roman"/>
          <w:sz w:val="28"/>
          <w:szCs w:val="28"/>
          <w:lang w:bidi="fa-IR"/>
        </w:rPr>
        <w:t xml:space="preserve">PUC method </w:t>
      </w:r>
      <w:r w:rsidRPr="0052009D">
        <w:rPr>
          <w:rFonts w:ascii="Times New Roman" w:hAnsi="Times New Roman" w:cs="Times New Roman"/>
          <w:sz w:val="28"/>
          <w:szCs w:val="28"/>
          <w:lang w:bidi="fa-IR"/>
        </w:rPr>
        <w:t xml:space="preserve">produces an increasing cost over the member’s working lifetime, because each additional year of service is one year closer to the commencement of benefits. </w:t>
      </w:r>
    </w:p>
    <w:p w:rsidR="00135E3B" w:rsidRPr="0052009D" w:rsidRDefault="00135E3B" w:rsidP="00154BE8">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As we have seen in table 4.1, the pension fund that we have used its data, is still at </w:t>
      </w:r>
      <w:r w:rsidR="00E079AD" w:rsidRPr="0052009D">
        <w:rPr>
          <w:rFonts w:ascii="Times New Roman" w:hAnsi="Times New Roman" w:cs="Times New Roman"/>
          <w:sz w:val="28"/>
          <w:szCs w:val="28"/>
          <w:lang w:bidi="fa-IR"/>
        </w:rPr>
        <w:t>its</w:t>
      </w:r>
      <w:r w:rsidRPr="0052009D">
        <w:rPr>
          <w:rFonts w:ascii="Times New Roman" w:hAnsi="Times New Roman" w:cs="Times New Roman"/>
          <w:sz w:val="28"/>
          <w:szCs w:val="28"/>
          <w:lang w:bidi="fa-IR"/>
        </w:rPr>
        <w:t xml:space="preserve"> early stages or in other words, it is a young fund (the average year of service for male employees is 10 years and for female employees is equal to 9 years). Consequently, the amount of Normal Cost for </w:t>
      </w:r>
      <w:r w:rsidR="00154BE8" w:rsidRPr="0052009D">
        <w:rPr>
          <w:rFonts w:ascii="Times New Roman" w:hAnsi="Times New Roman" w:cs="Times New Roman"/>
          <w:sz w:val="28"/>
          <w:szCs w:val="28"/>
          <w:lang w:bidi="fa-IR"/>
        </w:rPr>
        <w:t>EAN</w:t>
      </w:r>
      <w:r w:rsidRPr="0052009D">
        <w:rPr>
          <w:rFonts w:ascii="Times New Roman" w:hAnsi="Times New Roman" w:cs="Times New Roman"/>
          <w:sz w:val="28"/>
          <w:szCs w:val="28"/>
          <w:lang w:bidi="fa-IR"/>
        </w:rPr>
        <w:t xml:space="preserve"> method is greater that </w:t>
      </w:r>
      <w:r w:rsidR="00154BE8" w:rsidRPr="0052009D">
        <w:rPr>
          <w:rFonts w:ascii="Times New Roman" w:hAnsi="Times New Roman" w:cs="Times New Roman"/>
          <w:sz w:val="28"/>
          <w:szCs w:val="28"/>
          <w:lang w:bidi="fa-IR"/>
        </w:rPr>
        <w:t>PUC</w:t>
      </w:r>
      <w:r w:rsidRPr="0052009D">
        <w:rPr>
          <w:rFonts w:ascii="Times New Roman" w:hAnsi="Times New Roman" w:cs="Times New Roman"/>
          <w:sz w:val="28"/>
          <w:szCs w:val="28"/>
          <w:lang w:bidi="fa-IR"/>
        </w:rPr>
        <w:t xml:space="preserve"> method. Hence, the </w:t>
      </w:r>
      <w:r w:rsidR="00154BE8" w:rsidRPr="0052009D">
        <w:rPr>
          <w:rFonts w:ascii="Times New Roman" w:hAnsi="Times New Roman" w:cs="Times New Roman"/>
          <w:sz w:val="28"/>
          <w:szCs w:val="28"/>
          <w:lang w:bidi="fa-IR"/>
        </w:rPr>
        <w:t>TAL</w:t>
      </w:r>
      <w:r w:rsidRPr="0052009D">
        <w:rPr>
          <w:rFonts w:ascii="Times New Roman" w:hAnsi="Times New Roman" w:cs="Times New Roman"/>
          <w:sz w:val="28"/>
          <w:szCs w:val="28"/>
          <w:lang w:bidi="fa-IR"/>
        </w:rPr>
        <w:t xml:space="preserve"> for </w:t>
      </w:r>
      <w:r w:rsidR="00154BE8" w:rsidRPr="0052009D">
        <w:rPr>
          <w:rFonts w:ascii="Times New Roman" w:hAnsi="Times New Roman" w:cs="Times New Roman"/>
          <w:sz w:val="28"/>
          <w:szCs w:val="28"/>
          <w:lang w:bidi="fa-IR"/>
        </w:rPr>
        <w:t>PUC</w:t>
      </w:r>
      <w:r w:rsidRPr="0052009D">
        <w:rPr>
          <w:rFonts w:ascii="Times New Roman" w:hAnsi="Times New Roman" w:cs="Times New Roman"/>
          <w:sz w:val="28"/>
          <w:szCs w:val="28"/>
          <w:lang w:bidi="fa-IR"/>
        </w:rPr>
        <w:t xml:space="preserve"> method is larger than the </w:t>
      </w:r>
      <w:r w:rsidR="00154BE8" w:rsidRPr="0052009D">
        <w:rPr>
          <w:rFonts w:ascii="Times New Roman" w:hAnsi="Times New Roman" w:cs="Times New Roman"/>
          <w:sz w:val="28"/>
          <w:szCs w:val="28"/>
          <w:lang w:bidi="fa-IR"/>
        </w:rPr>
        <w:t>TAL</w:t>
      </w:r>
      <w:r w:rsidRPr="0052009D">
        <w:rPr>
          <w:rFonts w:ascii="Times New Roman" w:hAnsi="Times New Roman" w:cs="Times New Roman"/>
          <w:sz w:val="28"/>
          <w:szCs w:val="28"/>
          <w:lang w:bidi="fa-IR"/>
        </w:rPr>
        <w:t xml:space="preserve"> for </w:t>
      </w:r>
      <w:r w:rsidR="00154BE8" w:rsidRPr="0052009D">
        <w:rPr>
          <w:rFonts w:ascii="Times New Roman" w:hAnsi="Times New Roman" w:cs="Times New Roman"/>
          <w:sz w:val="28"/>
          <w:szCs w:val="28"/>
          <w:lang w:bidi="fa-IR"/>
        </w:rPr>
        <w:t>EAN</w:t>
      </w:r>
      <w:r w:rsidRPr="0052009D">
        <w:rPr>
          <w:rFonts w:ascii="Times New Roman" w:hAnsi="Times New Roman" w:cs="Times New Roman"/>
          <w:sz w:val="28"/>
          <w:szCs w:val="28"/>
          <w:lang w:bidi="fa-IR"/>
        </w:rPr>
        <w:t xml:space="preserve"> method, since: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tblGrid>
      <w:tr w:rsidR="0052009D" w:rsidRPr="0052009D" w:rsidTr="00D77238">
        <w:tc>
          <w:tcPr>
            <w:tcW w:w="8388" w:type="dxa"/>
          </w:tcPr>
          <w:p w:rsidR="00854F85" w:rsidRPr="0052009D" w:rsidRDefault="00855B4F" w:rsidP="00135E3B">
            <w:pPr>
              <w:spacing w:line="360" w:lineRule="auto"/>
              <w:jc w:val="center"/>
              <w:rPr>
                <w:rFonts w:ascii="Times New Roman" w:hAnsi="Times New Roman" w:cs="Times New Roman"/>
                <w:sz w:val="28"/>
                <w:szCs w:val="28"/>
                <w:lang w:bidi="fa-IR"/>
              </w:rPr>
            </w:pPr>
            <m:oMathPara>
              <m:oMath>
                <m:sSub>
                  <m:sSubPr>
                    <m:ctrlPr>
                      <w:rPr>
                        <w:rFonts w:ascii="Cambria Math" w:hAnsi="Cambria Math" w:cs="Times New Roman"/>
                        <w:i/>
                        <w:sz w:val="28"/>
                        <w:szCs w:val="28"/>
                        <w:lang w:bidi="fa-IR"/>
                      </w:rPr>
                    </m:ctrlPr>
                  </m:sSubPr>
                  <m:e>
                    <m:r>
                      <w:rPr>
                        <w:rFonts w:ascii="Cambria Math" w:hAnsi="Cambria Math" w:cs="Times New Roman"/>
                        <w:sz w:val="28"/>
                        <w:szCs w:val="28"/>
                        <w:lang w:bidi="fa-IR"/>
                      </w:rPr>
                      <m:t>AL</m:t>
                    </m:r>
                  </m:e>
                  <m:sub>
                    <m:r>
                      <w:rPr>
                        <w:rFonts w:ascii="Cambria Math" w:hAnsi="Cambria Math" w:cs="Times New Roman"/>
                        <w:sz w:val="28"/>
                        <w:szCs w:val="28"/>
                        <w:lang w:bidi="fa-IR"/>
                      </w:rPr>
                      <m:t>x</m:t>
                    </m:r>
                  </m:sub>
                </m:sSub>
                <m:r>
                  <w:rPr>
                    <w:rFonts w:ascii="Cambria Math" w:hAnsi="Cambria Math" w:cs="Times New Roman"/>
                    <w:sz w:val="28"/>
                    <w:szCs w:val="28"/>
                    <w:lang w:bidi="fa-IR"/>
                  </w:rPr>
                  <m:t>=PVB-</m:t>
                </m:r>
                <m:sSub>
                  <m:sSubPr>
                    <m:ctrlPr>
                      <w:rPr>
                        <w:rFonts w:ascii="Cambria Math" w:hAnsi="Cambria Math" w:cs="Times New Roman"/>
                        <w:i/>
                        <w:sz w:val="28"/>
                        <w:szCs w:val="28"/>
                        <w:lang w:bidi="fa-IR"/>
                      </w:rPr>
                    </m:ctrlPr>
                  </m:sSubPr>
                  <m:e>
                    <m:r>
                      <w:rPr>
                        <w:rFonts w:ascii="Cambria Math" w:hAnsi="Cambria Math" w:cs="Times New Roman"/>
                        <w:sz w:val="28"/>
                        <w:szCs w:val="28"/>
                        <w:lang w:bidi="fa-IR"/>
                      </w:rPr>
                      <m:t>PVNC</m:t>
                    </m:r>
                  </m:e>
                  <m:sub>
                    <m:r>
                      <w:rPr>
                        <w:rFonts w:ascii="Cambria Math" w:hAnsi="Cambria Math" w:cs="Times New Roman"/>
                        <w:sz w:val="28"/>
                        <w:szCs w:val="28"/>
                        <w:lang w:bidi="fa-IR"/>
                      </w:rPr>
                      <m:t>x</m:t>
                    </m:r>
                  </m:sub>
                </m:sSub>
              </m:oMath>
            </m:oMathPara>
          </w:p>
        </w:tc>
      </w:tr>
    </w:tbl>
    <w:p w:rsidR="00135E3B" w:rsidRPr="0052009D" w:rsidRDefault="00854F85" w:rsidP="00135E3B">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keeping in mind that the calculation of present value of future benefit is the same for both methods.</w:t>
      </w:r>
    </w:p>
    <w:p w:rsidR="00854F85" w:rsidRPr="0052009D" w:rsidRDefault="00854F85" w:rsidP="0061618D">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Based on financial theory, a discount rate should reflect the timing and riskiness of the promised value of future cash flows. Thus, pension funds that are more mature, whose liabilities have shorter duration and are more likely to be paid, should use lower discount rates than younger funds because the yield curve is generally upward sloping. Another reason why mature funds should use lower discount rates is because their projected liabilities are more akin to those of a (shorter duration) bond rather than of equity (L</w:t>
      </w:r>
      <w:r w:rsidR="0061618D" w:rsidRPr="0052009D">
        <w:rPr>
          <w:rFonts w:ascii="Times New Roman" w:hAnsi="Times New Roman" w:cs="Times New Roman"/>
          <w:sz w:val="28"/>
          <w:szCs w:val="28"/>
          <w:lang w:bidi="fa-IR"/>
        </w:rPr>
        <w:t xml:space="preserve">ucas and Zeldes, 2006; Benzoni et al, </w:t>
      </w:r>
      <w:r w:rsidRPr="0052009D">
        <w:rPr>
          <w:rFonts w:ascii="Times New Roman" w:hAnsi="Times New Roman" w:cs="Times New Roman"/>
          <w:sz w:val="28"/>
          <w:szCs w:val="28"/>
          <w:lang w:bidi="fa-IR"/>
        </w:rPr>
        <w:t>2007).</w:t>
      </w:r>
    </w:p>
    <w:p w:rsidR="00854F85" w:rsidRPr="0052009D" w:rsidRDefault="00854F85" w:rsidP="00154BE8">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The shift from the </w:t>
      </w:r>
      <w:r w:rsidR="00154BE8" w:rsidRPr="0052009D">
        <w:rPr>
          <w:rFonts w:ascii="Times New Roman" w:hAnsi="Times New Roman" w:cs="Times New Roman"/>
          <w:sz w:val="28"/>
          <w:szCs w:val="28"/>
          <w:lang w:bidi="fa-IR"/>
        </w:rPr>
        <w:t>PUC</w:t>
      </w:r>
      <w:r w:rsidRPr="0052009D">
        <w:rPr>
          <w:rFonts w:ascii="Times New Roman" w:hAnsi="Times New Roman" w:cs="Times New Roman"/>
          <w:sz w:val="28"/>
          <w:szCs w:val="28"/>
          <w:lang w:bidi="fa-IR"/>
        </w:rPr>
        <w:t xml:space="preserve"> method to </w:t>
      </w:r>
      <w:r w:rsidR="00154BE8" w:rsidRPr="0052009D">
        <w:rPr>
          <w:rFonts w:ascii="Times New Roman" w:hAnsi="Times New Roman" w:cs="Times New Roman"/>
          <w:sz w:val="28"/>
          <w:szCs w:val="28"/>
          <w:lang w:bidi="fa-IR"/>
        </w:rPr>
        <w:t>EAN</w:t>
      </w:r>
      <w:r w:rsidRPr="0052009D">
        <w:rPr>
          <w:rFonts w:ascii="Times New Roman" w:hAnsi="Times New Roman" w:cs="Times New Roman"/>
          <w:sz w:val="28"/>
          <w:szCs w:val="28"/>
          <w:lang w:bidi="fa-IR"/>
        </w:rPr>
        <w:t xml:space="preserve"> cost method results in higher costs early in a worker’s career and lower costs later when the fund matures (Munnell and</w:t>
      </w:r>
      <w:r w:rsidRPr="0052009D">
        <w:rPr>
          <w:rFonts w:ascii="ArialMT" w:eastAsia="ArialMT" w:cs="ArialMT"/>
          <w:sz w:val="20"/>
          <w:szCs w:val="20"/>
        </w:rPr>
        <w:t xml:space="preserve"> </w:t>
      </w:r>
      <w:r w:rsidRPr="0052009D">
        <w:rPr>
          <w:rFonts w:ascii="Times New Roman" w:hAnsi="Times New Roman" w:cs="Times New Roman"/>
          <w:sz w:val="28"/>
          <w:szCs w:val="28"/>
          <w:lang w:bidi="fa-IR"/>
        </w:rPr>
        <w:t>Soto, 2004).</w:t>
      </w:r>
    </w:p>
    <w:p w:rsidR="0058436E" w:rsidRPr="0052009D" w:rsidRDefault="0058436E" w:rsidP="0058436E">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In </w:t>
      </w:r>
      <w:r w:rsidRPr="0052009D">
        <w:rPr>
          <w:rFonts w:ascii="Times New Roman" w:hAnsi="Times New Roman" w:cs="Times New Roman"/>
          <w:sz w:val="28"/>
          <w:szCs w:val="28"/>
          <w:lang w:val="en" w:bidi="fa-IR"/>
        </w:rPr>
        <w:t xml:space="preserve">foreign countries, a financial report is as important as the accountant’s report. They also let their companies take advantage of the best actuarial cost method that they consider suitable. As a consequence, competition between companies will also increase. However, in Iran, companies do not pay homage to their financial report.  Also, based </w:t>
      </w:r>
      <w:r w:rsidRPr="0052009D">
        <w:rPr>
          <w:rFonts w:ascii="Times New Roman" w:hAnsi="Times New Roman" w:cs="Times New Roman"/>
          <w:sz w:val="28"/>
          <w:szCs w:val="28"/>
          <w:lang w:bidi="fa-IR"/>
        </w:rPr>
        <w:t xml:space="preserve">on the standard 27 rules of the Iranian audit organization, companies are obliged to follow PUC method for their calculations. </w:t>
      </w:r>
    </w:p>
    <w:p w:rsidR="00C82F3C" w:rsidRPr="0052009D" w:rsidRDefault="0058436E" w:rsidP="00B75999">
      <w:pPr>
        <w:spacing w:line="360" w:lineRule="auto"/>
        <w:jc w:val="both"/>
        <w:rPr>
          <w:rFonts w:ascii="Times New Roman" w:hAnsi="Times New Roman" w:cs="Times New Roman"/>
          <w:sz w:val="28"/>
          <w:szCs w:val="28"/>
          <w:lang w:val="en" w:bidi="fa-IR"/>
        </w:rPr>
      </w:pPr>
      <w:r w:rsidRPr="0052009D">
        <w:rPr>
          <w:rFonts w:ascii="Times New Roman" w:hAnsi="Times New Roman" w:cs="Times New Roman"/>
          <w:sz w:val="28"/>
          <w:szCs w:val="28"/>
          <w:lang w:val="en" w:bidi="fa-IR"/>
        </w:rPr>
        <w:t>Our calculation consists of the application of different methods to show the differences between the two methods and the possibility to use alternative methods. An important fact which should be considered is that the information provided by these reports is the main source of decision making therefore, a slight change in the results will play an important role in the future of the funds and different sectors will respond  differently to these changes. The more realistic the assumptions, the more rational the results will be.</w:t>
      </w:r>
    </w:p>
    <w:p w:rsidR="005F63EC" w:rsidRPr="0052009D" w:rsidRDefault="003A0963" w:rsidP="0058436E">
      <w:pPr>
        <w:spacing w:line="360" w:lineRule="auto"/>
        <w:jc w:val="both"/>
        <w:rPr>
          <w:rFonts w:ascii="Times New Roman" w:hAnsi="Times New Roman" w:cs="Times New Roman"/>
          <w:b/>
          <w:bCs/>
          <w:sz w:val="32"/>
          <w:szCs w:val="32"/>
          <w:lang w:val="en" w:bidi="fa-IR"/>
        </w:rPr>
      </w:pPr>
      <w:r w:rsidRPr="0052009D">
        <w:rPr>
          <w:rFonts w:ascii="Times New Roman" w:hAnsi="Times New Roman" w:cs="Times New Roman"/>
          <w:b/>
          <w:bCs/>
          <w:sz w:val="32"/>
          <w:szCs w:val="32"/>
          <w:lang w:val="en" w:bidi="fa-IR"/>
        </w:rPr>
        <w:t xml:space="preserve">6. </w:t>
      </w:r>
      <w:r w:rsidR="005F63EC" w:rsidRPr="0052009D">
        <w:rPr>
          <w:rFonts w:ascii="Times New Roman" w:hAnsi="Times New Roman" w:cs="Times New Roman"/>
          <w:b/>
          <w:bCs/>
          <w:sz w:val="32"/>
          <w:szCs w:val="32"/>
          <w:lang w:val="en" w:bidi="fa-IR"/>
        </w:rPr>
        <w:t>Conclusion</w:t>
      </w:r>
    </w:p>
    <w:p w:rsidR="005F63EC" w:rsidRPr="0052009D" w:rsidRDefault="005F63EC" w:rsidP="005F63EC">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In this study, we have analyzed the effects of different suggested discount rates on the amount of pension liabilities. Pension obligations are among the largest obligations organizations face, and taking accounting actions to improve the funded status of these obligations may reduce organizations expenditures.</w:t>
      </w:r>
    </w:p>
    <w:p w:rsidR="00165451" w:rsidRPr="0052009D" w:rsidRDefault="00165451" w:rsidP="00165451">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Actuarial liability is the portion of the present value of benefits (PVFB) that is attributed to past service. Different cost methods calculate the AL differently, but it always reflects only past service. The calculation of the Total Actuarial Liability</w:t>
      </w:r>
      <w:r w:rsidR="00154BE8" w:rsidRPr="0052009D">
        <w:rPr>
          <w:rFonts w:ascii="Times New Roman" w:hAnsi="Times New Roman" w:cs="Times New Roman"/>
          <w:sz w:val="28"/>
          <w:szCs w:val="28"/>
          <w:lang w:bidi="fa-IR"/>
        </w:rPr>
        <w:t xml:space="preserve"> (TAL)</w:t>
      </w:r>
      <w:r w:rsidRPr="0052009D">
        <w:rPr>
          <w:rFonts w:ascii="Times New Roman" w:hAnsi="Times New Roman" w:cs="Times New Roman"/>
          <w:sz w:val="28"/>
          <w:szCs w:val="28"/>
          <w:lang w:bidi="fa-IR"/>
        </w:rPr>
        <w:t xml:space="preserve"> under two different methods and for three different discount </w:t>
      </w:r>
      <w:r w:rsidR="00DA6F0C" w:rsidRPr="0052009D">
        <w:rPr>
          <w:rFonts w:ascii="Times New Roman" w:hAnsi="Times New Roman" w:cs="Times New Roman"/>
          <w:sz w:val="28"/>
          <w:szCs w:val="28"/>
          <w:lang w:bidi="fa-IR"/>
        </w:rPr>
        <w:t>rates</w:t>
      </w:r>
      <w:r w:rsidRPr="0052009D">
        <w:rPr>
          <w:rFonts w:ascii="Times New Roman" w:hAnsi="Times New Roman" w:cs="Times New Roman"/>
          <w:sz w:val="28"/>
          <w:szCs w:val="28"/>
          <w:lang w:bidi="fa-IR"/>
        </w:rPr>
        <w:t xml:space="preserve"> was done based on the information of the current employees of one of the members of the Banks Employees’ Pension Fund.</w:t>
      </w:r>
    </w:p>
    <w:p w:rsidR="00854F85" w:rsidRPr="0052009D" w:rsidRDefault="005F63EC" w:rsidP="00DA6F0C">
      <w:pPr>
        <w:spacing w:line="360" w:lineRule="auto"/>
        <w:jc w:val="both"/>
        <w:rPr>
          <w:rFonts w:ascii="Times New Roman" w:hAnsi="Times New Roman" w:cs="Times New Roman"/>
          <w:sz w:val="28"/>
          <w:szCs w:val="28"/>
          <w:lang w:val="en" w:bidi="fa-IR"/>
        </w:rPr>
      </w:pPr>
      <w:r w:rsidRPr="0052009D">
        <w:rPr>
          <w:rFonts w:ascii="Times New Roman" w:hAnsi="Times New Roman" w:cs="Times New Roman"/>
          <w:sz w:val="28"/>
          <w:szCs w:val="28"/>
          <w:lang w:bidi="fa-IR"/>
        </w:rPr>
        <w:t>As a very effective factor, slight difference in discount rate would change dramatically pension expenses and pen</w:t>
      </w:r>
      <w:r w:rsidR="0009737B" w:rsidRPr="0052009D">
        <w:rPr>
          <w:rFonts w:ascii="Times New Roman" w:hAnsi="Times New Roman" w:cs="Times New Roman"/>
          <w:sz w:val="28"/>
          <w:szCs w:val="28"/>
          <w:lang w:bidi="fa-IR"/>
        </w:rPr>
        <w:t xml:space="preserve">sion liabilities. </w:t>
      </w:r>
      <w:r w:rsidRPr="0052009D">
        <w:rPr>
          <w:rFonts w:ascii="Times New Roman" w:hAnsi="Times New Roman" w:cs="Times New Roman"/>
          <w:sz w:val="28"/>
          <w:szCs w:val="28"/>
          <w:lang w:bidi="fa-IR"/>
        </w:rPr>
        <w:t xml:space="preserve">In general, the higher the discount </w:t>
      </w:r>
      <w:r w:rsidR="00DA6F0C" w:rsidRPr="0052009D">
        <w:rPr>
          <w:rFonts w:ascii="Times New Roman" w:hAnsi="Times New Roman" w:cs="Times New Roman"/>
          <w:sz w:val="28"/>
          <w:szCs w:val="28"/>
          <w:lang w:bidi="fa-IR"/>
        </w:rPr>
        <w:t>rates, the lower the reported present value</w:t>
      </w:r>
      <w:r w:rsidRPr="0052009D">
        <w:rPr>
          <w:rFonts w:ascii="Times New Roman" w:hAnsi="Times New Roman" w:cs="Times New Roman"/>
          <w:sz w:val="28"/>
          <w:szCs w:val="28"/>
          <w:lang w:bidi="fa-IR"/>
        </w:rPr>
        <w:t xml:space="preserve"> of the liabilities and the stronger the pension plan's funding position as reported in the accounting statements</w:t>
      </w:r>
      <w:r w:rsidR="00DA6F0C" w:rsidRPr="0052009D">
        <w:rPr>
          <w:rFonts w:ascii="Times New Roman" w:hAnsi="Times New Roman" w:cs="Times New Roman"/>
          <w:sz w:val="28"/>
          <w:szCs w:val="28"/>
          <w:lang w:bidi="fa-IR"/>
        </w:rPr>
        <w:t xml:space="preserve"> would be</w:t>
      </w:r>
      <w:r w:rsidRPr="0052009D">
        <w:rPr>
          <w:rFonts w:ascii="Times New Roman" w:hAnsi="Times New Roman" w:cs="Times New Roman"/>
          <w:sz w:val="28"/>
          <w:szCs w:val="28"/>
          <w:lang w:bidi="fa-IR"/>
        </w:rPr>
        <w:t>. The presence of a large unfunded pension liability could mean lower credit ratings and higher cost of debt for the firms. Therefore, a large unfunded pension liability could be regarded as undesirable by corporate managers and plan sponsors and managers have incentives to understate the magnitude of unfunded projected pension liabilities by increasing the discount rate or by decreasing the salary progression rate or both.</w:t>
      </w:r>
    </w:p>
    <w:p w:rsidR="00165451" w:rsidRPr="0052009D" w:rsidRDefault="00165451" w:rsidP="00165451">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Based on the standard 27 rules of Iranian audit organization, the current accepted discount rate which is being used is equal to the expected rate of return. But, while this national trend is a common practice, it is not a prudent practice.</w:t>
      </w:r>
      <w:r w:rsidRPr="0052009D">
        <w:rPr>
          <w:rFonts w:ascii="Times New Roman" w:hAnsi="Times New Roman" w:cs="Times New Roman"/>
          <w:sz w:val="28"/>
          <w:szCs w:val="28"/>
        </w:rPr>
        <w:t xml:space="preserve"> Also, </w:t>
      </w:r>
      <w:r w:rsidRPr="0052009D">
        <w:rPr>
          <w:rFonts w:ascii="Times New Roman" w:hAnsi="Times New Roman" w:cs="Times New Roman"/>
          <w:sz w:val="28"/>
          <w:szCs w:val="28"/>
          <w:lang w:bidi="fa-IR"/>
        </w:rPr>
        <w:t xml:space="preserve">according to the standard 27 rules of Iranian audit organization, Project Unit Credit method (PUC) is currently being used in pension funds in Iran. </w:t>
      </w:r>
    </w:p>
    <w:p w:rsidR="00165451" w:rsidRPr="0052009D" w:rsidRDefault="00165451" w:rsidP="00DB054A">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The first alternative discount rate that has been considered in this </w:t>
      </w:r>
      <w:r w:rsidR="00DB054A" w:rsidRPr="0052009D">
        <w:rPr>
          <w:rFonts w:ascii="Times New Roman" w:hAnsi="Times New Roman" w:cs="Times New Roman"/>
          <w:sz w:val="28"/>
          <w:szCs w:val="28"/>
          <w:lang w:bidi="fa-IR"/>
        </w:rPr>
        <w:t>research</w:t>
      </w:r>
      <w:r w:rsidRPr="0052009D">
        <w:rPr>
          <w:rFonts w:ascii="Times New Roman" w:hAnsi="Times New Roman" w:cs="Times New Roman"/>
          <w:sz w:val="28"/>
          <w:szCs w:val="28"/>
          <w:lang w:bidi="fa-IR"/>
        </w:rPr>
        <w:t xml:space="preserve"> is equal to 20% because the highest </w:t>
      </w:r>
      <w:r w:rsidRPr="0052009D">
        <w:rPr>
          <w:rFonts w:ascii="Times New Roman" w:hAnsi="Times New Roman" w:cs="Times New Roman"/>
          <w:sz w:val="28"/>
          <w:szCs w:val="28"/>
          <w:lang w:val="en" w:bidi="fa-IR"/>
        </w:rPr>
        <w:t xml:space="preserve">banking system’s deposit rate in Iran is about 15% (which is equal to the risk free rate of return) and </w:t>
      </w:r>
      <w:r w:rsidRPr="0052009D">
        <w:rPr>
          <w:rFonts w:ascii="Times New Roman" w:hAnsi="Times New Roman" w:cs="Times New Roman"/>
          <w:sz w:val="28"/>
          <w:szCs w:val="28"/>
          <w:lang w:bidi="fa-IR"/>
        </w:rPr>
        <w:t xml:space="preserve">Banks Employee’s Pension Fund usually use this rate for its calculation. The second alternative discount rate that has been suggested in this </w:t>
      </w:r>
      <w:r w:rsidR="00DB054A" w:rsidRPr="0052009D">
        <w:rPr>
          <w:rFonts w:ascii="Times New Roman" w:hAnsi="Times New Roman" w:cs="Times New Roman"/>
          <w:sz w:val="28"/>
          <w:szCs w:val="28"/>
          <w:lang w:bidi="fa-IR"/>
        </w:rPr>
        <w:t>research</w:t>
      </w:r>
      <w:r w:rsidRPr="0052009D">
        <w:rPr>
          <w:rFonts w:ascii="Times New Roman" w:hAnsi="Times New Roman" w:cs="Times New Roman"/>
          <w:sz w:val="28"/>
          <w:szCs w:val="28"/>
          <w:lang w:bidi="fa-IR"/>
        </w:rPr>
        <w:t xml:space="preserve"> is the rate based on the Technical interest rate of the Iranian’s Central Insurance. Based on this interest rate, the discount rate is equal to 18% for the first 5 years, and is equal to 15% for the second 5 years and for the remainder years this rate is equal to 10%. This rate is legislated in </w:t>
      </w:r>
      <w:r w:rsidRPr="0052009D">
        <w:rPr>
          <w:rFonts w:ascii="Times New Roman" w:hAnsi="Times New Roman" w:cs="Times New Roman"/>
          <w:sz w:val="28"/>
          <w:szCs w:val="28"/>
          <w:lang w:val="en" w:bidi="fa-IR"/>
        </w:rPr>
        <w:t xml:space="preserve">Life insurance and pension law of Iranian’s Central Insurance. The third option is the hypothetical discount rate which is equal to 22%. </w:t>
      </w:r>
    </w:p>
    <w:p w:rsidR="00165451" w:rsidRPr="0052009D" w:rsidRDefault="00165451" w:rsidP="00DB054A">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For funding purposes, the two most common actuarial cost methods are entry age and unit credit</w:t>
      </w:r>
      <w:r w:rsidR="00DB054A" w:rsidRPr="0052009D">
        <w:rPr>
          <w:rFonts w:ascii="Times New Roman" w:hAnsi="Times New Roman" w:cs="Times New Roman"/>
          <w:sz w:val="28"/>
          <w:szCs w:val="28"/>
          <w:lang w:bidi="fa-IR"/>
        </w:rPr>
        <w:t xml:space="preserve"> cost methods</w:t>
      </w:r>
      <w:r w:rsidRPr="0052009D">
        <w:rPr>
          <w:rFonts w:ascii="Times New Roman" w:hAnsi="Times New Roman" w:cs="Times New Roman"/>
          <w:sz w:val="28"/>
          <w:szCs w:val="28"/>
          <w:lang w:bidi="fa-IR"/>
        </w:rPr>
        <w:t xml:space="preserve">. Actuaries use actuarial cost methods to allocate the PVFB to various time periods during the member’s working lifetime. Pension funds in Iran are obliged to follow PUC method, but in foreign countries pension funds can choose the best method that fits them. In this </w:t>
      </w:r>
      <w:r w:rsidR="00DB054A" w:rsidRPr="0052009D">
        <w:rPr>
          <w:rFonts w:ascii="Times New Roman" w:hAnsi="Times New Roman" w:cs="Times New Roman"/>
          <w:sz w:val="28"/>
          <w:szCs w:val="28"/>
          <w:lang w:bidi="fa-IR"/>
        </w:rPr>
        <w:t>research</w:t>
      </w:r>
      <w:r w:rsidRPr="0052009D">
        <w:rPr>
          <w:rFonts w:ascii="Times New Roman" w:hAnsi="Times New Roman" w:cs="Times New Roman"/>
          <w:sz w:val="28"/>
          <w:szCs w:val="28"/>
          <w:lang w:bidi="fa-IR"/>
        </w:rPr>
        <w:t xml:space="preserve"> we have calculated the results based on the application of two different methods to show the different results of these methods. As we have used data available from a pension fund which is still young and is still at </w:t>
      </w:r>
      <w:r w:rsidR="00E079AD" w:rsidRPr="0052009D">
        <w:rPr>
          <w:rFonts w:ascii="Times New Roman" w:hAnsi="Times New Roman" w:cs="Times New Roman"/>
          <w:sz w:val="28"/>
          <w:szCs w:val="28"/>
          <w:lang w:bidi="fa-IR"/>
        </w:rPr>
        <w:t>its</w:t>
      </w:r>
      <w:r w:rsidRPr="0052009D">
        <w:rPr>
          <w:rFonts w:ascii="Times New Roman" w:hAnsi="Times New Roman" w:cs="Times New Roman"/>
          <w:sz w:val="28"/>
          <w:szCs w:val="28"/>
          <w:lang w:bidi="fa-IR"/>
        </w:rPr>
        <w:t xml:space="preserve"> early </w:t>
      </w:r>
      <w:r w:rsidR="00E079AD" w:rsidRPr="0052009D">
        <w:rPr>
          <w:rFonts w:ascii="Times New Roman" w:hAnsi="Times New Roman" w:cs="Times New Roman"/>
          <w:sz w:val="28"/>
          <w:szCs w:val="28"/>
          <w:lang w:bidi="fa-IR"/>
        </w:rPr>
        <w:t>stages, the</w:t>
      </w:r>
      <w:r w:rsidRPr="0052009D">
        <w:rPr>
          <w:rFonts w:ascii="Times New Roman" w:hAnsi="Times New Roman" w:cs="Times New Roman"/>
          <w:sz w:val="28"/>
          <w:szCs w:val="28"/>
          <w:lang w:bidi="fa-IR"/>
        </w:rPr>
        <w:t xml:space="preserve"> amount of normal cost </w:t>
      </w:r>
      <w:r w:rsidR="00154BE8" w:rsidRPr="0052009D">
        <w:rPr>
          <w:rFonts w:ascii="Times New Roman" w:hAnsi="Times New Roman" w:cs="Times New Roman"/>
          <w:sz w:val="28"/>
          <w:szCs w:val="28"/>
          <w:lang w:bidi="fa-IR"/>
        </w:rPr>
        <w:t>EAN</w:t>
      </w:r>
      <w:r w:rsidRPr="0052009D">
        <w:rPr>
          <w:rFonts w:ascii="Times New Roman" w:hAnsi="Times New Roman" w:cs="Times New Roman"/>
          <w:sz w:val="28"/>
          <w:szCs w:val="28"/>
          <w:lang w:bidi="fa-IR"/>
        </w:rPr>
        <w:t xml:space="preserve"> method is greater that </w:t>
      </w:r>
      <w:r w:rsidR="00154BE8" w:rsidRPr="0052009D">
        <w:rPr>
          <w:rFonts w:ascii="Times New Roman" w:hAnsi="Times New Roman" w:cs="Times New Roman"/>
          <w:sz w:val="28"/>
          <w:szCs w:val="28"/>
          <w:lang w:bidi="fa-IR"/>
        </w:rPr>
        <w:t>PUC</w:t>
      </w:r>
      <w:r w:rsidRPr="0052009D">
        <w:rPr>
          <w:rFonts w:ascii="Times New Roman" w:hAnsi="Times New Roman" w:cs="Times New Roman"/>
          <w:sz w:val="28"/>
          <w:szCs w:val="28"/>
          <w:lang w:bidi="fa-IR"/>
        </w:rPr>
        <w:t xml:space="preserve"> method. Consequently the </w:t>
      </w:r>
      <w:r w:rsidR="00154BE8" w:rsidRPr="0052009D">
        <w:rPr>
          <w:rFonts w:ascii="Times New Roman" w:hAnsi="Times New Roman" w:cs="Times New Roman"/>
          <w:sz w:val="28"/>
          <w:szCs w:val="28"/>
          <w:lang w:bidi="fa-IR"/>
        </w:rPr>
        <w:t>TAL</w:t>
      </w:r>
      <w:r w:rsidRPr="0052009D">
        <w:rPr>
          <w:rFonts w:ascii="Times New Roman" w:hAnsi="Times New Roman" w:cs="Times New Roman"/>
          <w:sz w:val="28"/>
          <w:szCs w:val="28"/>
          <w:lang w:bidi="fa-IR"/>
        </w:rPr>
        <w:t xml:space="preserve"> for </w:t>
      </w:r>
      <w:r w:rsidR="00154BE8" w:rsidRPr="0052009D">
        <w:rPr>
          <w:rFonts w:ascii="Times New Roman" w:hAnsi="Times New Roman" w:cs="Times New Roman"/>
          <w:sz w:val="28"/>
          <w:szCs w:val="28"/>
          <w:lang w:bidi="fa-IR"/>
        </w:rPr>
        <w:t>PUC</w:t>
      </w:r>
      <w:r w:rsidRPr="0052009D">
        <w:rPr>
          <w:rFonts w:ascii="Times New Roman" w:hAnsi="Times New Roman" w:cs="Times New Roman"/>
          <w:sz w:val="28"/>
          <w:szCs w:val="28"/>
          <w:lang w:bidi="fa-IR"/>
        </w:rPr>
        <w:t xml:space="preserve"> method is larger than the </w:t>
      </w:r>
      <w:r w:rsidR="00154BE8" w:rsidRPr="0052009D">
        <w:rPr>
          <w:rFonts w:ascii="Times New Roman" w:hAnsi="Times New Roman" w:cs="Times New Roman"/>
          <w:sz w:val="28"/>
          <w:szCs w:val="28"/>
          <w:lang w:bidi="fa-IR"/>
        </w:rPr>
        <w:t>TAL</w:t>
      </w:r>
      <w:r w:rsidRPr="0052009D">
        <w:rPr>
          <w:rFonts w:ascii="Times New Roman" w:hAnsi="Times New Roman" w:cs="Times New Roman"/>
          <w:sz w:val="28"/>
          <w:szCs w:val="28"/>
          <w:lang w:bidi="fa-IR"/>
        </w:rPr>
        <w:t xml:space="preserve"> for </w:t>
      </w:r>
      <w:r w:rsidR="00154BE8" w:rsidRPr="0052009D">
        <w:rPr>
          <w:rFonts w:ascii="Times New Roman" w:hAnsi="Times New Roman" w:cs="Times New Roman"/>
          <w:sz w:val="28"/>
          <w:szCs w:val="28"/>
          <w:lang w:bidi="fa-IR"/>
        </w:rPr>
        <w:t>EAN</w:t>
      </w:r>
      <w:r w:rsidRPr="0052009D">
        <w:rPr>
          <w:rFonts w:ascii="Times New Roman" w:hAnsi="Times New Roman" w:cs="Times New Roman"/>
          <w:sz w:val="28"/>
          <w:szCs w:val="28"/>
          <w:lang w:bidi="fa-IR"/>
        </w:rPr>
        <w:t xml:space="preserve"> method.</w:t>
      </w:r>
    </w:p>
    <w:p w:rsidR="00165451" w:rsidRPr="0052009D" w:rsidRDefault="00165451" w:rsidP="00DB054A">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bidi="fa-IR"/>
        </w:rPr>
        <w:t xml:space="preserve">Our results illustrate that a one percent decrease in the discount rate will lead to 19% increase in </w:t>
      </w:r>
      <w:r w:rsidR="00154BE8" w:rsidRPr="0052009D">
        <w:rPr>
          <w:rFonts w:ascii="Times New Roman" w:hAnsi="Times New Roman" w:cs="Times New Roman"/>
          <w:sz w:val="28"/>
          <w:szCs w:val="28"/>
          <w:lang w:bidi="fa-IR"/>
        </w:rPr>
        <w:t>TAL</w:t>
      </w:r>
      <w:r w:rsidRPr="0052009D">
        <w:rPr>
          <w:rFonts w:ascii="Times New Roman" w:hAnsi="Times New Roman" w:cs="Times New Roman"/>
          <w:sz w:val="28"/>
          <w:szCs w:val="28"/>
          <w:lang w:bidi="fa-IR"/>
        </w:rPr>
        <w:t xml:space="preserve"> under </w:t>
      </w:r>
      <w:r w:rsidR="00154BE8" w:rsidRPr="0052009D">
        <w:rPr>
          <w:rFonts w:ascii="Times New Roman" w:hAnsi="Times New Roman" w:cs="Times New Roman"/>
          <w:sz w:val="28"/>
          <w:szCs w:val="28"/>
          <w:lang w:bidi="fa-IR"/>
        </w:rPr>
        <w:t>PUC</w:t>
      </w:r>
      <w:r w:rsidRPr="0052009D">
        <w:rPr>
          <w:rFonts w:ascii="Times New Roman" w:hAnsi="Times New Roman" w:cs="Times New Roman"/>
          <w:sz w:val="28"/>
          <w:szCs w:val="28"/>
          <w:lang w:bidi="fa-IR"/>
        </w:rPr>
        <w:t xml:space="preserve"> method. In the case of the </w:t>
      </w:r>
      <w:r w:rsidR="00154BE8" w:rsidRPr="0052009D">
        <w:rPr>
          <w:rFonts w:ascii="Times New Roman" w:hAnsi="Times New Roman" w:cs="Times New Roman"/>
          <w:sz w:val="28"/>
          <w:szCs w:val="28"/>
          <w:lang w:bidi="fa-IR"/>
        </w:rPr>
        <w:t>EAN method</w:t>
      </w:r>
      <w:r w:rsidRPr="0052009D">
        <w:rPr>
          <w:rFonts w:ascii="Times New Roman" w:hAnsi="Times New Roman" w:cs="Times New Roman"/>
          <w:sz w:val="28"/>
          <w:szCs w:val="28"/>
          <w:lang w:bidi="fa-IR"/>
        </w:rPr>
        <w:t xml:space="preserve">, a one percent decrease in the discount rate will increase </w:t>
      </w:r>
      <w:r w:rsidR="00DB054A" w:rsidRPr="0052009D">
        <w:rPr>
          <w:rFonts w:ascii="Times New Roman" w:hAnsi="Times New Roman" w:cs="Times New Roman"/>
          <w:sz w:val="28"/>
          <w:szCs w:val="28"/>
          <w:lang w:bidi="fa-IR"/>
        </w:rPr>
        <w:t xml:space="preserve">TAL </w:t>
      </w:r>
      <w:r w:rsidRPr="0052009D">
        <w:rPr>
          <w:rFonts w:ascii="Times New Roman" w:hAnsi="Times New Roman" w:cs="Times New Roman"/>
          <w:sz w:val="28"/>
          <w:szCs w:val="28"/>
          <w:lang w:bidi="fa-IR"/>
        </w:rPr>
        <w:t>by 17%. Different methods have different results. In a competitive economy, companies can follow different methods for their calculations while in Iran they are obliged to follow PUC method. If companies have the permit to choose the method to follow they could choose the best method that fit them.</w:t>
      </w:r>
    </w:p>
    <w:p w:rsidR="00165451" w:rsidRPr="0052009D" w:rsidRDefault="00165451" w:rsidP="00165451">
      <w:pPr>
        <w:spacing w:line="360" w:lineRule="auto"/>
        <w:jc w:val="both"/>
        <w:rPr>
          <w:rFonts w:ascii="Times New Roman" w:hAnsi="Times New Roman" w:cs="Times New Roman"/>
          <w:sz w:val="28"/>
          <w:szCs w:val="28"/>
          <w:lang w:val="en" w:bidi="fa-IR"/>
        </w:rPr>
      </w:pPr>
      <w:r w:rsidRPr="0052009D">
        <w:rPr>
          <w:rFonts w:ascii="Times New Roman" w:hAnsi="Times New Roman" w:cs="Times New Roman"/>
          <w:sz w:val="28"/>
          <w:szCs w:val="28"/>
          <w:lang w:bidi="fa-IR"/>
        </w:rPr>
        <w:t xml:space="preserve">Different sectors will act differently when encountering the information provided by the accountant and actuarial reports. Company’s accountants and actuaries prefer the more realistic and rational results even if they cause fear. While managers and plan sponsors do not favor the high amounts that are the results of the more realistic discount rates. However, we should keep that in our mind that </w:t>
      </w:r>
      <w:r w:rsidRPr="0052009D">
        <w:rPr>
          <w:rFonts w:ascii="Times New Roman" w:hAnsi="Times New Roman" w:cs="Times New Roman"/>
          <w:sz w:val="28"/>
          <w:szCs w:val="28"/>
          <w:lang w:val="en" w:bidi="fa-IR"/>
        </w:rPr>
        <w:t>the information provided by these reports is the main source of decision making therefore, a slight change in the results will play an important role in the future of the funds and different sectors will respond  differently to these changes. The more realistic the assumptions, the more rational the results will be.</w:t>
      </w:r>
    </w:p>
    <w:p w:rsidR="00165451" w:rsidRPr="0052009D" w:rsidRDefault="00165451" w:rsidP="00DB054A">
      <w:pPr>
        <w:spacing w:line="360" w:lineRule="auto"/>
        <w:jc w:val="both"/>
        <w:rPr>
          <w:rFonts w:ascii="Times New Roman" w:hAnsi="Times New Roman" w:cs="Times New Roman"/>
          <w:sz w:val="28"/>
          <w:szCs w:val="28"/>
          <w:lang w:bidi="fa-IR"/>
        </w:rPr>
      </w:pPr>
      <w:r w:rsidRPr="0052009D">
        <w:rPr>
          <w:rFonts w:ascii="Times New Roman" w:hAnsi="Times New Roman" w:cs="Times New Roman"/>
          <w:sz w:val="28"/>
          <w:szCs w:val="28"/>
          <w:lang w:val="en" w:bidi="fa-IR"/>
        </w:rPr>
        <w:t>Finally, it is worth mentioning that based on our findings,</w:t>
      </w:r>
      <w:r w:rsidRPr="0052009D">
        <w:rPr>
          <w:rFonts w:ascii="Times New Roman" w:hAnsi="Times New Roman" w:cs="Times New Roman"/>
          <w:sz w:val="28"/>
          <w:szCs w:val="28"/>
          <w:lang w:bidi="fa-IR"/>
        </w:rPr>
        <w:t xml:space="preserve"> </w:t>
      </w:r>
      <w:r w:rsidRPr="0052009D">
        <w:rPr>
          <w:rFonts w:ascii="Times New Roman" w:hAnsi="Times New Roman" w:cs="Times New Roman"/>
          <w:sz w:val="28"/>
          <w:szCs w:val="28"/>
          <w:lang w:val="en" w:bidi="fa-IR"/>
        </w:rPr>
        <w:t xml:space="preserve">a change in valuation method or a small change in discount rate can result a huge change in actuarial liabilities. Hence, similar to the banking and insurance system in Iran, we need to have a regulatory body for Iranian pension funds. Hence, by controlling important and vital parameters, such as discount rate, huge deviations in estimating actuarial liability can be prevented.  </w:t>
      </w:r>
    </w:p>
    <w:p w:rsidR="00165451" w:rsidRPr="0052009D" w:rsidRDefault="00165451" w:rsidP="00165451">
      <w:pPr>
        <w:spacing w:line="360" w:lineRule="auto"/>
        <w:jc w:val="both"/>
        <w:rPr>
          <w:rFonts w:ascii="Times New Roman" w:hAnsi="Times New Roman" w:cs="Times New Roman"/>
          <w:sz w:val="28"/>
          <w:szCs w:val="28"/>
          <w:lang w:bidi="fa-IR"/>
        </w:rPr>
      </w:pPr>
    </w:p>
    <w:p w:rsidR="00854F85" w:rsidRPr="0052009D" w:rsidRDefault="00854F85" w:rsidP="00135E3B">
      <w:pPr>
        <w:spacing w:line="360" w:lineRule="auto"/>
        <w:jc w:val="both"/>
        <w:rPr>
          <w:rFonts w:ascii="Times New Roman" w:hAnsi="Times New Roman" w:cs="Times New Roman"/>
          <w:sz w:val="28"/>
          <w:szCs w:val="28"/>
          <w:lang w:bidi="fa-IR"/>
        </w:rPr>
      </w:pPr>
    </w:p>
    <w:p w:rsidR="00135E3B" w:rsidRPr="0052009D" w:rsidRDefault="00135E3B" w:rsidP="00135E3B">
      <w:pPr>
        <w:spacing w:line="360" w:lineRule="auto"/>
        <w:jc w:val="both"/>
        <w:rPr>
          <w:rFonts w:ascii="Times New Roman" w:hAnsi="Times New Roman" w:cs="Times New Roman"/>
          <w:sz w:val="28"/>
          <w:szCs w:val="28"/>
          <w:lang w:bidi="fa-IR"/>
        </w:rPr>
      </w:pPr>
    </w:p>
    <w:p w:rsidR="00982CB6" w:rsidRPr="0052009D" w:rsidRDefault="002F0975" w:rsidP="00A76D6E">
      <w:pPr>
        <w:spacing w:line="360" w:lineRule="auto"/>
        <w:jc w:val="both"/>
        <w:rPr>
          <w:rFonts w:ascii="Times New Roman" w:hAnsi="Times New Roman" w:cs="Times New Roman"/>
          <w:b/>
          <w:bCs/>
          <w:sz w:val="32"/>
          <w:szCs w:val="32"/>
          <w:lang w:bidi="fa-IR"/>
        </w:rPr>
      </w:pPr>
      <w:r>
        <w:rPr>
          <w:rStyle w:val="Heading1Char"/>
          <w:rFonts w:asciiTheme="majorBidi" w:hAnsiTheme="majorBidi"/>
          <w:color w:val="auto"/>
          <w:sz w:val="36"/>
          <w:szCs w:val="36"/>
        </w:rPr>
        <w:t>A</w:t>
      </w:r>
      <w:r w:rsidR="00D77238" w:rsidRPr="0052009D">
        <w:rPr>
          <w:rStyle w:val="Heading1Char"/>
          <w:rFonts w:asciiTheme="majorBidi" w:hAnsiTheme="majorBidi"/>
          <w:color w:val="auto"/>
          <w:sz w:val="36"/>
          <w:szCs w:val="36"/>
        </w:rPr>
        <w:t>ppendix</w:t>
      </w:r>
      <w:r w:rsidR="00DB76EF" w:rsidRPr="0052009D">
        <w:rPr>
          <w:rStyle w:val="Heading1Char"/>
          <w:rFonts w:asciiTheme="majorBidi" w:hAnsiTheme="majorBidi"/>
          <w:color w:val="auto"/>
          <w:sz w:val="36"/>
          <w:szCs w:val="36"/>
        </w:rPr>
        <w:t xml:space="preserve"> A</w:t>
      </w:r>
      <w:r w:rsidR="00D77238" w:rsidRPr="0052009D">
        <w:rPr>
          <w:rFonts w:ascii="Times New Roman" w:hAnsi="Times New Roman" w:cs="Times New Roman"/>
          <w:b/>
          <w:bCs/>
          <w:sz w:val="32"/>
          <w:szCs w:val="32"/>
          <w:lang w:bidi="fa-IR"/>
        </w:rPr>
        <w:t>:</w:t>
      </w:r>
    </w:p>
    <w:p w:rsidR="00D77238" w:rsidRPr="0052009D" w:rsidRDefault="00D77238" w:rsidP="00A76D6E">
      <w:pPr>
        <w:spacing w:line="360" w:lineRule="auto"/>
        <w:jc w:val="both"/>
        <w:rPr>
          <w:rFonts w:ascii="Times New Roman" w:hAnsi="Times New Roman" w:cs="Times New Roman"/>
          <w:b/>
          <w:bCs/>
          <w:sz w:val="32"/>
          <w:szCs w:val="32"/>
          <w:lang w:bidi="fa-IR"/>
        </w:rPr>
      </w:pPr>
    </w:p>
    <w:p w:rsidR="00D77238" w:rsidRPr="0052009D" w:rsidRDefault="00D77238" w:rsidP="00D77238">
      <w:pPr>
        <w:spacing w:after="160" w:line="259" w:lineRule="auto"/>
        <w:jc w:val="center"/>
        <w:rPr>
          <w:rFonts w:ascii="Times New Roman" w:hAnsi="Times New Roman" w:cs="Times New Roman"/>
          <w:sz w:val="32"/>
          <w:szCs w:val="32"/>
          <w:lang w:bidi="fa-IR"/>
        </w:rPr>
      </w:pPr>
      <w:bookmarkStart w:id="7" w:name="_Toc474778857"/>
      <w:bookmarkStart w:id="8" w:name="_Toc474925664"/>
      <w:r w:rsidRPr="0052009D">
        <w:rPr>
          <w:rFonts w:ascii="Times New Roman" w:hAnsi="Times New Roman" w:cs="Times New Roman"/>
          <w:b/>
          <w:bCs/>
          <w:i/>
          <w:iCs/>
          <w:sz w:val="24"/>
          <w:szCs w:val="24"/>
          <w:lang w:bidi="fa-IR"/>
        </w:rPr>
        <w:t>Table 4.4.</w:t>
      </w:r>
      <w:r w:rsidRPr="0052009D">
        <w:rPr>
          <w:rFonts w:ascii="Times New Roman" w:hAnsi="Times New Roman" w:cs="Times New Roman"/>
          <w:sz w:val="24"/>
          <w:szCs w:val="24"/>
          <w:lang w:bidi="fa-IR"/>
        </w:rPr>
        <w:t xml:space="preserve"> Total Actuarial Liability based on 22% discount rate</w:t>
      </w:r>
      <w:bookmarkEnd w:id="7"/>
      <w:bookmarkEnd w:id="8"/>
    </w:p>
    <w:tbl>
      <w:tblPr>
        <w:tblStyle w:val="TableGrid3"/>
        <w:tblW w:w="0" w:type="auto"/>
        <w:tblLook w:val="04A0" w:firstRow="1" w:lastRow="0" w:firstColumn="1" w:lastColumn="0" w:noHBand="0" w:noVBand="1"/>
      </w:tblPr>
      <w:tblGrid>
        <w:gridCol w:w="2297"/>
        <w:gridCol w:w="2026"/>
        <w:gridCol w:w="1893"/>
        <w:gridCol w:w="3360"/>
      </w:tblGrid>
      <w:tr w:rsidR="0052009D" w:rsidRPr="0052009D" w:rsidTr="00D77238">
        <w:tc>
          <w:tcPr>
            <w:tcW w:w="2297" w:type="dxa"/>
            <w:vMerge w:val="restart"/>
          </w:tcPr>
          <w:p w:rsidR="00D77238" w:rsidRPr="0052009D" w:rsidRDefault="00D77238" w:rsidP="00D77238">
            <w:pPr>
              <w:jc w:val="center"/>
              <w:rPr>
                <w:b/>
                <w:bCs/>
              </w:rPr>
            </w:pPr>
          </w:p>
          <w:p w:rsidR="00D77238" w:rsidRPr="0052009D" w:rsidRDefault="00D77238" w:rsidP="00D77238">
            <w:pPr>
              <w:jc w:val="center"/>
              <w:rPr>
                <w:b/>
                <w:bCs/>
              </w:rPr>
            </w:pPr>
            <w:r w:rsidRPr="0052009D">
              <w:rPr>
                <w:b/>
                <w:bCs/>
              </w:rPr>
              <w:t>Discount rate</w:t>
            </w:r>
          </w:p>
          <w:p w:rsidR="00D77238" w:rsidRPr="0052009D" w:rsidRDefault="00D77238" w:rsidP="00D77238">
            <w:pPr>
              <w:jc w:val="center"/>
              <w:rPr>
                <w:b/>
                <w:bCs/>
              </w:rPr>
            </w:pPr>
          </w:p>
        </w:tc>
        <w:tc>
          <w:tcPr>
            <w:tcW w:w="3919" w:type="dxa"/>
            <w:gridSpan w:val="2"/>
          </w:tcPr>
          <w:p w:rsidR="00D77238" w:rsidRPr="0052009D" w:rsidRDefault="00D77238" w:rsidP="00D77238">
            <w:pPr>
              <w:jc w:val="center"/>
              <w:rPr>
                <w:b/>
                <w:bCs/>
              </w:rPr>
            </w:pPr>
            <w:r w:rsidRPr="0052009D">
              <w:rPr>
                <w:b/>
                <w:bCs/>
              </w:rPr>
              <w:t>Total Actuarial Liability</w:t>
            </w:r>
          </w:p>
          <w:p w:rsidR="00D77238" w:rsidRPr="0052009D" w:rsidRDefault="00D77238" w:rsidP="00D77238">
            <w:pPr>
              <w:jc w:val="center"/>
              <w:rPr>
                <w:b/>
                <w:bCs/>
              </w:rPr>
            </w:pPr>
          </w:p>
        </w:tc>
        <w:tc>
          <w:tcPr>
            <w:tcW w:w="3360" w:type="dxa"/>
            <w:vMerge w:val="restart"/>
          </w:tcPr>
          <w:p w:rsidR="00D77238" w:rsidRPr="0052009D" w:rsidRDefault="00D77238" w:rsidP="00D77238">
            <w:pPr>
              <w:jc w:val="center"/>
              <w:rPr>
                <w:b/>
                <w:bCs/>
              </w:rPr>
            </w:pPr>
          </w:p>
          <w:p w:rsidR="00D77238" w:rsidRPr="0052009D" w:rsidRDefault="00D77238" w:rsidP="00D77238">
            <w:pPr>
              <w:jc w:val="center"/>
              <w:rPr>
                <w:b/>
                <w:bCs/>
              </w:rPr>
            </w:pPr>
            <w:r w:rsidRPr="0052009D">
              <w:rPr>
                <w:b/>
                <w:bCs/>
              </w:rPr>
              <w:t>Percentage difference</w:t>
            </w:r>
          </w:p>
        </w:tc>
      </w:tr>
      <w:tr w:rsidR="0052009D" w:rsidRPr="0052009D" w:rsidTr="00D77238">
        <w:tc>
          <w:tcPr>
            <w:tcW w:w="2297" w:type="dxa"/>
            <w:vMerge/>
          </w:tcPr>
          <w:p w:rsidR="00D77238" w:rsidRPr="0052009D" w:rsidRDefault="00D77238" w:rsidP="00D77238">
            <w:pPr>
              <w:jc w:val="center"/>
              <w:rPr>
                <w:b/>
                <w:bCs/>
              </w:rPr>
            </w:pPr>
          </w:p>
        </w:tc>
        <w:tc>
          <w:tcPr>
            <w:tcW w:w="2026" w:type="dxa"/>
          </w:tcPr>
          <w:p w:rsidR="00D77238" w:rsidRPr="0052009D" w:rsidRDefault="00D77238" w:rsidP="00D77238">
            <w:pPr>
              <w:tabs>
                <w:tab w:val="left" w:pos="600"/>
              </w:tabs>
              <w:jc w:val="center"/>
              <w:rPr>
                <w:b/>
                <w:bCs/>
              </w:rPr>
            </w:pPr>
            <w:r w:rsidRPr="0052009D">
              <w:rPr>
                <w:b/>
                <w:bCs/>
              </w:rPr>
              <w:t>PUC</w:t>
            </w:r>
          </w:p>
        </w:tc>
        <w:tc>
          <w:tcPr>
            <w:tcW w:w="1893" w:type="dxa"/>
          </w:tcPr>
          <w:p w:rsidR="00D77238" w:rsidRPr="0052009D" w:rsidRDefault="00D77238" w:rsidP="00D77238">
            <w:pPr>
              <w:jc w:val="center"/>
              <w:rPr>
                <w:b/>
                <w:bCs/>
              </w:rPr>
            </w:pPr>
            <w:r w:rsidRPr="0052009D">
              <w:rPr>
                <w:b/>
                <w:bCs/>
              </w:rPr>
              <w:t>EAN</w:t>
            </w:r>
          </w:p>
          <w:p w:rsidR="00D77238" w:rsidRPr="0052009D" w:rsidRDefault="00D77238" w:rsidP="00D77238">
            <w:pPr>
              <w:jc w:val="center"/>
              <w:rPr>
                <w:b/>
                <w:bCs/>
              </w:rPr>
            </w:pPr>
          </w:p>
        </w:tc>
        <w:tc>
          <w:tcPr>
            <w:tcW w:w="3360" w:type="dxa"/>
            <w:vMerge/>
          </w:tcPr>
          <w:p w:rsidR="00D77238" w:rsidRPr="0052009D" w:rsidRDefault="00D77238" w:rsidP="00D77238">
            <w:pPr>
              <w:jc w:val="center"/>
              <w:rPr>
                <w:b/>
                <w:bCs/>
              </w:rPr>
            </w:pPr>
          </w:p>
        </w:tc>
      </w:tr>
      <w:tr w:rsidR="00D77238" w:rsidRPr="0052009D" w:rsidTr="00D77238">
        <w:tc>
          <w:tcPr>
            <w:tcW w:w="2297" w:type="dxa"/>
          </w:tcPr>
          <w:p w:rsidR="00D77238" w:rsidRPr="0052009D" w:rsidRDefault="00D77238" w:rsidP="00D77238">
            <w:pPr>
              <w:jc w:val="center"/>
              <w:rPr>
                <w:b/>
                <w:bCs/>
                <w:sz w:val="24"/>
                <w:szCs w:val="24"/>
              </w:rPr>
            </w:pPr>
          </w:p>
          <w:p w:rsidR="00D77238" w:rsidRPr="0052009D" w:rsidRDefault="00D77238" w:rsidP="00D77238">
            <w:pPr>
              <w:jc w:val="center"/>
              <w:rPr>
                <w:b/>
                <w:bCs/>
                <w:sz w:val="24"/>
                <w:szCs w:val="24"/>
              </w:rPr>
            </w:pPr>
            <w:r w:rsidRPr="0052009D">
              <w:rPr>
                <w:b/>
                <w:bCs/>
                <w:sz w:val="24"/>
                <w:szCs w:val="24"/>
              </w:rPr>
              <w:t>22%</w:t>
            </w:r>
          </w:p>
        </w:tc>
        <w:tc>
          <w:tcPr>
            <w:tcW w:w="2026" w:type="dxa"/>
          </w:tcPr>
          <w:p w:rsidR="00D77238" w:rsidRPr="0052009D" w:rsidRDefault="00D77238" w:rsidP="00D77238">
            <w:pPr>
              <w:jc w:val="center"/>
              <w:rPr>
                <w:b/>
                <w:bCs/>
                <w:sz w:val="24"/>
                <w:szCs w:val="24"/>
              </w:rPr>
            </w:pPr>
          </w:p>
          <w:p w:rsidR="00D77238" w:rsidRPr="0052009D" w:rsidRDefault="00D77238" w:rsidP="00D77238">
            <w:pPr>
              <w:jc w:val="center"/>
              <w:rPr>
                <w:b/>
                <w:bCs/>
                <w:sz w:val="24"/>
                <w:szCs w:val="24"/>
              </w:rPr>
            </w:pPr>
            <w:r w:rsidRPr="0052009D">
              <w:rPr>
                <w:b/>
                <w:bCs/>
                <w:sz w:val="24"/>
                <w:szCs w:val="24"/>
              </w:rPr>
              <w:t>1,889</w:t>
            </w:r>
          </w:p>
          <w:p w:rsidR="00D77238" w:rsidRPr="0052009D" w:rsidRDefault="00D77238" w:rsidP="00D77238">
            <w:pPr>
              <w:jc w:val="center"/>
              <w:rPr>
                <w:b/>
                <w:bCs/>
                <w:sz w:val="24"/>
                <w:szCs w:val="24"/>
              </w:rPr>
            </w:pPr>
          </w:p>
        </w:tc>
        <w:tc>
          <w:tcPr>
            <w:tcW w:w="1893" w:type="dxa"/>
          </w:tcPr>
          <w:p w:rsidR="00D77238" w:rsidRPr="0052009D" w:rsidRDefault="00D77238" w:rsidP="00D77238">
            <w:pPr>
              <w:tabs>
                <w:tab w:val="left" w:pos="525"/>
                <w:tab w:val="center" w:pos="838"/>
              </w:tabs>
              <w:rPr>
                <w:b/>
                <w:bCs/>
                <w:sz w:val="24"/>
                <w:szCs w:val="24"/>
              </w:rPr>
            </w:pPr>
            <w:r w:rsidRPr="0052009D">
              <w:rPr>
                <w:b/>
                <w:bCs/>
                <w:sz w:val="24"/>
                <w:szCs w:val="24"/>
              </w:rPr>
              <w:tab/>
            </w:r>
          </w:p>
          <w:p w:rsidR="00D77238" w:rsidRPr="0052009D" w:rsidRDefault="00D77238" w:rsidP="00D77238">
            <w:pPr>
              <w:tabs>
                <w:tab w:val="left" w:pos="525"/>
                <w:tab w:val="center" w:pos="838"/>
              </w:tabs>
              <w:rPr>
                <w:b/>
                <w:bCs/>
                <w:sz w:val="24"/>
                <w:szCs w:val="24"/>
              </w:rPr>
            </w:pPr>
            <w:r w:rsidRPr="0052009D">
              <w:rPr>
                <w:b/>
                <w:bCs/>
                <w:sz w:val="24"/>
                <w:szCs w:val="24"/>
              </w:rPr>
              <w:tab/>
              <w:t>110</w:t>
            </w:r>
          </w:p>
          <w:p w:rsidR="00D77238" w:rsidRPr="0052009D" w:rsidRDefault="00D77238" w:rsidP="00D77238">
            <w:pPr>
              <w:jc w:val="center"/>
              <w:rPr>
                <w:b/>
                <w:bCs/>
                <w:sz w:val="24"/>
                <w:szCs w:val="24"/>
              </w:rPr>
            </w:pPr>
          </w:p>
        </w:tc>
        <w:tc>
          <w:tcPr>
            <w:tcW w:w="3360" w:type="dxa"/>
          </w:tcPr>
          <w:p w:rsidR="00D77238" w:rsidRPr="0052009D" w:rsidRDefault="00D77238" w:rsidP="00D77238">
            <w:pPr>
              <w:jc w:val="center"/>
              <w:rPr>
                <w:b/>
                <w:bCs/>
                <w:sz w:val="24"/>
                <w:szCs w:val="24"/>
              </w:rPr>
            </w:pPr>
          </w:p>
          <w:p w:rsidR="00D77238" w:rsidRPr="0052009D" w:rsidRDefault="00D77238" w:rsidP="00D77238">
            <w:pPr>
              <w:jc w:val="center"/>
              <w:rPr>
                <w:b/>
                <w:bCs/>
                <w:sz w:val="24"/>
                <w:szCs w:val="24"/>
              </w:rPr>
            </w:pPr>
            <w:r w:rsidRPr="0052009D">
              <w:rPr>
                <w:b/>
                <w:bCs/>
                <w:sz w:val="24"/>
                <w:szCs w:val="24"/>
              </w:rPr>
              <w:t>94%</w:t>
            </w:r>
          </w:p>
        </w:tc>
      </w:tr>
    </w:tbl>
    <w:p w:rsidR="00D77238" w:rsidRPr="0052009D" w:rsidRDefault="00D77238" w:rsidP="00A76D6E">
      <w:pPr>
        <w:spacing w:line="360" w:lineRule="auto"/>
        <w:jc w:val="both"/>
        <w:rPr>
          <w:rFonts w:ascii="Times New Roman" w:hAnsi="Times New Roman" w:cs="Times New Roman"/>
          <w:b/>
          <w:bCs/>
          <w:sz w:val="32"/>
          <w:szCs w:val="32"/>
          <w:lang w:bidi="fa-IR"/>
        </w:rPr>
      </w:pPr>
    </w:p>
    <w:p w:rsidR="00D77238" w:rsidRPr="0052009D" w:rsidRDefault="00D77238" w:rsidP="00A76D6E">
      <w:pPr>
        <w:spacing w:line="360" w:lineRule="auto"/>
        <w:jc w:val="both"/>
        <w:rPr>
          <w:rFonts w:ascii="Times New Roman" w:hAnsi="Times New Roman" w:cs="Times New Roman"/>
          <w:b/>
          <w:bCs/>
          <w:sz w:val="32"/>
          <w:szCs w:val="32"/>
          <w:lang w:bidi="fa-IR"/>
        </w:rPr>
      </w:pPr>
    </w:p>
    <w:p w:rsidR="00A76D6E" w:rsidRPr="0052009D" w:rsidRDefault="00D77238" w:rsidP="00D77238">
      <w:pPr>
        <w:spacing w:after="160" w:line="259" w:lineRule="auto"/>
        <w:jc w:val="center"/>
        <w:rPr>
          <w:rFonts w:ascii="Times New Roman" w:hAnsi="Times New Roman" w:cs="Times New Roman"/>
          <w:sz w:val="32"/>
          <w:szCs w:val="32"/>
          <w:lang w:bidi="fa-IR"/>
        </w:rPr>
      </w:pPr>
      <w:bookmarkStart w:id="9" w:name="_Toc474778858"/>
      <w:bookmarkStart w:id="10" w:name="_Toc474925665"/>
      <w:r w:rsidRPr="0052009D">
        <w:rPr>
          <w:rFonts w:ascii="Times New Roman" w:hAnsi="Times New Roman" w:cs="Times New Roman"/>
          <w:b/>
          <w:bCs/>
          <w:i/>
          <w:iCs/>
          <w:sz w:val="24"/>
          <w:szCs w:val="24"/>
          <w:lang w:bidi="fa-IR"/>
        </w:rPr>
        <w:t>Table 4.5.</w:t>
      </w:r>
      <w:r w:rsidRPr="0052009D">
        <w:rPr>
          <w:rFonts w:ascii="Times New Roman" w:hAnsi="Times New Roman" w:cs="Times New Roman"/>
          <w:sz w:val="24"/>
          <w:szCs w:val="24"/>
          <w:lang w:bidi="fa-IR"/>
        </w:rPr>
        <w:t xml:space="preserve"> Total Actuarial Liability based on 20% discount rate</w:t>
      </w:r>
      <w:bookmarkEnd w:id="9"/>
      <w:bookmarkEnd w:id="10"/>
    </w:p>
    <w:tbl>
      <w:tblPr>
        <w:tblStyle w:val="TableGrid4"/>
        <w:tblW w:w="0" w:type="auto"/>
        <w:tblLook w:val="04A0" w:firstRow="1" w:lastRow="0" w:firstColumn="1" w:lastColumn="0" w:noHBand="0" w:noVBand="1"/>
      </w:tblPr>
      <w:tblGrid>
        <w:gridCol w:w="2210"/>
        <w:gridCol w:w="1957"/>
        <w:gridCol w:w="1860"/>
        <w:gridCol w:w="3216"/>
      </w:tblGrid>
      <w:tr w:rsidR="0052009D" w:rsidRPr="0052009D" w:rsidTr="00D77238">
        <w:tc>
          <w:tcPr>
            <w:tcW w:w="2210" w:type="dxa"/>
            <w:vMerge w:val="restart"/>
          </w:tcPr>
          <w:p w:rsidR="00D77238" w:rsidRPr="0052009D" w:rsidRDefault="00D77238" w:rsidP="00D77238">
            <w:pPr>
              <w:jc w:val="center"/>
              <w:rPr>
                <w:b/>
                <w:bCs/>
              </w:rPr>
            </w:pPr>
          </w:p>
          <w:p w:rsidR="00D77238" w:rsidRPr="0052009D" w:rsidRDefault="00D77238" w:rsidP="00D77238">
            <w:pPr>
              <w:jc w:val="center"/>
              <w:rPr>
                <w:b/>
                <w:bCs/>
              </w:rPr>
            </w:pPr>
            <w:r w:rsidRPr="0052009D">
              <w:rPr>
                <w:b/>
                <w:bCs/>
              </w:rPr>
              <w:t>Discount rate</w:t>
            </w:r>
          </w:p>
          <w:p w:rsidR="00D77238" w:rsidRPr="0052009D" w:rsidRDefault="00D77238" w:rsidP="00D77238">
            <w:pPr>
              <w:jc w:val="center"/>
              <w:rPr>
                <w:b/>
                <w:bCs/>
              </w:rPr>
            </w:pPr>
          </w:p>
        </w:tc>
        <w:tc>
          <w:tcPr>
            <w:tcW w:w="3817" w:type="dxa"/>
            <w:gridSpan w:val="2"/>
          </w:tcPr>
          <w:p w:rsidR="00D77238" w:rsidRPr="0052009D" w:rsidRDefault="00D77238" w:rsidP="00D77238">
            <w:pPr>
              <w:jc w:val="center"/>
              <w:rPr>
                <w:b/>
                <w:bCs/>
              </w:rPr>
            </w:pPr>
            <w:r w:rsidRPr="0052009D">
              <w:rPr>
                <w:b/>
                <w:bCs/>
              </w:rPr>
              <w:t>Total Actuarial Liability</w:t>
            </w:r>
          </w:p>
          <w:p w:rsidR="00D77238" w:rsidRPr="0052009D" w:rsidRDefault="00D77238" w:rsidP="00D77238">
            <w:pPr>
              <w:jc w:val="center"/>
              <w:rPr>
                <w:b/>
                <w:bCs/>
              </w:rPr>
            </w:pPr>
          </w:p>
        </w:tc>
        <w:tc>
          <w:tcPr>
            <w:tcW w:w="3216" w:type="dxa"/>
            <w:vMerge w:val="restart"/>
          </w:tcPr>
          <w:p w:rsidR="00D77238" w:rsidRPr="0052009D" w:rsidRDefault="00D77238" w:rsidP="00D77238">
            <w:pPr>
              <w:jc w:val="center"/>
              <w:rPr>
                <w:b/>
                <w:bCs/>
              </w:rPr>
            </w:pPr>
          </w:p>
          <w:p w:rsidR="00D77238" w:rsidRPr="0052009D" w:rsidRDefault="00D77238" w:rsidP="00D77238">
            <w:pPr>
              <w:jc w:val="center"/>
              <w:rPr>
                <w:b/>
                <w:bCs/>
              </w:rPr>
            </w:pPr>
            <w:r w:rsidRPr="0052009D">
              <w:rPr>
                <w:b/>
                <w:bCs/>
              </w:rPr>
              <w:t>Percentage difference</w:t>
            </w:r>
          </w:p>
        </w:tc>
      </w:tr>
      <w:tr w:rsidR="0052009D" w:rsidRPr="0052009D" w:rsidTr="00D77238">
        <w:tc>
          <w:tcPr>
            <w:tcW w:w="2210" w:type="dxa"/>
            <w:vMerge/>
          </w:tcPr>
          <w:p w:rsidR="00D77238" w:rsidRPr="0052009D" w:rsidRDefault="00D77238" w:rsidP="00D77238">
            <w:pPr>
              <w:jc w:val="center"/>
              <w:rPr>
                <w:b/>
                <w:bCs/>
              </w:rPr>
            </w:pPr>
          </w:p>
        </w:tc>
        <w:tc>
          <w:tcPr>
            <w:tcW w:w="1957" w:type="dxa"/>
          </w:tcPr>
          <w:p w:rsidR="00D77238" w:rsidRPr="0052009D" w:rsidRDefault="00D77238" w:rsidP="00D77238">
            <w:pPr>
              <w:tabs>
                <w:tab w:val="left" w:pos="600"/>
              </w:tabs>
              <w:jc w:val="center"/>
              <w:rPr>
                <w:b/>
                <w:bCs/>
              </w:rPr>
            </w:pPr>
            <w:r w:rsidRPr="0052009D">
              <w:rPr>
                <w:b/>
                <w:bCs/>
              </w:rPr>
              <w:t>PUC</w:t>
            </w:r>
          </w:p>
        </w:tc>
        <w:tc>
          <w:tcPr>
            <w:tcW w:w="1860" w:type="dxa"/>
          </w:tcPr>
          <w:p w:rsidR="00D77238" w:rsidRPr="0052009D" w:rsidRDefault="00D77238" w:rsidP="00D77238">
            <w:pPr>
              <w:jc w:val="center"/>
              <w:rPr>
                <w:b/>
                <w:bCs/>
              </w:rPr>
            </w:pPr>
            <w:r w:rsidRPr="0052009D">
              <w:rPr>
                <w:b/>
                <w:bCs/>
              </w:rPr>
              <w:t>EAN</w:t>
            </w:r>
          </w:p>
          <w:p w:rsidR="00D77238" w:rsidRPr="0052009D" w:rsidRDefault="00D77238" w:rsidP="00D77238">
            <w:pPr>
              <w:jc w:val="center"/>
              <w:rPr>
                <w:b/>
                <w:bCs/>
              </w:rPr>
            </w:pPr>
          </w:p>
        </w:tc>
        <w:tc>
          <w:tcPr>
            <w:tcW w:w="3216" w:type="dxa"/>
            <w:vMerge/>
          </w:tcPr>
          <w:p w:rsidR="00D77238" w:rsidRPr="0052009D" w:rsidRDefault="00D77238" w:rsidP="00D77238">
            <w:pPr>
              <w:jc w:val="center"/>
              <w:rPr>
                <w:b/>
                <w:bCs/>
              </w:rPr>
            </w:pPr>
          </w:p>
        </w:tc>
      </w:tr>
      <w:tr w:rsidR="00D77238" w:rsidRPr="0052009D" w:rsidTr="00D77238">
        <w:tc>
          <w:tcPr>
            <w:tcW w:w="2210" w:type="dxa"/>
          </w:tcPr>
          <w:p w:rsidR="00D77238" w:rsidRPr="0052009D" w:rsidRDefault="00D77238" w:rsidP="00D77238">
            <w:pPr>
              <w:jc w:val="center"/>
              <w:rPr>
                <w:b/>
                <w:bCs/>
                <w:sz w:val="24"/>
                <w:szCs w:val="24"/>
              </w:rPr>
            </w:pPr>
          </w:p>
          <w:p w:rsidR="00D77238" w:rsidRPr="0052009D" w:rsidRDefault="00D77238" w:rsidP="00D77238">
            <w:pPr>
              <w:jc w:val="center"/>
              <w:rPr>
                <w:b/>
                <w:bCs/>
                <w:sz w:val="24"/>
                <w:szCs w:val="24"/>
              </w:rPr>
            </w:pPr>
            <w:r w:rsidRPr="0052009D">
              <w:rPr>
                <w:b/>
                <w:bCs/>
                <w:sz w:val="24"/>
                <w:szCs w:val="24"/>
              </w:rPr>
              <w:t>20%</w:t>
            </w:r>
          </w:p>
        </w:tc>
        <w:tc>
          <w:tcPr>
            <w:tcW w:w="1957" w:type="dxa"/>
          </w:tcPr>
          <w:p w:rsidR="00D77238" w:rsidRPr="0052009D" w:rsidRDefault="00D77238" w:rsidP="00D77238">
            <w:pPr>
              <w:jc w:val="center"/>
              <w:rPr>
                <w:b/>
                <w:bCs/>
                <w:sz w:val="24"/>
                <w:szCs w:val="24"/>
              </w:rPr>
            </w:pPr>
          </w:p>
          <w:p w:rsidR="00D77238" w:rsidRPr="0052009D" w:rsidRDefault="00D77238" w:rsidP="00D77238">
            <w:pPr>
              <w:jc w:val="center"/>
              <w:rPr>
                <w:b/>
                <w:bCs/>
                <w:sz w:val="24"/>
                <w:szCs w:val="24"/>
              </w:rPr>
            </w:pPr>
            <w:r w:rsidRPr="0052009D">
              <w:rPr>
                <w:b/>
                <w:bCs/>
                <w:sz w:val="24"/>
                <w:szCs w:val="24"/>
              </w:rPr>
              <w:t>2,615</w:t>
            </w:r>
          </w:p>
          <w:p w:rsidR="00D77238" w:rsidRPr="0052009D" w:rsidRDefault="00D77238" w:rsidP="00D77238">
            <w:pPr>
              <w:jc w:val="center"/>
              <w:rPr>
                <w:b/>
                <w:bCs/>
                <w:sz w:val="24"/>
                <w:szCs w:val="24"/>
              </w:rPr>
            </w:pPr>
          </w:p>
        </w:tc>
        <w:tc>
          <w:tcPr>
            <w:tcW w:w="1860" w:type="dxa"/>
          </w:tcPr>
          <w:p w:rsidR="00D77238" w:rsidRPr="0052009D" w:rsidRDefault="00D77238" w:rsidP="00D77238">
            <w:pPr>
              <w:tabs>
                <w:tab w:val="left" w:pos="525"/>
                <w:tab w:val="center" w:pos="838"/>
              </w:tabs>
              <w:rPr>
                <w:b/>
                <w:bCs/>
                <w:sz w:val="24"/>
                <w:szCs w:val="24"/>
              </w:rPr>
            </w:pPr>
            <w:r w:rsidRPr="0052009D">
              <w:rPr>
                <w:b/>
                <w:bCs/>
                <w:sz w:val="24"/>
                <w:szCs w:val="24"/>
              </w:rPr>
              <w:tab/>
            </w:r>
          </w:p>
          <w:p w:rsidR="00D77238" w:rsidRPr="0052009D" w:rsidRDefault="00D77238" w:rsidP="00D77238">
            <w:pPr>
              <w:tabs>
                <w:tab w:val="left" w:pos="525"/>
                <w:tab w:val="center" w:pos="838"/>
              </w:tabs>
              <w:rPr>
                <w:b/>
                <w:bCs/>
                <w:sz w:val="24"/>
                <w:szCs w:val="24"/>
              </w:rPr>
            </w:pPr>
            <w:r w:rsidRPr="0052009D">
              <w:rPr>
                <w:b/>
                <w:bCs/>
                <w:sz w:val="24"/>
                <w:szCs w:val="24"/>
              </w:rPr>
              <w:tab/>
              <w:t>148</w:t>
            </w:r>
          </w:p>
          <w:p w:rsidR="00D77238" w:rsidRPr="0052009D" w:rsidRDefault="00D77238" w:rsidP="00D77238">
            <w:pPr>
              <w:jc w:val="center"/>
              <w:rPr>
                <w:b/>
                <w:bCs/>
                <w:sz w:val="24"/>
                <w:szCs w:val="24"/>
              </w:rPr>
            </w:pPr>
          </w:p>
        </w:tc>
        <w:tc>
          <w:tcPr>
            <w:tcW w:w="3216" w:type="dxa"/>
          </w:tcPr>
          <w:p w:rsidR="00D77238" w:rsidRPr="0052009D" w:rsidRDefault="00D77238" w:rsidP="00D77238">
            <w:pPr>
              <w:jc w:val="center"/>
              <w:rPr>
                <w:b/>
                <w:bCs/>
                <w:sz w:val="24"/>
                <w:szCs w:val="24"/>
              </w:rPr>
            </w:pPr>
          </w:p>
          <w:p w:rsidR="00D77238" w:rsidRPr="0052009D" w:rsidRDefault="00D77238" w:rsidP="00D77238">
            <w:pPr>
              <w:jc w:val="center"/>
              <w:rPr>
                <w:b/>
                <w:bCs/>
                <w:sz w:val="24"/>
                <w:szCs w:val="24"/>
              </w:rPr>
            </w:pPr>
            <w:r w:rsidRPr="0052009D">
              <w:rPr>
                <w:b/>
                <w:bCs/>
                <w:sz w:val="24"/>
                <w:szCs w:val="24"/>
              </w:rPr>
              <w:t>94%</w:t>
            </w:r>
          </w:p>
        </w:tc>
      </w:tr>
    </w:tbl>
    <w:p w:rsidR="00D77238" w:rsidRPr="0052009D" w:rsidRDefault="00D77238" w:rsidP="00A76D6E">
      <w:pPr>
        <w:spacing w:line="360" w:lineRule="auto"/>
        <w:jc w:val="both"/>
        <w:rPr>
          <w:rFonts w:ascii="Times New Roman" w:hAnsi="Times New Roman" w:cs="Times New Roman"/>
          <w:sz w:val="28"/>
          <w:szCs w:val="28"/>
          <w:lang w:bidi="fa-IR"/>
        </w:rPr>
      </w:pPr>
    </w:p>
    <w:p w:rsidR="00D77238" w:rsidRPr="0052009D" w:rsidRDefault="00D77238" w:rsidP="00A76D6E">
      <w:pPr>
        <w:spacing w:line="360" w:lineRule="auto"/>
        <w:jc w:val="both"/>
        <w:rPr>
          <w:rFonts w:ascii="Times New Roman" w:hAnsi="Times New Roman" w:cs="Times New Roman"/>
          <w:sz w:val="28"/>
          <w:szCs w:val="28"/>
          <w:lang w:bidi="fa-IR"/>
        </w:rPr>
      </w:pPr>
    </w:p>
    <w:p w:rsidR="00F776F5" w:rsidRPr="0052009D" w:rsidRDefault="00D77238" w:rsidP="00D77238">
      <w:pPr>
        <w:spacing w:after="160" w:line="259" w:lineRule="auto"/>
        <w:jc w:val="center"/>
        <w:rPr>
          <w:rFonts w:ascii="Times New Roman" w:hAnsi="Times New Roman" w:cs="Times New Roman"/>
          <w:sz w:val="32"/>
          <w:szCs w:val="32"/>
          <w:lang w:bidi="fa-IR"/>
        </w:rPr>
      </w:pPr>
      <w:bookmarkStart w:id="11" w:name="_Toc474778859"/>
      <w:bookmarkStart w:id="12" w:name="_Toc474925666"/>
      <w:r w:rsidRPr="0052009D">
        <w:rPr>
          <w:rFonts w:ascii="Times New Roman" w:hAnsi="Times New Roman" w:cs="Times New Roman"/>
          <w:b/>
          <w:bCs/>
          <w:i/>
          <w:iCs/>
          <w:sz w:val="24"/>
          <w:szCs w:val="24"/>
          <w:lang w:bidi="fa-IR"/>
        </w:rPr>
        <w:t>Table 4.6.</w:t>
      </w:r>
      <w:r w:rsidRPr="0052009D">
        <w:rPr>
          <w:rFonts w:ascii="Times New Roman" w:hAnsi="Times New Roman" w:cs="Times New Roman"/>
          <w:sz w:val="24"/>
          <w:szCs w:val="24"/>
          <w:lang w:bidi="fa-IR"/>
        </w:rPr>
        <w:t xml:space="preserve"> Total Actuarial Liability based on the discount rate which is equal to 18% for the first 5 years, 15% for the next five years and 10% for the remainder years</w:t>
      </w:r>
      <w:bookmarkEnd w:id="11"/>
      <w:bookmarkEnd w:id="12"/>
    </w:p>
    <w:tbl>
      <w:tblPr>
        <w:tblStyle w:val="TableGrid5"/>
        <w:tblW w:w="0" w:type="auto"/>
        <w:tblLook w:val="04A0" w:firstRow="1" w:lastRow="0" w:firstColumn="1" w:lastColumn="0" w:noHBand="0" w:noVBand="1"/>
      </w:tblPr>
      <w:tblGrid>
        <w:gridCol w:w="2297"/>
        <w:gridCol w:w="2026"/>
        <w:gridCol w:w="1893"/>
        <w:gridCol w:w="3360"/>
      </w:tblGrid>
      <w:tr w:rsidR="0052009D" w:rsidRPr="0052009D" w:rsidTr="00D77238">
        <w:tc>
          <w:tcPr>
            <w:tcW w:w="2297" w:type="dxa"/>
            <w:vMerge w:val="restart"/>
          </w:tcPr>
          <w:p w:rsidR="00D77238" w:rsidRPr="0052009D" w:rsidRDefault="00D77238" w:rsidP="00D77238">
            <w:pPr>
              <w:jc w:val="center"/>
              <w:rPr>
                <w:b/>
                <w:bCs/>
              </w:rPr>
            </w:pPr>
          </w:p>
          <w:p w:rsidR="00D77238" w:rsidRPr="0052009D" w:rsidRDefault="00D77238" w:rsidP="00D77238">
            <w:pPr>
              <w:jc w:val="center"/>
              <w:rPr>
                <w:b/>
                <w:bCs/>
              </w:rPr>
            </w:pPr>
            <w:r w:rsidRPr="0052009D">
              <w:rPr>
                <w:b/>
                <w:bCs/>
              </w:rPr>
              <w:t>Discount rate</w:t>
            </w:r>
          </w:p>
          <w:p w:rsidR="00D77238" w:rsidRPr="0052009D" w:rsidRDefault="00D77238" w:rsidP="00D77238">
            <w:pPr>
              <w:jc w:val="center"/>
              <w:rPr>
                <w:b/>
                <w:bCs/>
              </w:rPr>
            </w:pPr>
          </w:p>
        </w:tc>
        <w:tc>
          <w:tcPr>
            <w:tcW w:w="3919" w:type="dxa"/>
            <w:gridSpan w:val="2"/>
          </w:tcPr>
          <w:p w:rsidR="00D77238" w:rsidRPr="0052009D" w:rsidRDefault="00D77238" w:rsidP="00D77238">
            <w:pPr>
              <w:jc w:val="center"/>
              <w:rPr>
                <w:b/>
                <w:bCs/>
              </w:rPr>
            </w:pPr>
            <w:r w:rsidRPr="0052009D">
              <w:rPr>
                <w:b/>
                <w:bCs/>
              </w:rPr>
              <w:t>Total Actuarial Liability</w:t>
            </w:r>
          </w:p>
          <w:p w:rsidR="00D77238" w:rsidRPr="0052009D" w:rsidRDefault="00D77238" w:rsidP="00D77238">
            <w:pPr>
              <w:jc w:val="center"/>
              <w:rPr>
                <w:b/>
                <w:bCs/>
              </w:rPr>
            </w:pPr>
          </w:p>
        </w:tc>
        <w:tc>
          <w:tcPr>
            <w:tcW w:w="3360" w:type="dxa"/>
            <w:vMerge w:val="restart"/>
          </w:tcPr>
          <w:p w:rsidR="00D77238" w:rsidRPr="0052009D" w:rsidRDefault="00D77238" w:rsidP="00D77238">
            <w:pPr>
              <w:jc w:val="center"/>
              <w:rPr>
                <w:b/>
                <w:bCs/>
              </w:rPr>
            </w:pPr>
          </w:p>
          <w:p w:rsidR="00D77238" w:rsidRPr="0052009D" w:rsidRDefault="00D77238" w:rsidP="00D77238">
            <w:pPr>
              <w:jc w:val="center"/>
              <w:rPr>
                <w:b/>
                <w:bCs/>
              </w:rPr>
            </w:pPr>
            <w:r w:rsidRPr="0052009D">
              <w:rPr>
                <w:b/>
                <w:bCs/>
              </w:rPr>
              <w:t>Percentage difference</w:t>
            </w:r>
          </w:p>
        </w:tc>
      </w:tr>
      <w:tr w:rsidR="0052009D" w:rsidRPr="0052009D" w:rsidTr="00D77238">
        <w:tc>
          <w:tcPr>
            <w:tcW w:w="2297" w:type="dxa"/>
            <w:vMerge/>
          </w:tcPr>
          <w:p w:rsidR="00D77238" w:rsidRPr="0052009D" w:rsidRDefault="00D77238" w:rsidP="00D77238">
            <w:pPr>
              <w:jc w:val="center"/>
              <w:rPr>
                <w:b/>
                <w:bCs/>
              </w:rPr>
            </w:pPr>
          </w:p>
        </w:tc>
        <w:tc>
          <w:tcPr>
            <w:tcW w:w="2026" w:type="dxa"/>
          </w:tcPr>
          <w:p w:rsidR="00D77238" w:rsidRPr="0052009D" w:rsidRDefault="00D77238" w:rsidP="00D77238">
            <w:pPr>
              <w:tabs>
                <w:tab w:val="left" w:pos="600"/>
              </w:tabs>
              <w:jc w:val="center"/>
              <w:rPr>
                <w:b/>
                <w:bCs/>
              </w:rPr>
            </w:pPr>
            <w:r w:rsidRPr="0052009D">
              <w:rPr>
                <w:b/>
                <w:bCs/>
              </w:rPr>
              <w:t>PUC</w:t>
            </w:r>
          </w:p>
        </w:tc>
        <w:tc>
          <w:tcPr>
            <w:tcW w:w="1893" w:type="dxa"/>
          </w:tcPr>
          <w:p w:rsidR="00D77238" w:rsidRPr="0052009D" w:rsidRDefault="00D77238" w:rsidP="00D77238">
            <w:pPr>
              <w:jc w:val="center"/>
              <w:rPr>
                <w:b/>
                <w:bCs/>
              </w:rPr>
            </w:pPr>
            <w:r w:rsidRPr="0052009D">
              <w:rPr>
                <w:b/>
                <w:bCs/>
              </w:rPr>
              <w:t>EAN</w:t>
            </w:r>
          </w:p>
          <w:p w:rsidR="00D77238" w:rsidRPr="0052009D" w:rsidRDefault="00D77238" w:rsidP="00D77238">
            <w:pPr>
              <w:jc w:val="center"/>
              <w:rPr>
                <w:b/>
                <w:bCs/>
              </w:rPr>
            </w:pPr>
          </w:p>
        </w:tc>
        <w:tc>
          <w:tcPr>
            <w:tcW w:w="3360" w:type="dxa"/>
            <w:vMerge/>
          </w:tcPr>
          <w:p w:rsidR="00D77238" w:rsidRPr="0052009D" w:rsidRDefault="00D77238" w:rsidP="00D77238">
            <w:pPr>
              <w:jc w:val="center"/>
              <w:rPr>
                <w:b/>
                <w:bCs/>
              </w:rPr>
            </w:pPr>
          </w:p>
        </w:tc>
      </w:tr>
      <w:tr w:rsidR="00D77238" w:rsidRPr="0052009D" w:rsidTr="00D77238">
        <w:tc>
          <w:tcPr>
            <w:tcW w:w="2297" w:type="dxa"/>
          </w:tcPr>
          <w:p w:rsidR="00D77238" w:rsidRPr="0052009D" w:rsidRDefault="00D77238" w:rsidP="00D77238">
            <w:pPr>
              <w:jc w:val="center"/>
              <w:rPr>
                <w:b/>
                <w:bCs/>
                <w:sz w:val="24"/>
                <w:szCs w:val="24"/>
              </w:rPr>
            </w:pPr>
          </w:p>
          <w:p w:rsidR="00D77238" w:rsidRPr="0052009D" w:rsidRDefault="00D77238" w:rsidP="00D77238">
            <w:pPr>
              <w:jc w:val="center"/>
              <w:rPr>
                <w:b/>
                <w:bCs/>
                <w:sz w:val="24"/>
                <w:szCs w:val="24"/>
              </w:rPr>
            </w:pPr>
            <w:r w:rsidRPr="0052009D">
              <w:rPr>
                <w:b/>
                <w:bCs/>
                <w:sz w:val="24"/>
                <w:szCs w:val="24"/>
              </w:rPr>
              <w:t>For the first 5 years:18%</w:t>
            </w:r>
          </w:p>
          <w:p w:rsidR="00D77238" w:rsidRPr="0052009D" w:rsidRDefault="00D77238" w:rsidP="00D77238">
            <w:pPr>
              <w:jc w:val="center"/>
              <w:rPr>
                <w:b/>
                <w:bCs/>
                <w:sz w:val="24"/>
                <w:szCs w:val="24"/>
              </w:rPr>
            </w:pPr>
            <w:r w:rsidRPr="0052009D">
              <w:rPr>
                <w:b/>
                <w:bCs/>
                <w:sz w:val="24"/>
                <w:szCs w:val="24"/>
              </w:rPr>
              <w:t>for the next 5  years:15%</w:t>
            </w:r>
          </w:p>
          <w:p w:rsidR="00D77238" w:rsidRPr="0052009D" w:rsidRDefault="00D77238" w:rsidP="00D77238">
            <w:pPr>
              <w:jc w:val="center"/>
              <w:rPr>
                <w:b/>
                <w:bCs/>
                <w:sz w:val="24"/>
                <w:szCs w:val="24"/>
              </w:rPr>
            </w:pPr>
            <w:r w:rsidRPr="0052009D">
              <w:rPr>
                <w:b/>
                <w:bCs/>
                <w:sz w:val="24"/>
                <w:szCs w:val="24"/>
              </w:rPr>
              <w:t>for the remainder years:10%</w:t>
            </w:r>
          </w:p>
          <w:p w:rsidR="00D77238" w:rsidRPr="0052009D" w:rsidRDefault="00D77238" w:rsidP="00D77238">
            <w:pPr>
              <w:jc w:val="center"/>
              <w:rPr>
                <w:b/>
                <w:bCs/>
                <w:sz w:val="24"/>
                <w:szCs w:val="24"/>
              </w:rPr>
            </w:pPr>
          </w:p>
        </w:tc>
        <w:tc>
          <w:tcPr>
            <w:tcW w:w="2026" w:type="dxa"/>
          </w:tcPr>
          <w:p w:rsidR="00D77238" w:rsidRPr="0052009D" w:rsidRDefault="00D77238" w:rsidP="00D77238">
            <w:pPr>
              <w:jc w:val="center"/>
              <w:rPr>
                <w:b/>
                <w:bCs/>
                <w:sz w:val="24"/>
                <w:szCs w:val="24"/>
              </w:rPr>
            </w:pPr>
          </w:p>
          <w:p w:rsidR="00D77238" w:rsidRPr="0052009D" w:rsidRDefault="00D77238" w:rsidP="00D77238">
            <w:pPr>
              <w:jc w:val="center"/>
              <w:rPr>
                <w:b/>
                <w:bCs/>
                <w:sz w:val="24"/>
                <w:szCs w:val="24"/>
              </w:rPr>
            </w:pPr>
          </w:p>
          <w:p w:rsidR="00D77238" w:rsidRPr="0052009D" w:rsidRDefault="00D77238" w:rsidP="00D77238">
            <w:pPr>
              <w:jc w:val="center"/>
              <w:rPr>
                <w:b/>
                <w:bCs/>
                <w:sz w:val="24"/>
                <w:szCs w:val="24"/>
              </w:rPr>
            </w:pPr>
            <w:r w:rsidRPr="0052009D">
              <w:rPr>
                <w:b/>
                <w:bCs/>
                <w:sz w:val="24"/>
                <w:szCs w:val="24"/>
              </w:rPr>
              <w:t>5,552</w:t>
            </w:r>
          </w:p>
        </w:tc>
        <w:tc>
          <w:tcPr>
            <w:tcW w:w="1893" w:type="dxa"/>
          </w:tcPr>
          <w:p w:rsidR="00D77238" w:rsidRPr="0052009D" w:rsidRDefault="00D77238" w:rsidP="00D77238">
            <w:pPr>
              <w:tabs>
                <w:tab w:val="left" w:pos="525"/>
                <w:tab w:val="center" w:pos="838"/>
              </w:tabs>
              <w:rPr>
                <w:b/>
                <w:bCs/>
                <w:sz w:val="24"/>
                <w:szCs w:val="24"/>
              </w:rPr>
            </w:pPr>
            <w:r w:rsidRPr="0052009D">
              <w:rPr>
                <w:b/>
                <w:bCs/>
                <w:sz w:val="24"/>
                <w:szCs w:val="24"/>
              </w:rPr>
              <w:tab/>
            </w:r>
          </w:p>
          <w:p w:rsidR="00D77238" w:rsidRPr="0052009D" w:rsidRDefault="00D77238" w:rsidP="00D77238">
            <w:pPr>
              <w:rPr>
                <w:sz w:val="24"/>
                <w:szCs w:val="24"/>
              </w:rPr>
            </w:pPr>
            <w:r w:rsidRPr="0052009D">
              <w:rPr>
                <w:sz w:val="24"/>
                <w:szCs w:val="24"/>
              </w:rPr>
              <w:tab/>
            </w:r>
          </w:p>
          <w:p w:rsidR="00D77238" w:rsidRPr="0052009D" w:rsidRDefault="00D77238" w:rsidP="00D77238">
            <w:pPr>
              <w:jc w:val="center"/>
              <w:rPr>
                <w:b/>
                <w:bCs/>
                <w:sz w:val="24"/>
                <w:szCs w:val="24"/>
              </w:rPr>
            </w:pPr>
            <w:r w:rsidRPr="0052009D">
              <w:rPr>
                <w:b/>
                <w:bCs/>
                <w:sz w:val="24"/>
                <w:szCs w:val="24"/>
              </w:rPr>
              <w:t>270</w:t>
            </w:r>
          </w:p>
        </w:tc>
        <w:tc>
          <w:tcPr>
            <w:tcW w:w="3360" w:type="dxa"/>
          </w:tcPr>
          <w:p w:rsidR="00D77238" w:rsidRPr="0052009D" w:rsidRDefault="00D77238" w:rsidP="00D77238">
            <w:pPr>
              <w:jc w:val="center"/>
              <w:rPr>
                <w:b/>
                <w:bCs/>
                <w:sz w:val="24"/>
                <w:szCs w:val="24"/>
              </w:rPr>
            </w:pPr>
          </w:p>
          <w:p w:rsidR="00D77238" w:rsidRPr="0052009D" w:rsidRDefault="00D77238" w:rsidP="00D77238">
            <w:pPr>
              <w:jc w:val="center"/>
              <w:rPr>
                <w:b/>
                <w:bCs/>
                <w:sz w:val="24"/>
                <w:szCs w:val="24"/>
              </w:rPr>
            </w:pPr>
          </w:p>
          <w:p w:rsidR="00D77238" w:rsidRPr="0052009D" w:rsidRDefault="00D77238" w:rsidP="00D77238">
            <w:pPr>
              <w:jc w:val="center"/>
              <w:rPr>
                <w:b/>
                <w:bCs/>
                <w:sz w:val="24"/>
                <w:szCs w:val="24"/>
              </w:rPr>
            </w:pPr>
            <w:r w:rsidRPr="0052009D">
              <w:rPr>
                <w:b/>
                <w:bCs/>
                <w:sz w:val="24"/>
                <w:szCs w:val="24"/>
              </w:rPr>
              <w:t>95%</w:t>
            </w:r>
          </w:p>
        </w:tc>
      </w:tr>
    </w:tbl>
    <w:p w:rsidR="00137482" w:rsidRPr="0052009D" w:rsidRDefault="00137482" w:rsidP="0056771B">
      <w:pPr>
        <w:spacing w:line="360" w:lineRule="auto"/>
        <w:jc w:val="both"/>
        <w:rPr>
          <w:rFonts w:ascii="Times New Roman" w:hAnsi="Times New Roman" w:cs="Times New Roman"/>
          <w:sz w:val="28"/>
          <w:szCs w:val="28"/>
        </w:rPr>
      </w:pPr>
    </w:p>
    <w:p w:rsidR="00DB76EF" w:rsidRPr="0052009D" w:rsidRDefault="00FF68C7" w:rsidP="00FF68C7">
      <w:pPr>
        <w:rPr>
          <w:b/>
          <w:bCs/>
          <w:sz w:val="20"/>
          <w:szCs w:val="20"/>
          <w:lang w:bidi="fa-IR"/>
        </w:rPr>
      </w:pPr>
      <w:r w:rsidRPr="0052009D">
        <w:rPr>
          <w:rStyle w:val="Heading1Char"/>
          <w:rFonts w:asciiTheme="majorBidi" w:hAnsiTheme="majorBidi"/>
          <w:color w:val="auto"/>
          <w:sz w:val="32"/>
          <w:szCs w:val="32"/>
        </w:rPr>
        <w:t>Appendix B:</w:t>
      </w:r>
    </w:p>
    <w:p w:rsidR="00D77238" w:rsidRPr="0052009D" w:rsidRDefault="00D77238" w:rsidP="00D77238">
      <w:pPr>
        <w:jc w:val="center"/>
        <w:rPr>
          <w:b/>
          <w:bCs/>
          <w:lang w:bidi="fa-IR"/>
        </w:rPr>
      </w:pPr>
      <w:r w:rsidRPr="0052009D">
        <w:rPr>
          <w:b/>
          <w:bCs/>
          <w:lang w:bidi="fa-IR"/>
        </w:rPr>
        <w:t>Table de mortality TD 88-90</w:t>
      </w:r>
    </w:p>
    <w:tbl>
      <w:tblPr>
        <w:tblpPr w:leftFromText="180" w:rightFromText="180" w:vertAnchor="text" w:tblpXSpec="center" w:tblpY="1"/>
        <w:tblOverlap w:val="never"/>
        <w:tblW w:w="5272" w:type="dxa"/>
        <w:tblLook w:val="0000" w:firstRow="0" w:lastRow="0" w:firstColumn="0" w:lastColumn="0" w:noHBand="0" w:noVBand="0"/>
      </w:tblPr>
      <w:tblGrid>
        <w:gridCol w:w="643"/>
        <w:gridCol w:w="959"/>
        <w:gridCol w:w="748"/>
        <w:gridCol w:w="550"/>
        <w:gridCol w:w="576"/>
        <w:gridCol w:w="816"/>
        <w:gridCol w:w="696"/>
        <w:gridCol w:w="497"/>
      </w:tblGrid>
      <w:tr w:rsidR="0052009D" w:rsidRPr="0052009D" w:rsidTr="00D77238">
        <w:trPr>
          <w:trHeight w:hRule="exact" w:val="284"/>
        </w:trPr>
        <w:tc>
          <w:tcPr>
            <w:tcW w:w="643" w:type="dxa"/>
            <w:tcBorders>
              <w:top w:val="single" w:sz="12" w:space="0" w:color="auto"/>
              <w:left w:val="single" w:sz="12" w:space="0" w:color="auto"/>
              <w:bottom w:val="single" w:sz="12" w:space="0" w:color="auto"/>
              <w:right w:val="single" w:sz="4" w:space="0" w:color="auto"/>
            </w:tcBorders>
            <w:shd w:val="clear" w:color="auto" w:fill="D9D9D9"/>
            <w:noWrap/>
            <w:vAlign w:val="center"/>
          </w:tcPr>
          <w:p w:rsidR="00D77238" w:rsidRPr="0052009D" w:rsidRDefault="00D77238" w:rsidP="00D77238">
            <w:pPr>
              <w:spacing w:line="360" w:lineRule="auto"/>
              <w:jc w:val="both"/>
              <w:rPr>
                <w:rFonts w:ascii="Times New Roman" w:hAnsi="Times New Roman" w:cs="Times New Roman"/>
                <w:b/>
                <w:bCs/>
                <w:sz w:val="24"/>
                <w:szCs w:val="24"/>
                <w:lang w:bidi="fa-IR"/>
              </w:rPr>
            </w:pPr>
            <w:r w:rsidRPr="0052009D">
              <w:rPr>
                <w:rFonts w:ascii="Times New Roman" w:hAnsi="Times New Roman" w:cs="Times New Roman"/>
                <w:b/>
                <w:bCs/>
                <w:sz w:val="24"/>
                <w:szCs w:val="24"/>
                <w:lang w:bidi="fa-IR"/>
              </w:rPr>
              <w:t>X</w:t>
            </w:r>
          </w:p>
        </w:tc>
        <w:tc>
          <w:tcPr>
            <w:tcW w:w="959" w:type="dxa"/>
            <w:tcBorders>
              <w:top w:val="single" w:sz="12" w:space="0" w:color="auto"/>
              <w:left w:val="nil"/>
              <w:bottom w:val="single" w:sz="12" w:space="0" w:color="auto"/>
              <w:right w:val="single" w:sz="4" w:space="0" w:color="auto"/>
            </w:tcBorders>
            <w:shd w:val="clear" w:color="auto" w:fill="D9D9D9"/>
            <w:noWrap/>
            <w:vAlign w:val="center"/>
          </w:tcPr>
          <w:p w:rsidR="00D77238" w:rsidRPr="0052009D" w:rsidRDefault="00D77238" w:rsidP="00D77238">
            <w:pPr>
              <w:spacing w:line="360" w:lineRule="auto"/>
              <w:jc w:val="both"/>
              <w:rPr>
                <w:rFonts w:ascii="Times New Roman" w:hAnsi="Times New Roman" w:cs="Times New Roman"/>
                <w:b/>
                <w:bCs/>
                <w:sz w:val="24"/>
                <w:szCs w:val="24"/>
                <w:lang w:bidi="fa-IR"/>
              </w:rPr>
            </w:pPr>
            <w:r w:rsidRPr="0052009D">
              <w:rPr>
                <w:rFonts w:ascii="Times New Roman" w:hAnsi="Times New Roman" w:cs="Times New Roman"/>
                <w:b/>
                <w:bCs/>
                <w:sz w:val="24"/>
                <w:szCs w:val="24"/>
                <w:lang w:bidi="fa-IR"/>
              </w:rPr>
              <w:t>lx</w:t>
            </w:r>
          </w:p>
        </w:tc>
        <w:tc>
          <w:tcPr>
            <w:tcW w:w="748" w:type="dxa"/>
            <w:tcBorders>
              <w:top w:val="single" w:sz="12" w:space="0" w:color="auto"/>
              <w:left w:val="nil"/>
              <w:bottom w:val="single" w:sz="12" w:space="0" w:color="auto"/>
              <w:right w:val="single" w:sz="4" w:space="0" w:color="auto"/>
            </w:tcBorders>
            <w:shd w:val="clear" w:color="auto" w:fill="D9D9D9"/>
            <w:noWrap/>
            <w:vAlign w:val="center"/>
          </w:tcPr>
          <w:p w:rsidR="00D77238" w:rsidRPr="0052009D" w:rsidRDefault="00D77238" w:rsidP="00D77238">
            <w:pPr>
              <w:spacing w:line="360" w:lineRule="auto"/>
              <w:jc w:val="both"/>
              <w:rPr>
                <w:rFonts w:ascii="Times New Roman" w:hAnsi="Times New Roman" w:cs="Times New Roman"/>
                <w:b/>
                <w:bCs/>
                <w:sz w:val="24"/>
                <w:szCs w:val="24"/>
                <w:lang w:bidi="fa-IR"/>
              </w:rPr>
            </w:pPr>
            <w:r w:rsidRPr="0052009D">
              <w:rPr>
                <w:rFonts w:ascii="Times New Roman" w:hAnsi="Times New Roman" w:cs="Times New Roman"/>
                <w:b/>
                <w:bCs/>
                <w:sz w:val="24"/>
                <w:szCs w:val="24"/>
                <w:lang w:bidi="fa-IR"/>
              </w:rPr>
              <w:t>dx</w:t>
            </w:r>
          </w:p>
        </w:tc>
        <w:tc>
          <w:tcPr>
            <w:tcW w:w="550" w:type="dxa"/>
            <w:tcBorders>
              <w:top w:val="single" w:sz="12" w:space="0" w:color="auto"/>
              <w:left w:val="nil"/>
              <w:bottom w:val="single" w:sz="12" w:space="0" w:color="auto"/>
              <w:right w:val="single" w:sz="12" w:space="0" w:color="auto"/>
            </w:tcBorders>
            <w:shd w:val="clear" w:color="auto" w:fill="D9D9D9"/>
            <w:noWrap/>
            <w:vAlign w:val="center"/>
          </w:tcPr>
          <w:p w:rsidR="00D77238" w:rsidRPr="0052009D" w:rsidRDefault="00D77238" w:rsidP="00D77238">
            <w:pPr>
              <w:spacing w:line="360" w:lineRule="auto"/>
              <w:jc w:val="both"/>
              <w:rPr>
                <w:rFonts w:ascii="Times New Roman" w:hAnsi="Times New Roman" w:cs="Times New Roman"/>
                <w:b/>
                <w:bCs/>
                <w:sz w:val="24"/>
                <w:szCs w:val="24"/>
                <w:lang w:bidi="fa-IR"/>
              </w:rPr>
            </w:pPr>
            <w:r w:rsidRPr="0052009D">
              <w:rPr>
                <w:rFonts w:ascii="Times New Roman" w:hAnsi="Times New Roman" w:cs="Times New Roman"/>
                <w:b/>
                <w:bCs/>
                <w:sz w:val="24"/>
                <w:szCs w:val="24"/>
                <w:lang w:bidi="fa-IR"/>
              </w:rPr>
              <w:t>ex</w:t>
            </w:r>
          </w:p>
        </w:tc>
        <w:tc>
          <w:tcPr>
            <w:tcW w:w="532" w:type="dxa"/>
            <w:tcBorders>
              <w:top w:val="single" w:sz="12" w:space="0" w:color="auto"/>
              <w:left w:val="single" w:sz="12" w:space="0" w:color="auto"/>
              <w:bottom w:val="single" w:sz="12" w:space="0" w:color="auto"/>
              <w:right w:val="single" w:sz="4" w:space="0" w:color="auto"/>
            </w:tcBorders>
            <w:shd w:val="clear" w:color="auto" w:fill="D9D9D9"/>
            <w:vAlign w:val="center"/>
          </w:tcPr>
          <w:p w:rsidR="00D77238" w:rsidRPr="0052009D" w:rsidRDefault="00D77238" w:rsidP="00D77238">
            <w:pPr>
              <w:spacing w:line="360" w:lineRule="auto"/>
              <w:jc w:val="both"/>
              <w:rPr>
                <w:rFonts w:ascii="Times New Roman" w:hAnsi="Times New Roman" w:cs="Times New Roman"/>
                <w:b/>
                <w:bCs/>
                <w:sz w:val="24"/>
                <w:szCs w:val="24"/>
                <w:lang w:bidi="fa-IR"/>
              </w:rPr>
            </w:pPr>
            <w:r w:rsidRPr="0052009D">
              <w:rPr>
                <w:rFonts w:ascii="Times New Roman" w:hAnsi="Times New Roman" w:cs="Times New Roman"/>
                <w:b/>
                <w:bCs/>
                <w:sz w:val="24"/>
                <w:szCs w:val="24"/>
                <w:lang w:bidi="fa-IR"/>
              </w:rPr>
              <w:t>X</w:t>
            </w:r>
          </w:p>
        </w:tc>
        <w:tc>
          <w:tcPr>
            <w:tcW w:w="742" w:type="dxa"/>
            <w:tcBorders>
              <w:top w:val="single" w:sz="12" w:space="0" w:color="auto"/>
              <w:left w:val="nil"/>
              <w:bottom w:val="single" w:sz="12" w:space="0" w:color="auto"/>
              <w:right w:val="single" w:sz="4" w:space="0" w:color="auto"/>
            </w:tcBorders>
            <w:shd w:val="clear" w:color="auto" w:fill="D9D9D9"/>
            <w:vAlign w:val="center"/>
          </w:tcPr>
          <w:p w:rsidR="00D77238" w:rsidRPr="0052009D" w:rsidRDefault="00D77238" w:rsidP="00D77238">
            <w:pPr>
              <w:spacing w:line="360" w:lineRule="auto"/>
              <w:jc w:val="both"/>
              <w:rPr>
                <w:rFonts w:ascii="Times New Roman" w:hAnsi="Times New Roman" w:cs="Times New Roman"/>
                <w:b/>
                <w:bCs/>
                <w:sz w:val="24"/>
                <w:szCs w:val="24"/>
                <w:lang w:bidi="fa-IR"/>
              </w:rPr>
            </w:pPr>
            <w:r w:rsidRPr="0052009D">
              <w:rPr>
                <w:rFonts w:ascii="Times New Roman" w:hAnsi="Times New Roman" w:cs="Times New Roman"/>
                <w:b/>
                <w:bCs/>
                <w:sz w:val="24"/>
                <w:szCs w:val="24"/>
                <w:lang w:bidi="fa-IR"/>
              </w:rPr>
              <w:t>lx</w:t>
            </w:r>
          </w:p>
        </w:tc>
        <w:tc>
          <w:tcPr>
            <w:tcW w:w="637" w:type="dxa"/>
            <w:tcBorders>
              <w:top w:val="single" w:sz="12" w:space="0" w:color="auto"/>
              <w:left w:val="nil"/>
              <w:bottom w:val="single" w:sz="12" w:space="0" w:color="auto"/>
              <w:right w:val="single" w:sz="4" w:space="0" w:color="auto"/>
            </w:tcBorders>
            <w:shd w:val="clear" w:color="auto" w:fill="D9D9D9"/>
            <w:vAlign w:val="center"/>
          </w:tcPr>
          <w:p w:rsidR="00D77238" w:rsidRPr="0052009D" w:rsidRDefault="00D77238" w:rsidP="00D77238">
            <w:pPr>
              <w:spacing w:line="360" w:lineRule="auto"/>
              <w:jc w:val="both"/>
              <w:rPr>
                <w:rFonts w:ascii="Times New Roman" w:hAnsi="Times New Roman" w:cs="Times New Roman"/>
                <w:b/>
                <w:bCs/>
                <w:sz w:val="24"/>
                <w:szCs w:val="24"/>
                <w:lang w:bidi="fa-IR"/>
              </w:rPr>
            </w:pPr>
            <w:r w:rsidRPr="0052009D">
              <w:rPr>
                <w:rFonts w:ascii="Times New Roman" w:hAnsi="Times New Roman" w:cs="Times New Roman"/>
                <w:b/>
                <w:bCs/>
                <w:sz w:val="24"/>
                <w:szCs w:val="24"/>
                <w:lang w:bidi="fa-IR"/>
              </w:rPr>
              <w:t>dx</w:t>
            </w:r>
          </w:p>
        </w:tc>
        <w:tc>
          <w:tcPr>
            <w:tcW w:w="461" w:type="dxa"/>
            <w:tcBorders>
              <w:top w:val="single" w:sz="12" w:space="0" w:color="auto"/>
              <w:left w:val="nil"/>
              <w:bottom w:val="single" w:sz="12" w:space="0" w:color="auto"/>
              <w:right w:val="single" w:sz="12" w:space="0" w:color="auto"/>
            </w:tcBorders>
            <w:shd w:val="clear" w:color="auto" w:fill="D9D9D9"/>
            <w:vAlign w:val="center"/>
          </w:tcPr>
          <w:p w:rsidR="00D77238" w:rsidRPr="0052009D" w:rsidRDefault="00D77238" w:rsidP="00D77238">
            <w:pPr>
              <w:spacing w:line="360" w:lineRule="auto"/>
              <w:jc w:val="both"/>
              <w:rPr>
                <w:rFonts w:ascii="Times New Roman" w:hAnsi="Times New Roman" w:cs="Times New Roman"/>
                <w:b/>
                <w:bCs/>
                <w:sz w:val="24"/>
                <w:szCs w:val="24"/>
                <w:lang w:bidi="fa-IR"/>
              </w:rPr>
            </w:pPr>
            <w:r w:rsidRPr="0052009D">
              <w:rPr>
                <w:rFonts w:ascii="Times New Roman" w:hAnsi="Times New Roman" w:cs="Times New Roman"/>
                <w:b/>
                <w:bCs/>
                <w:sz w:val="24"/>
                <w:szCs w:val="24"/>
                <w:lang w:bidi="fa-IR"/>
              </w:rPr>
              <w:t>Ex</w:t>
            </w:r>
          </w:p>
        </w:tc>
      </w:tr>
      <w:tr w:rsidR="0052009D" w:rsidRPr="0052009D" w:rsidTr="00D77238">
        <w:trPr>
          <w:trHeight w:hRule="exact" w:val="227"/>
        </w:trPr>
        <w:tc>
          <w:tcPr>
            <w:tcW w:w="643"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0</w:t>
            </w:r>
          </w:p>
        </w:tc>
        <w:tc>
          <w:tcPr>
            <w:tcW w:w="959" w:type="dxa"/>
            <w:tcBorders>
              <w:top w:val="single" w:sz="12" w:space="0" w:color="auto"/>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100000</w:t>
            </w:r>
          </w:p>
        </w:tc>
        <w:tc>
          <w:tcPr>
            <w:tcW w:w="748" w:type="dxa"/>
            <w:tcBorders>
              <w:top w:val="single" w:sz="12" w:space="0" w:color="auto"/>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871</w:t>
            </w:r>
          </w:p>
        </w:tc>
        <w:tc>
          <w:tcPr>
            <w:tcW w:w="550" w:type="dxa"/>
            <w:tcBorders>
              <w:top w:val="single" w:sz="12" w:space="0" w:color="auto"/>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73</w:t>
            </w:r>
          </w:p>
        </w:tc>
        <w:tc>
          <w:tcPr>
            <w:tcW w:w="532" w:type="dxa"/>
            <w:tcBorders>
              <w:top w:val="single" w:sz="12" w:space="0" w:color="auto"/>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53</w:t>
            </w:r>
          </w:p>
        </w:tc>
        <w:tc>
          <w:tcPr>
            <w:tcW w:w="742" w:type="dxa"/>
            <w:tcBorders>
              <w:top w:val="single" w:sz="12" w:space="0" w:color="auto"/>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88791</w:t>
            </w:r>
          </w:p>
        </w:tc>
        <w:tc>
          <w:tcPr>
            <w:tcW w:w="637" w:type="dxa"/>
            <w:tcBorders>
              <w:top w:val="single" w:sz="12" w:space="0" w:color="auto"/>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780</w:t>
            </w:r>
          </w:p>
        </w:tc>
        <w:tc>
          <w:tcPr>
            <w:tcW w:w="461" w:type="dxa"/>
            <w:tcBorders>
              <w:top w:val="single" w:sz="12" w:space="0" w:color="auto"/>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25</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99129</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72</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73</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54</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88011</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846</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24</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99057</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47</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72</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55</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87165</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924</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23</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99010</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33</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71</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56</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86241</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985</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22</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98977</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29</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70</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57</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85256</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1045</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22</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98948</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27</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69</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58</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84211</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1128</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21</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98921</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24</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68</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59</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83083</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1199</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20</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98897</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21</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67</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60</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81884</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1282</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19</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98876</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21</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66</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61</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80602</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1359</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19</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98855</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20</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65</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62</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79243</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1436</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18</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10</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98835</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21</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64</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63</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77807</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1512</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17</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11</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98814</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21</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63</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64</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76295</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1575</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17</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12</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98793</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22</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62</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65</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74720</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1645</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16</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13</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98771</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26</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61</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66</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73075</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1709</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14</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98745</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33</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60</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67</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71366</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1807</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98712</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45</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59</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68</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69559</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1904</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14</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16</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98667</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61</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58</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69</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67655</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2006</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13</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17</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98606</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86</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57</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70</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65649</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2106</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13</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18</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98520</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114</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56</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71</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63543</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2258</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12</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19</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98406</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129</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55</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72</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61285</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2374</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11</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20</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98277</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140</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54</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73</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58911</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2495</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11</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21</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98137</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150</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53</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74</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56416</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2598</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10</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22</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97987</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157</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52</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75</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53818</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2732</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10</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23</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97830</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153</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51</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76</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51086</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2835</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24</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97677</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153</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50</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77</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48251</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2967</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25</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97524</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151</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50</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78</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45284</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3081</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26</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97373</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151</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49</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79</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42203</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3162</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27</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97222</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152</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48</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80</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39041</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3217</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28</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97070</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154</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47</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81</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35824</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3306</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29</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96916</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157</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46</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82</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32518</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3298</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30</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96759</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162</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45</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83</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29220</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3258</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31</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96597</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168</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44</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84</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25962</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3182</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32</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96429</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174</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43</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85</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22780</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3055</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33</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96255</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184</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42</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86</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19725</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2882</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34</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96071</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193</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41</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87</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16843</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2710</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35</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95878</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202</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40</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88</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14133</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2508</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36</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95676</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213</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39</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89</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11625</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2236</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37</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95463</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226</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38</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90</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9389</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1951</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38</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95237</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240</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38</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91</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7438</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1675</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39</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94997</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251</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37</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92</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5763</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1413</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40</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94746</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270</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36</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93</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4350</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1139</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41</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94476</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294</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35</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94</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3211</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896</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42</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94182</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314</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34</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95</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2315</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680</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43</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93868</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353</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33</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96</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1635</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520</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44</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93515</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382</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32</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97</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1115</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375</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45</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93133</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406</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31</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98</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740</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287</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46</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92727</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432</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30</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99</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453</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190</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47</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92295</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462</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30</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100</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263</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118</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48</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91833</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501</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29</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101</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145</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69</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49</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91332</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554</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28</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102</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76</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39</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50</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90778</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607</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27</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103</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37</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20</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w:t>
            </w:r>
          </w:p>
        </w:tc>
      </w:tr>
      <w:tr w:rsidR="0052009D" w:rsidRPr="0052009D" w:rsidTr="00D77238">
        <w:trPr>
          <w:trHeight w:hRule="exact" w:val="227"/>
        </w:trPr>
        <w:tc>
          <w:tcPr>
            <w:tcW w:w="643" w:type="dxa"/>
            <w:tcBorders>
              <w:top w:val="nil"/>
              <w:left w:val="single" w:sz="12" w:space="0" w:color="auto"/>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51</w:t>
            </w:r>
          </w:p>
        </w:tc>
        <w:tc>
          <w:tcPr>
            <w:tcW w:w="959"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90171</w:t>
            </w:r>
          </w:p>
        </w:tc>
        <w:tc>
          <w:tcPr>
            <w:tcW w:w="748" w:type="dxa"/>
            <w:tcBorders>
              <w:top w:val="nil"/>
              <w:left w:val="nil"/>
              <w:bottom w:val="single" w:sz="4"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660</w:t>
            </w:r>
          </w:p>
        </w:tc>
        <w:tc>
          <w:tcPr>
            <w:tcW w:w="550" w:type="dxa"/>
            <w:tcBorders>
              <w:top w:val="nil"/>
              <w:left w:val="nil"/>
              <w:bottom w:val="single" w:sz="4"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26</w:t>
            </w:r>
          </w:p>
        </w:tc>
        <w:tc>
          <w:tcPr>
            <w:tcW w:w="532" w:type="dxa"/>
            <w:tcBorders>
              <w:top w:val="nil"/>
              <w:left w:val="single" w:sz="12" w:space="0" w:color="auto"/>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104</w:t>
            </w:r>
          </w:p>
        </w:tc>
        <w:tc>
          <w:tcPr>
            <w:tcW w:w="742"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17</w:t>
            </w:r>
          </w:p>
        </w:tc>
        <w:tc>
          <w:tcPr>
            <w:tcW w:w="637" w:type="dxa"/>
            <w:tcBorders>
              <w:top w:val="nil"/>
              <w:left w:val="nil"/>
              <w:bottom w:val="single" w:sz="4"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10</w:t>
            </w:r>
          </w:p>
        </w:tc>
        <w:tc>
          <w:tcPr>
            <w:tcW w:w="461" w:type="dxa"/>
            <w:tcBorders>
              <w:top w:val="nil"/>
              <w:left w:val="nil"/>
              <w:bottom w:val="single" w:sz="4"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1</w:t>
            </w:r>
          </w:p>
        </w:tc>
      </w:tr>
      <w:tr w:rsidR="0052009D" w:rsidRPr="0052009D" w:rsidTr="00D77238">
        <w:trPr>
          <w:trHeight w:hRule="exact" w:val="227"/>
        </w:trPr>
        <w:tc>
          <w:tcPr>
            <w:tcW w:w="643" w:type="dxa"/>
            <w:tcBorders>
              <w:top w:val="nil"/>
              <w:left w:val="single" w:sz="12" w:space="0" w:color="auto"/>
              <w:bottom w:val="single" w:sz="12"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52</w:t>
            </w:r>
          </w:p>
        </w:tc>
        <w:tc>
          <w:tcPr>
            <w:tcW w:w="959" w:type="dxa"/>
            <w:tcBorders>
              <w:top w:val="nil"/>
              <w:left w:val="nil"/>
              <w:bottom w:val="single" w:sz="12"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89511</w:t>
            </w:r>
          </w:p>
        </w:tc>
        <w:tc>
          <w:tcPr>
            <w:tcW w:w="748" w:type="dxa"/>
            <w:tcBorders>
              <w:top w:val="nil"/>
              <w:left w:val="nil"/>
              <w:bottom w:val="single" w:sz="12" w:space="0" w:color="auto"/>
              <w:right w:val="single" w:sz="4"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720</w:t>
            </w:r>
          </w:p>
        </w:tc>
        <w:tc>
          <w:tcPr>
            <w:tcW w:w="550" w:type="dxa"/>
            <w:tcBorders>
              <w:top w:val="nil"/>
              <w:left w:val="nil"/>
              <w:bottom w:val="single" w:sz="12" w:space="0" w:color="auto"/>
              <w:right w:val="single" w:sz="12" w:space="0" w:color="auto"/>
            </w:tcBorders>
            <w:shd w:val="clear" w:color="auto" w:fill="auto"/>
            <w:noWrap/>
            <w:vAlign w:val="center"/>
          </w:tcPr>
          <w:p w:rsidR="00D77238" w:rsidRPr="0052009D" w:rsidRDefault="00D77238" w:rsidP="00D77238">
            <w:pPr>
              <w:spacing w:line="360" w:lineRule="auto"/>
              <w:jc w:val="both"/>
              <w:rPr>
                <w:rFonts w:ascii="Times New Roman" w:hAnsi="Times New Roman" w:cs="Times New Roman"/>
                <w:sz w:val="24"/>
                <w:szCs w:val="24"/>
                <w:lang w:bidi="fa-IR"/>
              </w:rPr>
            </w:pPr>
            <w:r w:rsidRPr="0052009D">
              <w:rPr>
                <w:rFonts w:ascii="Times New Roman" w:hAnsi="Times New Roman" w:cs="Times New Roman"/>
                <w:sz w:val="24"/>
                <w:szCs w:val="24"/>
                <w:lang w:bidi="fa-IR"/>
              </w:rPr>
              <w:t>25</w:t>
            </w:r>
          </w:p>
        </w:tc>
        <w:tc>
          <w:tcPr>
            <w:tcW w:w="532" w:type="dxa"/>
            <w:tcBorders>
              <w:top w:val="nil"/>
              <w:left w:val="single" w:sz="12" w:space="0" w:color="auto"/>
              <w:bottom w:val="single" w:sz="12"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p>
        </w:tc>
        <w:tc>
          <w:tcPr>
            <w:tcW w:w="742" w:type="dxa"/>
            <w:tcBorders>
              <w:top w:val="nil"/>
              <w:left w:val="nil"/>
              <w:bottom w:val="single" w:sz="12"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p>
        </w:tc>
        <w:tc>
          <w:tcPr>
            <w:tcW w:w="637" w:type="dxa"/>
            <w:tcBorders>
              <w:top w:val="nil"/>
              <w:left w:val="nil"/>
              <w:bottom w:val="single" w:sz="12" w:space="0" w:color="auto"/>
              <w:right w:val="single" w:sz="4"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p>
        </w:tc>
        <w:tc>
          <w:tcPr>
            <w:tcW w:w="461" w:type="dxa"/>
            <w:tcBorders>
              <w:top w:val="nil"/>
              <w:left w:val="nil"/>
              <w:bottom w:val="single" w:sz="12" w:space="0" w:color="auto"/>
              <w:right w:val="single" w:sz="12" w:space="0" w:color="auto"/>
            </w:tcBorders>
            <w:vAlign w:val="center"/>
          </w:tcPr>
          <w:p w:rsidR="00D77238" w:rsidRPr="0052009D" w:rsidRDefault="00D77238" w:rsidP="00D77238">
            <w:pPr>
              <w:spacing w:line="360" w:lineRule="auto"/>
              <w:jc w:val="both"/>
              <w:rPr>
                <w:rFonts w:ascii="Times New Roman" w:hAnsi="Times New Roman" w:cs="Times New Roman"/>
                <w:sz w:val="24"/>
                <w:szCs w:val="24"/>
                <w:lang w:bidi="fa-IR"/>
              </w:rPr>
            </w:pPr>
          </w:p>
        </w:tc>
      </w:tr>
    </w:tbl>
    <w:p w:rsidR="00D77238" w:rsidRPr="0052009D" w:rsidRDefault="00D77238" w:rsidP="0056771B">
      <w:pPr>
        <w:spacing w:line="360" w:lineRule="auto"/>
        <w:jc w:val="both"/>
        <w:rPr>
          <w:rFonts w:ascii="Times New Roman" w:hAnsi="Times New Roman" w:cs="Times New Roman"/>
          <w:sz w:val="28"/>
          <w:szCs w:val="28"/>
        </w:rPr>
      </w:pPr>
    </w:p>
    <w:p w:rsidR="00730002" w:rsidRPr="0052009D" w:rsidRDefault="00730002" w:rsidP="00730002">
      <w:pPr>
        <w:spacing w:line="360" w:lineRule="auto"/>
        <w:jc w:val="both"/>
        <w:rPr>
          <w:rFonts w:ascii="Times New Roman" w:hAnsi="Times New Roman" w:cs="Times New Roman"/>
          <w:sz w:val="28"/>
          <w:szCs w:val="28"/>
          <w:lang w:bidi="fa-IR"/>
        </w:rPr>
      </w:pPr>
    </w:p>
    <w:p w:rsidR="00730BD7" w:rsidRPr="0052009D" w:rsidRDefault="00730BD7" w:rsidP="00730002">
      <w:pPr>
        <w:spacing w:line="360" w:lineRule="auto"/>
        <w:jc w:val="both"/>
        <w:rPr>
          <w:rFonts w:ascii="Times New Roman" w:hAnsi="Times New Roman" w:cs="Times New Roman"/>
          <w:sz w:val="28"/>
          <w:szCs w:val="28"/>
          <w:lang w:val="en" w:bidi="fa-IR"/>
        </w:rPr>
      </w:pPr>
    </w:p>
    <w:p w:rsidR="002327F5" w:rsidRPr="0052009D" w:rsidRDefault="002327F5" w:rsidP="002327F5">
      <w:pPr>
        <w:spacing w:line="360" w:lineRule="auto"/>
        <w:jc w:val="both"/>
        <w:rPr>
          <w:rFonts w:asciiTheme="majorBidi" w:hAnsiTheme="majorBidi" w:cstheme="majorBidi"/>
          <w:b/>
          <w:bCs/>
          <w:sz w:val="32"/>
          <w:szCs w:val="32"/>
        </w:rPr>
      </w:pPr>
    </w:p>
    <w:p w:rsidR="00D77238" w:rsidRPr="0052009D" w:rsidRDefault="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D77238" w:rsidRPr="0052009D" w:rsidRDefault="00D77238" w:rsidP="00D77238">
      <w:pPr>
        <w:rPr>
          <w:rFonts w:asciiTheme="majorBidi" w:hAnsiTheme="majorBidi" w:cstheme="majorBidi"/>
          <w:sz w:val="32"/>
          <w:szCs w:val="32"/>
        </w:rPr>
      </w:pPr>
    </w:p>
    <w:p w:rsidR="002327F5" w:rsidRPr="0052009D" w:rsidRDefault="00E079AD" w:rsidP="00DF14CE">
      <w:pPr>
        <w:pStyle w:val="Heading1"/>
        <w:rPr>
          <w:rFonts w:asciiTheme="majorBidi" w:hAnsiTheme="majorBidi"/>
          <w:b w:val="0"/>
          <w:bCs w:val="0"/>
          <w:color w:val="auto"/>
          <w:sz w:val="32"/>
          <w:szCs w:val="32"/>
        </w:rPr>
      </w:pPr>
      <w:r w:rsidRPr="0052009D">
        <w:rPr>
          <w:rStyle w:val="Heading1Char"/>
          <w:rFonts w:asciiTheme="majorBidi" w:hAnsiTheme="majorBidi"/>
          <w:b/>
          <w:bCs/>
          <w:color w:val="auto"/>
          <w:sz w:val="32"/>
          <w:szCs w:val="32"/>
        </w:rPr>
        <w:t>References</w:t>
      </w:r>
      <w:r w:rsidR="00DF14CE" w:rsidRPr="0052009D">
        <w:rPr>
          <w:rFonts w:asciiTheme="majorBidi" w:hAnsiTheme="majorBidi"/>
          <w:b w:val="0"/>
          <w:bCs w:val="0"/>
          <w:color w:val="auto"/>
          <w:sz w:val="32"/>
          <w:szCs w:val="32"/>
        </w:rPr>
        <w:t>:</w:t>
      </w:r>
      <w:r w:rsidR="00D77238" w:rsidRPr="0052009D">
        <w:rPr>
          <w:rFonts w:asciiTheme="majorBidi" w:hAnsiTheme="majorBidi"/>
          <w:b w:val="0"/>
          <w:bCs w:val="0"/>
          <w:color w:val="auto"/>
          <w:sz w:val="32"/>
          <w:szCs w:val="32"/>
        </w:rPr>
        <w:tab/>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Aitken W. (1996). </w:t>
      </w:r>
      <w:r w:rsidRPr="0052009D">
        <w:rPr>
          <w:rFonts w:ascii="Times New Roman" w:hAnsi="Times New Roman" w:cs="Times New Roman"/>
          <w:i/>
          <w:iCs/>
          <w:sz w:val="24"/>
          <w:szCs w:val="24"/>
        </w:rPr>
        <w:t xml:space="preserve">A Problem-solving Approach to Pension Funding and Valuation. </w:t>
      </w:r>
      <w:r w:rsidRPr="0052009D">
        <w:rPr>
          <w:rFonts w:ascii="Times New Roman" w:hAnsi="Times New Roman" w:cs="Times New Roman"/>
          <w:sz w:val="24"/>
          <w:szCs w:val="24"/>
        </w:rPr>
        <w:t>New Hartford: ACTEX Publications.</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Anderson A. (1985). </w:t>
      </w:r>
      <w:r w:rsidRPr="0052009D">
        <w:rPr>
          <w:rFonts w:ascii="Times New Roman" w:hAnsi="Times New Roman" w:cs="Times New Roman"/>
          <w:i/>
          <w:iCs/>
          <w:sz w:val="24"/>
          <w:szCs w:val="24"/>
        </w:rPr>
        <w:t>Pension Mathematics for Actuaries</w:t>
      </w:r>
      <w:r w:rsidRPr="0052009D">
        <w:rPr>
          <w:rFonts w:ascii="Times New Roman" w:hAnsi="Times New Roman" w:cs="Times New Roman"/>
          <w:sz w:val="24"/>
          <w:szCs w:val="24"/>
        </w:rPr>
        <w:t>. New Hartford: ACTEX Publications.</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Andonov A., &amp; Bauer R. and Cremers M. (2016). Pension Fund Asset Allocation and Liability Discount Rates. </w:t>
      </w:r>
      <w:r w:rsidRPr="0052009D">
        <w:rPr>
          <w:rFonts w:ascii="Times New Roman" w:hAnsi="Times New Roman" w:cs="Times New Roman"/>
          <w:i/>
          <w:iCs/>
          <w:sz w:val="24"/>
          <w:szCs w:val="24"/>
        </w:rPr>
        <w:t>SSRN</w:t>
      </w:r>
      <w:r w:rsidRPr="0052009D">
        <w:rPr>
          <w:rFonts w:ascii="Times New Roman" w:hAnsi="Times New Roman" w:cs="Times New Roman"/>
          <w:sz w:val="24"/>
          <w:szCs w:val="24"/>
        </w:rPr>
        <w:t>, September.</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Angelo P. (2016). Understanding the Valuation of Public Pension Liabilities Expected Cost versus Market Price. </w:t>
      </w:r>
      <w:r w:rsidRPr="0052009D">
        <w:rPr>
          <w:rFonts w:ascii="Times New Roman" w:hAnsi="Times New Roman" w:cs="Times New Roman"/>
          <w:i/>
          <w:iCs/>
          <w:sz w:val="24"/>
          <w:szCs w:val="24"/>
        </w:rPr>
        <w:t>Society of Actuaries</w:t>
      </w:r>
      <w:r w:rsidRPr="0052009D">
        <w:rPr>
          <w:rFonts w:ascii="Times New Roman" w:hAnsi="Times New Roman" w:cs="Times New Roman"/>
          <w:sz w:val="24"/>
          <w:szCs w:val="24"/>
        </w:rPr>
        <w:t>, January, NO. 12.</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Asthana S. (1999). Determinants of Funding Strategies and Actuarial Choices for Defined-Benefit Pension Plans. </w:t>
      </w:r>
      <w:r w:rsidRPr="0052009D">
        <w:rPr>
          <w:rFonts w:ascii="Times New Roman" w:hAnsi="Times New Roman" w:cs="Times New Roman"/>
          <w:i/>
          <w:iCs/>
          <w:sz w:val="24"/>
          <w:szCs w:val="24"/>
        </w:rPr>
        <w:t>Contemporary Accounting Research</w:t>
      </w:r>
      <w:r w:rsidRPr="0052009D">
        <w:rPr>
          <w:rFonts w:ascii="Times New Roman" w:hAnsi="Times New Roman" w:cs="Times New Roman"/>
          <w:sz w:val="24"/>
          <w:szCs w:val="24"/>
        </w:rPr>
        <w:t>, spring, 39-74.</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Babbel D. (2013). Evaluating Pension Insurance Pricing. </w:t>
      </w:r>
      <w:r w:rsidRPr="0052009D">
        <w:rPr>
          <w:rFonts w:ascii="Times New Roman" w:hAnsi="Times New Roman" w:cs="Times New Roman"/>
          <w:i/>
          <w:iCs/>
          <w:sz w:val="24"/>
          <w:szCs w:val="24"/>
        </w:rPr>
        <w:t>Pension Research Council</w:t>
      </w:r>
      <w:r w:rsidRPr="0052009D">
        <w:rPr>
          <w:rFonts w:ascii="Times New Roman" w:hAnsi="Times New Roman" w:cs="Times New Roman"/>
          <w:sz w:val="24"/>
          <w:szCs w:val="24"/>
        </w:rPr>
        <w:t>, September.</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Benzoni L., Collin-Dufresne P.  &amp; Goldstein R. (2007). Portfolio choice over the life-cycle when the stock and labor markets are cointegrated. </w:t>
      </w:r>
      <w:r w:rsidRPr="0052009D">
        <w:rPr>
          <w:rFonts w:ascii="Times New Roman" w:hAnsi="Times New Roman" w:cs="Times New Roman"/>
          <w:i/>
          <w:iCs/>
          <w:sz w:val="24"/>
          <w:szCs w:val="24"/>
        </w:rPr>
        <w:t>The Journal of Finance</w:t>
      </w:r>
      <w:r w:rsidRPr="0052009D">
        <w:rPr>
          <w:rFonts w:ascii="Times New Roman" w:hAnsi="Times New Roman" w:cs="Times New Roman"/>
          <w:sz w:val="24"/>
          <w:szCs w:val="24"/>
        </w:rPr>
        <w:t>, 2123-2167.</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Bodie Z., Light J., Morck R. &amp; Taggart R. (1985). Corporate Pension Policy: An Empirical Investigation. </w:t>
      </w:r>
      <w:r w:rsidRPr="0052009D">
        <w:rPr>
          <w:rFonts w:ascii="Times New Roman" w:hAnsi="Times New Roman" w:cs="Times New Roman"/>
          <w:i/>
          <w:iCs/>
          <w:sz w:val="24"/>
          <w:szCs w:val="24"/>
        </w:rPr>
        <w:t>Financial Analysts Journal</w:t>
      </w:r>
      <w:r w:rsidRPr="0052009D">
        <w:rPr>
          <w:rFonts w:ascii="Times New Roman" w:hAnsi="Times New Roman" w:cs="Times New Roman"/>
          <w:sz w:val="24"/>
          <w:szCs w:val="24"/>
        </w:rPr>
        <w:t>, 41, 10-16.</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Brown J. and Wilcox D. (2009). Discounting State and Local Pension Liabilities. </w:t>
      </w:r>
      <w:r w:rsidRPr="0052009D">
        <w:rPr>
          <w:rFonts w:ascii="Times New Roman" w:hAnsi="Times New Roman" w:cs="Times New Roman"/>
          <w:i/>
          <w:iCs/>
          <w:sz w:val="24"/>
          <w:szCs w:val="24"/>
        </w:rPr>
        <w:t>The American Economic Review</w:t>
      </w:r>
      <w:r w:rsidRPr="0052009D">
        <w:rPr>
          <w:rFonts w:ascii="Times New Roman" w:hAnsi="Times New Roman" w:cs="Times New Roman"/>
          <w:sz w:val="24"/>
          <w:szCs w:val="24"/>
        </w:rPr>
        <w:t>, May, Vol. 99, No. 2, 538-542.</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Brown J., &amp; Pennacchi G. (2015). Discounting Pension Liabilities: Funding versus Value. </w:t>
      </w:r>
      <w:r w:rsidRPr="0052009D">
        <w:rPr>
          <w:rFonts w:ascii="Times New Roman" w:hAnsi="Times New Roman" w:cs="Times New Roman"/>
          <w:i/>
          <w:iCs/>
          <w:sz w:val="24"/>
          <w:szCs w:val="24"/>
        </w:rPr>
        <w:t>Journal of Economic Literature</w:t>
      </w:r>
      <w:r w:rsidRPr="0052009D">
        <w:rPr>
          <w:rFonts w:ascii="Times New Roman" w:hAnsi="Times New Roman" w:cs="Times New Roman"/>
          <w:sz w:val="24"/>
          <w:szCs w:val="24"/>
        </w:rPr>
        <w:t>, June.</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Brownlee R. (1985). Actuarial Cost Methods: A Primer. </w:t>
      </w:r>
      <w:r w:rsidRPr="0052009D">
        <w:rPr>
          <w:rFonts w:ascii="Times New Roman" w:hAnsi="Times New Roman" w:cs="Times New Roman"/>
          <w:i/>
          <w:iCs/>
          <w:sz w:val="24"/>
          <w:szCs w:val="24"/>
        </w:rPr>
        <w:t>Journal of Act ounrtng Educalron,</w:t>
      </w:r>
      <w:r w:rsidRPr="0052009D">
        <w:rPr>
          <w:rFonts w:ascii="Times New Roman" w:hAnsi="Times New Roman" w:cs="Times New Roman"/>
          <w:b/>
          <w:bCs/>
          <w:i/>
          <w:iCs/>
          <w:sz w:val="24"/>
          <w:szCs w:val="24"/>
        </w:rPr>
        <w:t xml:space="preserve"> </w:t>
      </w:r>
      <w:r w:rsidRPr="0052009D">
        <w:rPr>
          <w:rFonts w:ascii="Times New Roman" w:hAnsi="Times New Roman" w:cs="Times New Roman"/>
          <w:sz w:val="24"/>
          <w:szCs w:val="24"/>
        </w:rPr>
        <w:t>Vol. 3, No. 7.</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Godwin N.  (1999). An Examination of Pension Actuarial Assumptions over the Decade Following the Issuance of FAS 87. </w:t>
      </w:r>
      <w:r w:rsidRPr="0052009D">
        <w:rPr>
          <w:rFonts w:ascii="Times New Roman" w:hAnsi="Times New Roman" w:cs="Times New Roman"/>
          <w:i/>
          <w:iCs/>
          <w:sz w:val="24"/>
          <w:szCs w:val="24"/>
        </w:rPr>
        <w:t xml:space="preserve">Journal of Pension Planning &amp; Compliance. </w:t>
      </w:r>
      <w:r w:rsidRPr="0052009D">
        <w:rPr>
          <w:rFonts w:ascii="Times New Roman" w:hAnsi="Times New Roman" w:cs="Times New Roman"/>
          <w:sz w:val="24"/>
          <w:szCs w:val="24"/>
        </w:rPr>
        <w:t>NO.25, 62-75.</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Gopalakrishnan V., &amp; Sugrue T. (1995). The Determinants of Actuarial Assumptions under Pension Accounting Disclosure. </w:t>
      </w:r>
      <w:r w:rsidRPr="0052009D">
        <w:rPr>
          <w:rFonts w:ascii="Times New Roman" w:hAnsi="Times New Roman" w:cs="Times New Roman"/>
          <w:i/>
          <w:iCs/>
          <w:sz w:val="24"/>
          <w:szCs w:val="24"/>
        </w:rPr>
        <w:t>Journal of Financial And Strategic Decisions,</w:t>
      </w:r>
      <w:r w:rsidRPr="0052009D">
        <w:rPr>
          <w:rFonts w:ascii="Times New Roman" w:hAnsi="Times New Roman" w:cs="Times New Roman"/>
          <w:sz w:val="24"/>
          <w:szCs w:val="24"/>
        </w:rPr>
        <w:t xml:space="preserve"> Vol.8.</w:t>
      </w:r>
    </w:p>
    <w:p w:rsidR="00D62D84" w:rsidRPr="0052009D" w:rsidRDefault="00D62D84" w:rsidP="00D62D84">
      <w:pPr>
        <w:ind w:left="360"/>
        <w:jc w:val="both"/>
      </w:pPr>
      <w:r w:rsidRPr="0052009D">
        <w:rPr>
          <w:rFonts w:ascii="Times New Roman" w:hAnsi="Times New Roman" w:cs="Times New Roman"/>
          <w:sz w:val="24"/>
          <w:szCs w:val="24"/>
        </w:rPr>
        <w:t xml:space="preserve">Lucas D., &amp; Zeldes S. (2006). Valuing and Hedging Defined Benefit Pension Obligations: The Role of Stocks Revisited. </w:t>
      </w:r>
      <w:r w:rsidRPr="0052009D">
        <w:rPr>
          <w:rFonts w:ascii="Times New Roman" w:hAnsi="Times New Roman" w:cs="Times New Roman"/>
          <w:i/>
          <w:iCs/>
          <w:sz w:val="24"/>
          <w:szCs w:val="24"/>
        </w:rPr>
        <w:t>Working Paper: Columbia University</w:t>
      </w:r>
      <w:r w:rsidRPr="0052009D">
        <w:t>.</w:t>
      </w:r>
    </w:p>
    <w:p w:rsidR="00D62D84" w:rsidRPr="0052009D" w:rsidRDefault="00D62D84" w:rsidP="00D62D84">
      <w:pPr>
        <w:ind w:left="360"/>
        <w:jc w:val="both"/>
        <w:rPr>
          <w:rFonts w:ascii="Times New Roman" w:hAnsi="Times New Roman" w:cs="Times New Roman"/>
          <w:sz w:val="24"/>
          <w:szCs w:val="24"/>
        </w:rPr>
      </w:pP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Munnell A., &amp; Soto M. (2004). The outlook for pension contributions and profits in the US. </w:t>
      </w:r>
      <w:r w:rsidRPr="0052009D">
        <w:rPr>
          <w:rFonts w:ascii="Times New Roman" w:hAnsi="Times New Roman" w:cs="Times New Roman"/>
          <w:i/>
          <w:iCs/>
          <w:sz w:val="24"/>
          <w:szCs w:val="24"/>
        </w:rPr>
        <w:t>Journal of Pension Economics &amp; Finance</w:t>
      </w:r>
      <w:r w:rsidRPr="0052009D">
        <w:rPr>
          <w:rFonts w:ascii="Times New Roman" w:hAnsi="Times New Roman" w:cs="Times New Roman"/>
          <w:sz w:val="24"/>
          <w:szCs w:val="24"/>
        </w:rPr>
        <w:t>, March, Vol. 3, 77-97.</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Naughton J., Petacchi R., &amp; Weber J. (2015). Public pension accounting Rules and economic Outcomes. </w:t>
      </w:r>
      <w:r w:rsidRPr="0052009D">
        <w:rPr>
          <w:rFonts w:ascii="Times New Roman" w:hAnsi="Times New Roman" w:cs="Times New Roman"/>
          <w:i/>
          <w:iCs/>
          <w:sz w:val="24"/>
          <w:szCs w:val="24"/>
        </w:rPr>
        <w:t>Journal of Accounting and Economics</w:t>
      </w:r>
      <w:r w:rsidRPr="0052009D">
        <w:rPr>
          <w:rFonts w:ascii="Times New Roman" w:hAnsi="Times New Roman" w:cs="Times New Roman"/>
          <w:sz w:val="24"/>
          <w:szCs w:val="24"/>
        </w:rPr>
        <w:t>, February.</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Novy-Marx</w:t>
      </w:r>
      <w:r w:rsidRPr="0052009D">
        <w:rPr>
          <w:rFonts w:ascii="Times New Roman" w:hAnsi="Times New Roman" w:cs="Times New Roman"/>
          <w:b/>
          <w:bCs/>
          <w:sz w:val="24"/>
          <w:szCs w:val="24"/>
        </w:rPr>
        <w:t xml:space="preserve"> </w:t>
      </w:r>
      <w:r w:rsidRPr="0052009D">
        <w:rPr>
          <w:rFonts w:ascii="Times New Roman" w:hAnsi="Times New Roman" w:cs="Times New Roman"/>
          <w:sz w:val="24"/>
          <w:szCs w:val="24"/>
        </w:rPr>
        <w:t xml:space="preserve">R., &amp; Rauh J. (2011). Public Pension Promises: How Big Are They and What Are They Worth? </w:t>
      </w:r>
      <w:r w:rsidRPr="0052009D">
        <w:rPr>
          <w:rFonts w:ascii="Times New Roman" w:hAnsi="Times New Roman" w:cs="Times New Roman"/>
          <w:i/>
          <w:iCs/>
          <w:sz w:val="24"/>
          <w:szCs w:val="24"/>
        </w:rPr>
        <w:t>The Journal of Finance</w:t>
      </w:r>
      <w:r w:rsidRPr="0052009D">
        <w:rPr>
          <w:rFonts w:ascii="Times New Roman" w:hAnsi="Times New Roman" w:cs="Times New Roman"/>
          <w:sz w:val="24"/>
          <w:szCs w:val="24"/>
        </w:rPr>
        <w:t xml:space="preserve">, Vol. 66, No. 4, 1211-1249. </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Obinata T. (2000). Choice of Pension Discount Rate in Financial Accounting and Stock Prices. </w:t>
      </w:r>
      <w:r w:rsidRPr="0052009D">
        <w:rPr>
          <w:rFonts w:ascii="Times New Roman" w:hAnsi="Times New Roman" w:cs="Times New Roman"/>
          <w:i/>
          <w:iCs/>
          <w:sz w:val="24"/>
          <w:szCs w:val="24"/>
        </w:rPr>
        <w:t>Center for International Research on the Japanese Economy</w:t>
      </w:r>
      <w:r w:rsidRPr="0052009D">
        <w:rPr>
          <w:rFonts w:ascii="Times New Roman" w:hAnsi="Times New Roman" w:cs="Times New Roman"/>
          <w:sz w:val="24"/>
          <w:szCs w:val="24"/>
        </w:rPr>
        <w:t>, July.</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Petersen M. (1995). Allocating Assets and Discounting Cash Flows: Pension Plan Finance.  </w:t>
      </w:r>
      <w:r w:rsidRPr="0052009D">
        <w:rPr>
          <w:rFonts w:ascii="Times New Roman" w:hAnsi="Times New Roman" w:cs="Times New Roman"/>
          <w:i/>
          <w:iCs/>
          <w:sz w:val="24"/>
          <w:szCs w:val="24"/>
        </w:rPr>
        <w:t>Journal of Financial Economics</w:t>
      </w:r>
      <w:r w:rsidRPr="0052009D">
        <w:rPr>
          <w:rFonts w:ascii="Times New Roman" w:hAnsi="Times New Roman" w:cs="Times New Roman"/>
          <w:sz w:val="24"/>
          <w:szCs w:val="24"/>
        </w:rPr>
        <w:t>, March.</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Soto M. (2008). </w:t>
      </w:r>
      <w:r w:rsidRPr="0052009D">
        <w:rPr>
          <w:rFonts w:ascii="Times New Roman" w:hAnsi="Times New Roman" w:cs="Times New Roman"/>
          <w:i/>
          <w:iCs/>
          <w:sz w:val="24"/>
          <w:szCs w:val="24"/>
        </w:rPr>
        <w:t>The Effects of Pension Funding Rules on the Behavior of Firms</w:t>
      </w:r>
      <w:r w:rsidRPr="0052009D">
        <w:rPr>
          <w:rFonts w:ascii="Times New Roman" w:hAnsi="Times New Roman" w:cs="Times New Roman"/>
          <w:sz w:val="24"/>
          <w:szCs w:val="24"/>
        </w:rPr>
        <w:t>. United States: Boston College.</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Stadler C. (2010). Pension Accounting Choice in Germany: Pension Discount Rate and Actuarial Gains and Losses. </w:t>
      </w:r>
      <w:r w:rsidRPr="0052009D">
        <w:rPr>
          <w:rFonts w:ascii="Times New Roman" w:hAnsi="Times New Roman" w:cs="Times New Roman"/>
          <w:i/>
          <w:iCs/>
          <w:sz w:val="24"/>
          <w:szCs w:val="24"/>
        </w:rPr>
        <w:t>Journal of Risk &amp; Insurance</w:t>
      </w:r>
      <w:r w:rsidRPr="0052009D">
        <w:rPr>
          <w:rFonts w:ascii="Times New Roman" w:hAnsi="Times New Roman" w:cs="Times New Roman"/>
          <w:sz w:val="24"/>
          <w:szCs w:val="24"/>
        </w:rPr>
        <w:t>, December.</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Turner J., Godinez-Olivares H., McCarthy D., &amp; Penas C. (2015). Determining Discount Rates Required to Fund Defined Benefit Plans. </w:t>
      </w:r>
      <w:r w:rsidRPr="0052009D">
        <w:rPr>
          <w:rFonts w:ascii="Times New Roman" w:hAnsi="Times New Roman" w:cs="Times New Roman"/>
          <w:i/>
          <w:iCs/>
          <w:sz w:val="24"/>
          <w:szCs w:val="24"/>
        </w:rPr>
        <w:t>British Actuarial Journal</w:t>
      </w:r>
      <w:r w:rsidRPr="0052009D">
        <w:rPr>
          <w:rFonts w:ascii="Times New Roman" w:hAnsi="Times New Roman" w:cs="Times New Roman"/>
          <w:sz w:val="24"/>
          <w:szCs w:val="24"/>
        </w:rPr>
        <w:t>, March, 493-618.</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Vittas D. (2010). Discount Rates and the Valuation of Pension Liabilities. </w:t>
      </w:r>
      <w:r w:rsidRPr="0052009D">
        <w:rPr>
          <w:rFonts w:ascii="Times New Roman" w:hAnsi="Times New Roman" w:cs="Times New Roman"/>
          <w:i/>
          <w:iCs/>
          <w:sz w:val="24"/>
          <w:szCs w:val="24"/>
        </w:rPr>
        <w:t>World Bank</w:t>
      </w:r>
      <w:r w:rsidRPr="0052009D">
        <w:rPr>
          <w:rFonts w:ascii="Times New Roman" w:hAnsi="Times New Roman" w:cs="Times New Roman"/>
          <w:sz w:val="24"/>
          <w:szCs w:val="24"/>
        </w:rPr>
        <w:t>.</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 xml:space="preserve">Wilcox D. (2006). Reforming the Defined Benefit Pension System. </w:t>
      </w:r>
      <w:r w:rsidRPr="0052009D">
        <w:rPr>
          <w:rFonts w:ascii="Times New Roman" w:hAnsi="Times New Roman" w:cs="Times New Roman"/>
          <w:i/>
          <w:iCs/>
          <w:sz w:val="24"/>
          <w:szCs w:val="24"/>
        </w:rPr>
        <w:t>Brookings Papers on Economic Activity</w:t>
      </w:r>
      <w:r w:rsidRPr="0052009D">
        <w:rPr>
          <w:rFonts w:ascii="Times New Roman" w:hAnsi="Times New Roman" w:cs="Times New Roman"/>
          <w:sz w:val="24"/>
          <w:szCs w:val="24"/>
        </w:rPr>
        <w:t>, 235-285</w:t>
      </w:r>
    </w:p>
    <w:p w:rsidR="00D62D84" w:rsidRPr="0052009D" w:rsidRDefault="00D62D84" w:rsidP="00D62D84">
      <w:pPr>
        <w:ind w:left="360"/>
        <w:jc w:val="both"/>
        <w:rPr>
          <w:rFonts w:ascii="Times New Roman" w:hAnsi="Times New Roman" w:cs="Times New Roman"/>
          <w:sz w:val="24"/>
          <w:szCs w:val="24"/>
        </w:rPr>
      </w:pPr>
      <w:r w:rsidRPr="0052009D">
        <w:rPr>
          <w:rFonts w:ascii="Times New Roman" w:hAnsi="Times New Roman" w:cs="Times New Roman"/>
          <w:sz w:val="24"/>
          <w:szCs w:val="24"/>
        </w:rPr>
        <w:t>World Bank (2003).</w:t>
      </w:r>
    </w:p>
    <w:p w:rsidR="00D62D84" w:rsidRPr="0052009D" w:rsidRDefault="00D62D84" w:rsidP="00D62D84"/>
    <w:p w:rsidR="00DF14CE" w:rsidRPr="0052009D" w:rsidRDefault="00DF14CE" w:rsidP="00DF14CE"/>
    <w:p w:rsidR="00D77238" w:rsidRPr="0052009D" w:rsidRDefault="00D77238" w:rsidP="00D77238">
      <w:pPr>
        <w:tabs>
          <w:tab w:val="left" w:pos="3540"/>
        </w:tabs>
        <w:rPr>
          <w:rFonts w:asciiTheme="majorBidi" w:hAnsiTheme="majorBidi" w:cstheme="majorBidi"/>
          <w:sz w:val="32"/>
          <w:szCs w:val="32"/>
        </w:rPr>
      </w:pPr>
    </w:p>
    <w:sectPr w:rsidR="00D77238" w:rsidRPr="0052009D" w:rsidSect="002F0975">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B4F" w:rsidRDefault="00855B4F" w:rsidP="00353077">
      <w:pPr>
        <w:spacing w:after="0" w:line="240" w:lineRule="auto"/>
      </w:pPr>
      <w:r>
        <w:separator/>
      </w:r>
    </w:p>
  </w:endnote>
  <w:endnote w:type="continuationSeparator" w:id="0">
    <w:p w:rsidR="00855B4F" w:rsidRDefault="00855B4F" w:rsidP="0035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Math">
    <w:panose1 w:val="02040503050406030204"/>
    <w:charset w:val="00"/>
    <w:family w:val="roman"/>
    <w:pitch w:val="variable"/>
    <w:sig w:usb0="E00002FF" w:usb1="420024FF" w:usb2="0000000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B4F" w:rsidRDefault="00855B4F" w:rsidP="00353077">
      <w:pPr>
        <w:spacing w:after="0" w:line="240" w:lineRule="auto"/>
      </w:pPr>
      <w:r>
        <w:separator/>
      </w:r>
    </w:p>
  </w:footnote>
  <w:footnote w:type="continuationSeparator" w:id="0">
    <w:p w:rsidR="00855B4F" w:rsidRDefault="00855B4F" w:rsidP="00353077">
      <w:pPr>
        <w:spacing w:after="0" w:line="240" w:lineRule="auto"/>
      </w:pPr>
      <w:r>
        <w:continuationSeparator/>
      </w:r>
    </w:p>
  </w:footnote>
  <w:footnote w:id="1">
    <w:p w:rsidR="0052009D" w:rsidRDefault="0052009D" w:rsidP="00C82F3C">
      <w:pPr>
        <w:pStyle w:val="FootnoteText"/>
        <w:jc w:val="both"/>
      </w:pPr>
      <w:r>
        <w:rPr>
          <w:rStyle w:val="FootnoteReference"/>
        </w:rPr>
        <w:footnoteRef/>
      </w:r>
      <w:r>
        <w:t xml:space="preserve"> </w:t>
      </w:r>
      <w:r w:rsidRPr="00C82F3C">
        <w:t xml:space="preserve"> </w:t>
      </w:r>
      <m:oMath>
        <m:sSubSup>
          <m:sSubSupPr>
            <m:ctrlPr>
              <w:rPr>
                <w:rFonts w:ascii="Cambria Math" w:hAnsi="Cambria Math"/>
                <w:i/>
              </w:rPr>
            </m:ctrlPr>
          </m:sSubSupPr>
          <m:e>
            <m:acc>
              <m:accPr>
                <m:chr m:val="̈"/>
                <m:ctrlPr>
                  <w:rPr>
                    <w:rFonts w:ascii="Cambria Math" w:hAnsi="Cambria Math"/>
                    <w:i/>
                  </w:rPr>
                </m:ctrlPr>
              </m:accPr>
              <m:e>
                <m:r>
                  <w:rPr>
                    <w:rFonts w:ascii="Cambria Math" w:hAnsi="Cambria Math"/>
                  </w:rPr>
                  <m:t>a</m:t>
                </m:r>
              </m:e>
            </m:acc>
          </m:e>
          <m:sub>
            <m:r>
              <w:rPr>
                <w:rFonts w:ascii="Cambria Math" w:hAnsi="Cambria Math"/>
              </w:rPr>
              <m:t>r</m:t>
            </m:r>
          </m:sub>
          <m:sup>
            <m:r>
              <w:rPr>
                <w:rFonts w:ascii="Cambria Math" w:hAnsi="Cambria Math"/>
              </w:rPr>
              <m:t>(12)</m:t>
            </m:r>
          </m:sup>
        </m:sSubSup>
      </m:oMath>
      <w:r w:rsidRPr="00C82F3C">
        <w:t xml:space="preserve"> is an annuity of total amount of 1 per year, throughout the lifetime of the employee, payable at the beginning of each month. This is for the case of a single person. For the case of the married employees, the last survivor method must be used. A </w:t>
      </w:r>
      <w:r w:rsidRPr="00C82F3C">
        <w:rPr>
          <w:b/>
          <w:bCs/>
        </w:rPr>
        <w:t xml:space="preserve">last survivor annuity </w:t>
      </w:r>
      <w:r w:rsidRPr="00C82F3C">
        <w:t>is an annuity payable until the last death among a couple.</w:t>
      </w:r>
    </w:p>
  </w:footnote>
  <w:footnote w:id="2">
    <w:p w:rsidR="0052009D" w:rsidRPr="00196A34" w:rsidRDefault="0052009D" w:rsidP="00E67F9E">
      <w:pPr>
        <w:pStyle w:val="FootnoteText"/>
        <w:jc w:val="both"/>
        <w:rPr>
          <w:rFonts w:ascii="Times New Roman" w:hAnsi="Times New Roman" w:cs="Times New Roman"/>
        </w:rPr>
      </w:pPr>
      <w:r>
        <w:rPr>
          <w:rStyle w:val="FootnoteReference"/>
        </w:rPr>
        <w:footnoteRef/>
      </w:r>
      <w:r>
        <w:t xml:space="preserve"> </w:t>
      </w:r>
      <w:r w:rsidRPr="00196A34">
        <w:rPr>
          <w:rFonts w:ascii="Times New Roman" w:hAnsi="Times New Roman" w:cs="Times New Roman"/>
        </w:rPr>
        <w:t>Article 68</w:t>
      </w:r>
      <w:r w:rsidRPr="00196A34">
        <w:rPr>
          <w:rFonts w:ascii="Times New Roman" w:eastAsia="Times New Roman" w:hAnsi="Times New Roman" w:cs="Times New Roman"/>
          <w:sz w:val="24"/>
          <w:szCs w:val="24"/>
        </w:rPr>
        <w:t xml:space="preserve"> of </w:t>
      </w:r>
      <w:r w:rsidRPr="00196A34">
        <w:rPr>
          <w:rFonts w:ascii="Times New Roman" w:hAnsi="Times New Roman" w:cs="Times New Roman"/>
        </w:rPr>
        <w:t xml:space="preserve">Act on Establishment of Bimeh Markazi of Iran (Central Insurance of Iran) and Insurance Operation (Underwriting)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45544"/>
    <w:multiLevelType w:val="hybridMultilevel"/>
    <w:tmpl w:val="44389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561212"/>
    <w:multiLevelType w:val="hybridMultilevel"/>
    <w:tmpl w:val="C1E869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7F5"/>
    <w:rsid w:val="00034918"/>
    <w:rsid w:val="000413B9"/>
    <w:rsid w:val="0009737B"/>
    <w:rsid w:val="000B49FA"/>
    <w:rsid w:val="00135E3B"/>
    <w:rsid w:val="00137482"/>
    <w:rsid w:val="001479F3"/>
    <w:rsid w:val="00154BE8"/>
    <w:rsid w:val="00165451"/>
    <w:rsid w:val="00170E7B"/>
    <w:rsid w:val="001E4E4A"/>
    <w:rsid w:val="001F4F9D"/>
    <w:rsid w:val="00232458"/>
    <w:rsid w:val="002327F5"/>
    <w:rsid w:val="002537F1"/>
    <w:rsid w:val="00260D03"/>
    <w:rsid w:val="002B2227"/>
    <w:rsid w:val="002C2AFF"/>
    <w:rsid w:val="002F0975"/>
    <w:rsid w:val="003013E7"/>
    <w:rsid w:val="00304F86"/>
    <w:rsid w:val="00322853"/>
    <w:rsid w:val="00350C15"/>
    <w:rsid w:val="00353077"/>
    <w:rsid w:val="003766E2"/>
    <w:rsid w:val="003A0963"/>
    <w:rsid w:val="003C3E08"/>
    <w:rsid w:val="003E40A8"/>
    <w:rsid w:val="00411B57"/>
    <w:rsid w:val="00423F36"/>
    <w:rsid w:val="00474806"/>
    <w:rsid w:val="00475049"/>
    <w:rsid w:val="004B3837"/>
    <w:rsid w:val="004C4212"/>
    <w:rsid w:val="004D4C34"/>
    <w:rsid w:val="004D750F"/>
    <w:rsid w:val="004D7DA0"/>
    <w:rsid w:val="00505E7A"/>
    <w:rsid w:val="0052009D"/>
    <w:rsid w:val="005278BB"/>
    <w:rsid w:val="00542EA5"/>
    <w:rsid w:val="00551ACA"/>
    <w:rsid w:val="00554980"/>
    <w:rsid w:val="0056771B"/>
    <w:rsid w:val="0058436E"/>
    <w:rsid w:val="005A3EDD"/>
    <w:rsid w:val="005B4025"/>
    <w:rsid w:val="005F63EC"/>
    <w:rsid w:val="0061618D"/>
    <w:rsid w:val="006346F6"/>
    <w:rsid w:val="00651BA2"/>
    <w:rsid w:val="0067277E"/>
    <w:rsid w:val="006D641A"/>
    <w:rsid w:val="007175E8"/>
    <w:rsid w:val="00730002"/>
    <w:rsid w:val="00730BD7"/>
    <w:rsid w:val="00741ED6"/>
    <w:rsid w:val="007456D8"/>
    <w:rsid w:val="00754C64"/>
    <w:rsid w:val="00766826"/>
    <w:rsid w:val="00767253"/>
    <w:rsid w:val="007B1570"/>
    <w:rsid w:val="007E78A7"/>
    <w:rsid w:val="00811744"/>
    <w:rsid w:val="008139B0"/>
    <w:rsid w:val="0081782B"/>
    <w:rsid w:val="008238C6"/>
    <w:rsid w:val="00824146"/>
    <w:rsid w:val="00825694"/>
    <w:rsid w:val="00854F85"/>
    <w:rsid w:val="00855B4F"/>
    <w:rsid w:val="008A09AA"/>
    <w:rsid w:val="008E504C"/>
    <w:rsid w:val="008F4191"/>
    <w:rsid w:val="00941A91"/>
    <w:rsid w:val="00982CB6"/>
    <w:rsid w:val="009F0E80"/>
    <w:rsid w:val="00A71301"/>
    <w:rsid w:val="00A76D6E"/>
    <w:rsid w:val="00AA19E3"/>
    <w:rsid w:val="00B363D4"/>
    <w:rsid w:val="00B53B5E"/>
    <w:rsid w:val="00B66308"/>
    <w:rsid w:val="00B70343"/>
    <w:rsid w:val="00B75999"/>
    <w:rsid w:val="00BB2FC4"/>
    <w:rsid w:val="00BE680A"/>
    <w:rsid w:val="00C13B26"/>
    <w:rsid w:val="00C17EAF"/>
    <w:rsid w:val="00C44B2F"/>
    <w:rsid w:val="00C522A4"/>
    <w:rsid w:val="00C82F3C"/>
    <w:rsid w:val="00C9112E"/>
    <w:rsid w:val="00CC104D"/>
    <w:rsid w:val="00CF4C7F"/>
    <w:rsid w:val="00D3728F"/>
    <w:rsid w:val="00D5003C"/>
    <w:rsid w:val="00D52CBB"/>
    <w:rsid w:val="00D62D84"/>
    <w:rsid w:val="00D77238"/>
    <w:rsid w:val="00DA6F0C"/>
    <w:rsid w:val="00DB054A"/>
    <w:rsid w:val="00DB0E5C"/>
    <w:rsid w:val="00DB76EF"/>
    <w:rsid w:val="00DF14CE"/>
    <w:rsid w:val="00E079AD"/>
    <w:rsid w:val="00E55B9C"/>
    <w:rsid w:val="00E659CE"/>
    <w:rsid w:val="00E67F9E"/>
    <w:rsid w:val="00EE32EC"/>
    <w:rsid w:val="00F014E9"/>
    <w:rsid w:val="00F20FE0"/>
    <w:rsid w:val="00F26F0C"/>
    <w:rsid w:val="00F456C6"/>
    <w:rsid w:val="00F622D8"/>
    <w:rsid w:val="00F669FC"/>
    <w:rsid w:val="00F7040B"/>
    <w:rsid w:val="00F776F5"/>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2E"/>
    <w:rPr>
      <w:rFonts w:ascii="Calibri" w:hAnsi="Calibri" w:cs="Arial"/>
    </w:rPr>
  </w:style>
  <w:style w:type="paragraph" w:styleId="Heading1">
    <w:name w:val="heading 1"/>
    <w:basedOn w:val="Normal"/>
    <w:next w:val="Normal"/>
    <w:link w:val="Heading1Char"/>
    <w:uiPriority w:val="9"/>
    <w:qFormat/>
    <w:rsid w:val="00C91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11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1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11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9112E"/>
    <w:pPr>
      <w:ind w:left="720"/>
      <w:contextualSpacing/>
    </w:pPr>
  </w:style>
  <w:style w:type="paragraph" w:styleId="TOCHeading">
    <w:name w:val="TOC Heading"/>
    <w:basedOn w:val="Heading1"/>
    <w:next w:val="Normal"/>
    <w:uiPriority w:val="39"/>
    <w:semiHidden/>
    <w:unhideWhenUsed/>
    <w:qFormat/>
    <w:rsid w:val="00C9112E"/>
    <w:pPr>
      <w:outlineLvl w:val="9"/>
    </w:pPr>
    <w:rPr>
      <w:lang w:eastAsia="ja-JP"/>
    </w:rPr>
  </w:style>
  <w:style w:type="paragraph" w:styleId="Header">
    <w:name w:val="header"/>
    <w:basedOn w:val="Normal"/>
    <w:link w:val="HeaderChar"/>
    <w:uiPriority w:val="99"/>
    <w:unhideWhenUsed/>
    <w:rsid w:val="0035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77"/>
    <w:rPr>
      <w:rFonts w:ascii="Calibri" w:hAnsi="Calibri" w:cs="Arial"/>
    </w:rPr>
  </w:style>
  <w:style w:type="paragraph" w:styleId="Footer">
    <w:name w:val="footer"/>
    <w:basedOn w:val="Normal"/>
    <w:link w:val="FooterChar"/>
    <w:uiPriority w:val="99"/>
    <w:unhideWhenUsed/>
    <w:rsid w:val="0035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77"/>
    <w:rPr>
      <w:rFonts w:ascii="Calibri" w:hAnsi="Calibri" w:cs="Arial"/>
    </w:rPr>
  </w:style>
  <w:style w:type="paragraph" w:styleId="BalloonText">
    <w:name w:val="Balloon Text"/>
    <w:basedOn w:val="Normal"/>
    <w:link w:val="BalloonTextChar"/>
    <w:uiPriority w:val="99"/>
    <w:semiHidden/>
    <w:unhideWhenUsed/>
    <w:rsid w:val="0071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E8"/>
    <w:rPr>
      <w:rFonts w:ascii="Tahoma" w:hAnsi="Tahoma" w:cs="Tahoma"/>
      <w:sz w:val="16"/>
      <w:szCs w:val="16"/>
    </w:rPr>
  </w:style>
  <w:style w:type="paragraph" w:styleId="FootnoteText">
    <w:name w:val="footnote text"/>
    <w:basedOn w:val="Normal"/>
    <w:link w:val="FootnoteTextChar"/>
    <w:uiPriority w:val="99"/>
    <w:semiHidden/>
    <w:unhideWhenUsed/>
    <w:rsid w:val="00475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049"/>
    <w:rPr>
      <w:rFonts w:ascii="Calibri" w:hAnsi="Calibri" w:cs="Arial"/>
      <w:sz w:val="20"/>
      <w:szCs w:val="20"/>
    </w:rPr>
  </w:style>
  <w:style w:type="character" w:styleId="FootnoteReference">
    <w:name w:val="footnote reference"/>
    <w:basedOn w:val="DefaultParagraphFont"/>
    <w:uiPriority w:val="99"/>
    <w:semiHidden/>
    <w:unhideWhenUsed/>
    <w:rsid w:val="00475049"/>
    <w:rPr>
      <w:vertAlign w:val="superscript"/>
    </w:rPr>
  </w:style>
  <w:style w:type="character" w:styleId="PlaceholderText">
    <w:name w:val="Placeholder Text"/>
    <w:basedOn w:val="DefaultParagraphFont"/>
    <w:uiPriority w:val="99"/>
    <w:semiHidden/>
    <w:rsid w:val="004D7DA0"/>
    <w:rPr>
      <w:color w:val="808080"/>
    </w:rPr>
  </w:style>
  <w:style w:type="table" w:styleId="TableGrid">
    <w:name w:val="Table Grid"/>
    <w:basedOn w:val="TableNormal"/>
    <w:uiPriority w:val="59"/>
    <w:rsid w:val="00AA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Tables">
    <w:name w:val="List of Tables"/>
    <w:basedOn w:val="Normal"/>
    <w:qFormat/>
    <w:rsid w:val="00411B57"/>
    <w:pPr>
      <w:spacing w:after="160" w:line="259" w:lineRule="auto"/>
    </w:pPr>
  </w:style>
  <w:style w:type="table" w:customStyle="1" w:styleId="TableGrid1">
    <w:name w:val="Table Grid1"/>
    <w:basedOn w:val="TableNormal"/>
    <w:next w:val="TableGrid"/>
    <w:uiPriority w:val="59"/>
    <w:rsid w:val="001E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7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7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7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09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12E"/>
    <w:rPr>
      <w:rFonts w:ascii="Calibri" w:hAnsi="Calibri" w:cs="Arial"/>
    </w:rPr>
  </w:style>
  <w:style w:type="paragraph" w:styleId="Heading1">
    <w:name w:val="heading 1"/>
    <w:basedOn w:val="Normal"/>
    <w:next w:val="Normal"/>
    <w:link w:val="Heading1Char"/>
    <w:uiPriority w:val="9"/>
    <w:qFormat/>
    <w:rsid w:val="00C91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112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112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112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9112E"/>
    <w:pPr>
      <w:ind w:left="720"/>
      <w:contextualSpacing/>
    </w:pPr>
  </w:style>
  <w:style w:type="paragraph" w:styleId="TOCHeading">
    <w:name w:val="TOC Heading"/>
    <w:basedOn w:val="Heading1"/>
    <w:next w:val="Normal"/>
    <w:uiPriority w:val="39"/>
    <w:semiHidden/>
    <w:unhideWhenUsed/>
    <w:qFormat/>
    <w:rsid w:val="00C9112E"/>
    <w:pPr>
      <w:outlineLvl w:val="9"/>
    </w:pPr>
    <w:rPr>
      <w:lang w:eastAsia="ja-JP"/>
    </w:rPr>
  </w:style>
  <w:style w:type="paragraph" w:styleId="Header">
    <w:name w:val="header"/>
    <w:basedOn w:val="Normal"/>
    <w:link w:val="HeaderChar"/>
    <w:uiPriority w:val="99"/>
    <w:unhideWhenUsed/>
    <w:rsid w:val="0035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077"/>
    <w:rPr>
      <w:rFonts w:ascii="Calibri" w:hAnsi="Calibri" w:cs="Arial"/>
    </w:rPr>
  </w:style>
  <w:style w:type="paragraph" w:styleId="Footer">
    <w:name w:val="footer"/>
    <w:basedOn w:val="Normal"/>
    <w:link w:val="FooterChar"/>
    <w:uiPriority w:val="99"/>
    <w:unhideWhenUsed/>
    <w:rsid w:val="0035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077"/>
    <w:rPr>
      <w:rFonts w:ascii="Calibri" w:hAnsi="Calibri" w:cs="Arial"/>
    </w:rPr>
  </w:style>
  <w:style w:type="paragraph" w:styleId="BalloonText">
    <w:name w:val="Balloon Text"/>
    <w:basedOn w:val="Normal"/>
    <w:link w:val="BalloonTextChar"/>
    <w:uiPriority w:val="99"/>
    <w:semiHidden/>
    <w:unhideWhenUsed/>
    <w:rsid w:val="00717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5E8"/>
    <w:rPr>
      <w:rFonts w:ascii="Tahoma" w:hAnsi="Tahoma" w:cs="Tahoma"/>
      <w:sz w:val="16"/>
      <w:szCs w:val="16"/>
    </w:rPr>
  </w:style>
  <w:style w:type="paragraph" w:styleId="FootnoteText">
    <w:name w:val="footnote text"/>
    <w:basedOn w:val="Normal"/>
    <w:link w:val="FootnoteTextChar"/>
    <w:uiPriority w:val="99"/>
    <w:semiHidden/>
    <w:unhideWhenUsed/>
    <w:rsid w:val="004750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75049"/>
    <w:rPr>
      <w:rFonts w:ascii="Calibri" w:hAnsi="Calibri" w:cs="Arial"/>
      <w:sz w:val="20"/>
      <w:szCs w:val="20"/>
    </w:rPr>
  </w:style>
  <w:style w:type="character" w:styleId="FootnoteReference">
    <w:name w:val="footnote reference"/>
    <w:basedOn w:val="DefaultParagraphFont"/>
    <w:uiPriority w:val="99"/>
    <w:semiHidden/>
    <w:unhideWhenUsed/>
    <w:rsid w:val="00475049"/>
    <w:rPr>
      <w:vertAlign w:val="superscript"/>
    </w:rPr>
  </w:style>
  <w:style w:type="character" w:styleId="PlaceholderText">
    <w:name w:val="Placeholder Text"/>
    <w:basedOn w:val="DefaultParagraphFont"/>
    <w:uiPriority w:val="99"/>
    <w:semiHidden/>
    <w:rsid w:val="004D7DA0"/>
    <w:rPr>
      <w:color w:val="808080"/>
    </w:rPr>
  </w:style>
  <w:style w:type="table" w:styleId="TableGrid">
    <w:name w:val="Table Grid"/>
    <w:basedOn w:val="TableNormal"/>
    <w:uiPriority w:val="59"/>
    <w:rsid w:val="00AA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ofTables">
    <w:name w:val="List of Tables"/>
    <w:basedOn w:val="Normal"/>
    <w:qFormat/>
    <w:rsid w:val="00411B57"/>
    <w:pPr>
      <w:spacing w:after="160" w:line="259" w:lineRule="auto"/>
    </w:pPr>
  </w:style>
  <w:style w:type="table" w:customStyle="1" w:styleId="TableGrid1">
    <w:name w:val="Table Grid1"/>
    <w:basedOn w:val="TableNormal"/>
    <w:next w:val="TableGrid"/>
    <w:uiPriority w:val="59"/>
    <w:rsid w:val="001E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E4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7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7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7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F09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9B6FBF7-7AA4-45B7-9F0D-A081F44F4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5639</Words>
  <Characters>32146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GHAZAL</dc:creator>
  <cp:lastModifiedBy>Edith Nicodemus</cp:lastModifiedBy>
  <cp:revision>2</cp:revision>
  <dcterms:created xsi:type="dcterms:W3CDTF">2017-06-29T01:34:00Z</dcterms:created>
  <dcterms:modified xsi:type="dcterms:W3CDTF">2017-06-29T01:34:00Z</dcterms:modified>
</cp:coreProperties>
</file>