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88D1" w14:textId="77777777" w:rsidR="003C3F80" w:rsidRPr="008E73D9" w:rsidRDefault="003C3F80" w:rsidP="002309E2">
      <w:pPr>
        <w:spacing w:line="360" w:lineRule="auto"/>
        <w:jc w:val="center"/>
        <w:rPr>
          <w:b/>
          <w:sz w:val="28"/>
          <w:szCs w:val="28"/>
        </w:rPr>
      </w:pPr>
      <w:bookmarkStart w:id="0" w:name="_GoBack"/>
      <w:bookmarkEnd w:id="0"/>
      <w:r w:rsidRPr="008E73D9">
        <w:rPr>
          <w:b/>
          <w:sz w:val="28"/>
          <w:szCs w:val="28"/>
        </w:rPr>
        <w:t>Firm Value</w:t>
      </w:r>
      <w:r w:rsidR="002309E2" w:rsidRPr="008E73D9">
        <w:rPr>
          <w:b/>
          <w:sz w:val="28"/>
          <w:szCs w:val="28"/>
        </w:rPr>
        <w:t xml:space="preserve"> and Self-Insurance: </w:t>
      </w:r>
      <w:r w:rsidR="009E40F3" w:rsidRPr="008E73D9">
        <w:rPr>
          <w:b/>
          <w:sz w:val="28"/>
          <w:szCs w:val="28"/>
        </w:rPr>
        <w:t xml:space="preserve">Evidence from </w:t>
      </w:r>
      <w:r w:rsidRPr="008E73D9">
        <w:rPr>
          <w:b/>
          <w:sz w:val="28"/>
          <w:szCs w:val="28"/>
        </w:rPr>
        <w:t xml:space="preserve">Manufacturers </w:t>
      </w:r>
      <w:r w:rsidR="009E40F3" w:rsidRPr="008E73D9">
        <w:rPr>
          <w:b/>
          <w:sz w:val="28"/>
          <w:szCs w:val="28"/>
        </w:rPr>
        <w:t>in California</w:t>
      </w:r>
    </w:p>
    <w:p w14:paraId="52D1ABF7" w14:textId="77777777" w:rsidR="00866B8C" w:rsidRPr="008E73D9" w:rsidRDefault="00866B8C" w:rsidP="00CE3965">
      <w:pPr>
        <w:spacing w:line="360" w:lineRule="auto"/>
        <w:jc w:val="center"/>
        <w:rPr>
          <w:color w:val="FF0000"/>
        </w:rPr>
      </w:pPr>
    </w:p>
    <w:p w14:paraId="50BF0E40" w14:textId="77777777" w:rsidR="0057402D" w:rsidRPr="008E73D9" w:rsidRDefault="0057402D" w:rsidP="00CE3965">
      <w:pPr>
        <w:spacing w:line="360" w:lineRule="auto"/>
        <w:jc w:val="center"/>
        <w:rPr>
          <w:color w:val="FF0000"/>
        </w:rPr>
      </w:pPr>
    </w:p>
    <w:p w14:paraId="4C92A031" w14:textId="0E1E5617" w:rsidR="003C3F80" w:rsidRPr="001706BF" w:rsidRDefault="001706BF" w:rsidP="00CE3965">
      <w:pPr>
        <w:spacing w:line="360" w:lineRule="auto"/>
        <w:jc w:val="center"/>
        <w:rPr>
          <w:color w:val="FF0000"/>
        </w:rPr>
      </w:pPr>
      <w:r w:rsidRPr="001706BF">
        <w:rPr>
          <w:color w:val="FF0000"/>
        </w:rPr>
        <w:t>5/31</w:t>
      </w:r>
      <w:r w:rsidR="00970E28" w:rsidRPr="001706BF">
        <w:rPr>
          <w:color w:val="FF0000"/>
        </w:rPr>
        <w:t>/201</w:t>
      </w:r>
      <w:r w:rsidR="00F46BFA" w:rsidRPr="001706BF">
        <w:rPr>
          <w:color w:val="FF0000"/>
        </w:rPr>
        <w:t>7</w:t>
      </w:r>
    </w:p>
    <w:p w14:paraId="301843B4" w14:textId="77777777" w:rsidR="003C3F80" w:rsidRPr="008E73D9" w:rsidRDefault="003C3F80" w:rsidP="003C3F80">
      <w:pPr>
        <w:autoSpaceDE w:val="0"/>
        <w:autoSpaceDN w:val="0"/>
        <w:adjustRightInd w:val="0"/>
        <w:jc w:val="both"/>
      </w:pPr>
    </w:p>
    <w:p w14:paraId="2DEA2A4E" w14:textId="77777777" w:rsidR="003C3F80" w:rsidRPr="008E73D9" w:rsidRDefault="003C3F80" w:rsidP="003C3F80">
      <w:pPr>
        <w:autoSpaceDE w:val="0"/>
        <w:autoSpaceDN w:val="0"/>
        <w:adjustRightInd w:val="0"/>
        <w:jc w:val="both"/>
      </w:pPr>
    </w:p>
    <w:p w14:paraId="0B65CAFB" w14:textId="77777777" w:rsidR="003C3F80" w:rsidRPr="008E73D9" w:rsidRDefault="003C3F80" w:rsidP="003C3F80">
      <w:pPr>
        <w:autoSpaceDE w:val="0"/>
        <w:autoSpaceDN w:val="0"/>
        <w:adjustRightInd w:val="0"/>
        <w:jc w:val="center"/>
        <w:rPr>
          <w:b/>
        </w:rPr>
      </w:pPr>
      <w:r w:rsidRPr="008E73D9">
        <w:rPr>
          <w:b/>
        </w:rPr>
        <w:t>Abstract</w:t>
      </w:r>
    </w:p>
    <w:p w14:paraId="5B28AE16" w14:textId="77777777" w:rsidR="003C3F80" w:rsidRPr="008E73D9" w:rsidRDefault="003C3F80" w:rsidP="003C3F80">
      <w:pPr>
        <w:autoSpaceDE w:val="0"/>
        <w:autoSpaceDN w:val="0"/>
        <w:adjustRightInd w:val="0"/>
        <w:jc w:val="both"/>
      </w:pPr>
    </w:p>
    <w:p w14:paraId="51BB1433" w14:textId="3D4194D0" w:rsidR="00D64262" w:rsidRPr="008E73D9" w:rsidRDefault="00F1056D" w:rsidP="003C3F80">
      <w:pPr>
        <w:autoSpaceDE w:val="0"/>
        <w:autoSpaceDN w:val="0"/>
        <w:adjustRightInd w:val="0"/>
        <w:spacing w:line="480" w:lineRule="auto"/>
        <w:ind w:firstLine="720"/>
        <w:jc w:val="both"/>
      </w:pPr>
      <w:r w:rsidRPr="008E73D9">
        <w:t>This paper explores whether the alternative risk-transfer technique in the form of self-insurance can add value to the manufacturers that have self-insured for workers’ compensation (WC) losses. We focus on publicly owned manufacturers with at least 1,000 employees in California over the period 1970–2015 to examine the value implications of self-insurance adoption. Our study employs a treatment-effects model to simultaneously estimate the determinants of self-insurance and the effect of self-insurance on firm value. We find the relationship between firm value and self-insurance is time dependent. Risk preference for self-insurance reflects in higher market valuation among manufacturers over the periods of 1970–1983 and 1986–1999. This result suggests that self-insurance has a positive impact on firm value in the 1970s through the 1990s except for the liability crisis years 1984–1985. However, the benefits of self-insurance fail to materialize for self-insured manufacturers in the 2000s.</w:t>
      </w:r>
    </w:p>
    <w:p w14:paraId="1102BB8D" w14:textId="77777777" w:rsidR="00D64262" w:rsidRPr="008E73D9" w:rsidRDefault="00D64262" w:rsidP="003C3F80">
      <w:pPr>
        <w:autoSpaceDE w:val="0"/>
        <w:autoSpaceDN w:val="0"/>
        <w:adjustRightInd w:val="0"/>
        <w:spacing w:line="480" w:lineRule="auto"/>
        <w:ind w:firstLine="720"/>
        <w:jc w:val="both"/>
      </w:pPr>
    </w:p>
    <w:p w14:paraId="30E1CD97" w14:textId="77777777" w:rsidR="00D64262" w:rsidRPr="008E73D9" w:rsidRDefault="00D64262" w:rsidP="003C3F80">
      <w:pPr>
        <w:autoSpaceDE w:val="0"/>
        <w:autoSpaceDN w:val="0"/>
        <w:adjustRightInd w:val="0"/>
        <w:spacing w:line="480" w:lineRule="auto"/>
        <w:ind w:firstLine="720"/>
        <w:jc w:val="both"/>
      </w:pPr>
    </w:p>
    <w:p w14:paraId="6198EAA0" w14:textId="77777777" w:rsidR="00D64262" w:rsidRPr="008E73D9" w:rsidRDefault="00D64262" w:rsidP="003C3F80">
      <w:pPr>
        <w:autoSpaceDE w:val="0"/>
        <w:autoSpaceDN w:val="0"/>
        <w:adjustRightInd w:val="0"/>
        <w:spacing w:line="480" w:lineRule="auto"/>
        <w:ind w:firstLine="720"/>
        <w:jc w:val="both"/>
      </w:pPr>
    </w:p>
    <w:p w14:paraId="61358EF3" w14:textId="77777777" w:rsidR="004E457E" w:rsidRPr="008E73D9" w:rsidRDefault="004E457E" w:rsidP="003C3F80">
      <w:pPr>
        <w:autoSpaceDE w:val="0"/>
        <w:autoSpaceDN w:val="0"/>
        <w:adjustRightInd w:val="0"/>
        <w:spacing w:line="480" w:lineRule="auto"/>
        <w:ind w:firstLine="720"/>
        <w:jc w:val="both"/>
      </w:pPr>
    </w:p>
    <w:p w14:paraId="5EB9F683" w14:textId="77777777" w:rsidR="004E457E" w:rsidRPr="008E73D9" w:rsidRDefault="004E457E" w:rsidP="003C3F80">
      <w:pPr>
        <w:autoSpaceDE w:val="0"/>
        <w:autoSpaceDN w:val="0"/>
        <w:adjustRightInd w:val="0"/>
        <w:spacing w:line="480" w:lineRule="auto"/>
        <w:ind w:firstLine="720"/>
        <w:jc w:val="both"/>
      </w:pPr>
    </w:p>
    <w:p w14:paraId="1F32F18F" w14:textId="77777777" w:rsidR="004E457E" w:rsidRPr="008E73D9" w:rsidRDefault="004E457E" w:rsidP="003C3F80">
      <w:pPr>
        <w:autoSpaceDE w:val="0"/>
        <w:autoSpaceDN w:val="0"/>
        <w:adjustRightInd w:val="0"/>
        <w:spacing w:line="480" w:lineRule="auto"/>
        <w:ind w:firstLine="720"/>
        <w:jc w:val="both"/>
      </w:pPr>
    </w:p>
    <w:p w14:paraId="0069B8FE" w14:textId="77777777" w:rsidR="004E457E" w:rsidRPr="008E73D9" w:rsidRDefault="004E457E" w:rsidP="003C3F80">
      <w:pPr>
        <w:autoSpaceDE w:val="0"/>
        <w:autoSpaceDN w:val="0"/>
        <w:adjustRightInd w:val="0"/>
        <w:spacing w:line="480" w:lineRule="auto"/>
        <w:ind w:firstLine="720"/>
        <w:jc w:val="both"/>
      </w:pPr>
    </w:p>
    <w:p w14:paraId="59BCD829" w14:textId="77777777" w:rsidR="003C3F80" w:rsidRPr="008E73D9" w:rsidRDefault="003C3F80" w:rsidP="003C3F80">
      <w:pPr>
        <w:numPr>
          <w:ilvl w:val="0"/>
          <w:numId w:val="1"/>
        </w:numPr>
        <w:tabs>
          <w:tab w:val="clear" w:pos="720"/>
        </w:tabs>
        <w:spacing w:line="480" w:lineRule="auto"/>
        <w:ind w:left="180"/>
        <w:jc w:val="center"/>
        <w:rPr>
          <w:b/>
          <w:color w:val="0000FF"/>
        </w:rPr>
      </w:pPr>
      <w:r w:rsidRPr="008E73D9">
        <w:rPr>
          <w:b/>
          <w:color w:val="0000FF"/>
        </w:rPr>
        <w:lastRenderedPageBreak/>
        <w:t>Introduction</w:t>
      </w:r>
    </w:p>
    <w:p w14:paraId="3CBD862B" w14:textId="0A6C20F2" w:rsidR="003C3F80" w:rsidRPr="008E73D9" w:rsidRDefault="003C3F80" w:rsidP="003C3F80">
      <w:pPr>
        <w:ind w:firstLine="540"/>
        <w:jc w:val="both"/>
      </w:pPr>
      <w:r w:rsidRPr="008E73D9">
        <w:t xml:space="preserve">Workers’ compensation (WC) liability is one of the major loss exposures modern </w:t>
      </w:r>
      <w:r w:rsidR="00461FD3" w:rsidRPr="008E73D9">
        <w:t>corporations</w:t>
      </w:r>
      <w:r w:rsidRPr="008E73D9">
        <w:t xml:space="preserve"> </w:t>
      </w:r>
      <w:r w:rsidR="009E4DEF" w:rsidRPr="008E73D9">
        <w:t>in United States (U.S.</w:t>
      </w:r>
      <w:r w:rsidR="009058C6" w:rsidRPr="008E73D9">
        <w:t>) have</w:t>
      </w:r>
      <w:r w:rsidRPr="008E73D9">
        <w:t xml:space="preserve"> to manage. WC coverage is mandatory in all states but Texas and Oklahoma </w:t>
      </w:r>
      <w:r w:rsidR="002B6FCB" w:rsidRPr="008E73D9">
        <w:rPr>
          <w:color w:val="C00000"/>
        </w:rPr>
        <w:t>(</w:t>
      </w:r>
      <w:r w:rsidR="00241760" w:rsidRPr="008E73D9">
        <w:rPr>
          <w:color w:val="C00000"/>
        </w:rPr>
        <w:t>Sengupta and Baldwin</w:t>
      </w:r>
      <w:r w:rsidR="002B6FCB" w:rsidRPr="008E73D9">
        <w:rPr>
          <w:color w:val="C00000"/>
        </w:rPr>
        <w:t>, 2015)</w:t>
      </w:r>
      <w:r w:rsidRPr="008E73D9">
        <w:t xml:space="preserve">. The full cost of WC coverage is usually financed by employers. </w:t>
      </w:r>
      <w:r w:rsidR="00B05F24" w:rsidRPr="008E73D9">
        <w:t>As a matter of risk-financing choice</w:t>
      </w:r>
      <w:r w:rsidR="00CD007C" w:rsidRPr="008E73D9">
        <w:t xml:space="preserve">, they </w:t>
      </w:r>
      <w:r w:rsidRPr="008E73D9">
        <w:t xml:space="preserve">can </w:t>
      </w:r>
      <w:r w:rsidR="00767CAA" w:rsidRPr="008E73D9">
        <w:t xml:space="preserve">choose between the purchase of insurance and the use of </w:t>
      </w:r>
      <w:r w:rsidRPr="008E73D9">
        <w:t>self-insurance for WC losses.</w:t>
      </w:r>
      <w:r w:rsidRPr="008E73D9">
        <w:rPr>
          <w:rStyle w:val="FootnoteReference"/>
        </w:rPr>
        <w:footnoteReference w:id="1"/>
      </w:r>
      <w:r w:rsidRPr="008E73D9">
        <w:t xml:space="preserve"> </w:t>
      </w:r>
      <w:r w:rsidR="00E43E1C" w:rsidRPr="008E73D9">
        <w:t xml:space="preserve">Typically, </w:t>
      </w:r>
      <w:r w:rsidRPr="008E73D9">
        <w:t>employers transfer to an insurer the financial responsibility for payment of WC losses</w:t>
      </w:r>
      <w:r w:rsidR="00E43E1C" w:rsidRPr="008E73D9">
        <w:t xml:space="preserve"> by paying premiums upfront for an insurance policy</w:t>
      </w:r>
      <w:r w:rsidRPr="008E73D9">
        <w:t xml:space="preserve">. Premiums are tax-deductible in the tax year they are paid. </w:t>
      </w:r>
      <w:r w:rsidR="00E43E1C" w:rsidRPr="008E73D9">
        <w:t>Alternatively</w:t>
      </w:r>
      <w:r w:rsidRPr="008E73D9">
        <w:t xml:space="preserve">, employers may retain their WC risk by self-insuring, take a key role in loss control activities, and exercise greater control over their claims. Self-insured employers can only take tax deductions in the year when losses are actually paid. That is, self-insurers </w:t>
      </w:r>
      <w:r w:rsidR="002D0DD7" w:rsidRPr="008E73D9">
        <w:t xml:space="preserve">actively </w:t>
      </w:r>
      <w:r w:rsidRPr="008E73D9">
        <w:t>engage in risk retention rather than risk transfer as a financing tool even though their tax deductions may be delayed. The preference for different risk management strategies re</w:t>
      </w:r>
      <w:r w:rsidR="00A17842" w:rsidRPr="008E73D9">
        <w:t>veals</w:t>
      </w:r>
      <w:r w:rsidRPr="008E73D9">
        <w:t xml:space="preserve"> employers’ risk attitude toward WC loss exposure. In 201</w:t>
      </w:r>
      <w:r w:rsidR="00C867C5" w:rsidRPr="008E73D9">
        <w:t>3</w:t>
      </w:r>
      <w:r w:rsidRPr="008E73D9">
        <w:t xml:space="preserve">, self-insured employers paid $24 out of every $100 of WC benefits paid in the United States </w:t>
      </w:r>
      <w:r w:rsidRPr="008E73D9">
        <w:rPr>
          <w:color w:val="C00000"/>
        </w:rPr>
        <w:t>(</w:t>
      </w:r>
      <w:r w:rsidR="00241760" w:rsidRPr="008E73D9">
        <w:rPr>
          <w:color w:val="C00000"/>
        </w:rPr>
        <w:t>Sengupta and Baldwin</w:t>
      </w:r>
      <w:r w:rsidRPr="008E73D9">
        <w:rPr>
          <w:color w:val="C00000"/>
        </w:rPr>
        <w:t>, 201</w:t>
      </w:r>
      <w:r w:rsidR="00C867C5" w:rsidRPr="008E73D9">
        <w:rPr>
          <w:color w:val="C00000"/>
        </w:rPr>
        <w:t>5</w:t>
      </w:r>
      <w:r w:rsidRPr="008E73D9">
        <w:rPr>
          <w:color w:val="C00000"/>
        </w:rPr>
        <w:t>)</w:t>
      </w:r>
      <w:r w:rsidRPr="008E73D9">
        <w:t xml:space="preserve">. Self-insurance is most prevalent in WC risk management—and it accounts for about three quarters of the total alternative risk transfer market </w:t>
      </w:r>
      <w:r w:rsidRPr="008E73D9">
        <w:rPr>
          <w:color w:val="C00000"/>
        </w:rPr>
        <w:t>(Holzheu et al., 2003)</w:t>
      </w:r>
      <w:r w:rsidRPr="008E73D9">
        <w:t xml:space="preserve">. Thus, an investigation into the </w:t>
      </w:r>
      <w:r w:rsidR="00785785" w:rsidRPr="008E73D9">
        <w:t>impact of s</w:t>
      </w:r>
      <w:r w:rsidRPr="008E73D9">
        <w:t xml:space="preserve">elf-insurance </w:t>
      </w:r>
      <w:r w:rsidR="00785785" w:rsidRPr="008E73D9">
        <w:t xml:space="preserve">on firm value </w:t>
      </w:r>
      <w:r w:rsidRPr="008E73D9">
        <w:t xml:space="preserve">can shed light on how </w:t>
      </w:r>
      <w:r w:rsidR="00A17842" w:rsidRPr="008E73D9">
        <w:t xml:space="preserve">adopters benefit from </w:t>
      </w:r>
      <w:r w:rsidRPr="008E73D9">
        <w:t xml:space="preserve">alternative risk </w:t>
      </w:r>
      <w:r w:rsidR="00F62B48" w:rsidRPr="008E73D9">
        <w:t xml:space="preserve">transfer </w:t>
      </w:r>
      <w:r w:rsidRPr="008E73D9">
        <w:t xml:space="preserve">techniques. </w:t>
      </w:r>
    </w:p>
    <w:p w14:paraId="4DD10154" w14:textId="77777777" w:rsidR="003C3F80" w:rsidRPr="008E73D9" w:rsidRDefault="003C3F80" w:rsidP="003C3F80">
      <w:pPr>
        <w:jc w:val="both"/>
      </w:pPr>
    </w:p>
    <w:p w14:paraId="662CC7F5" w14:textId="7F169F60" w:rsidR="002309E2" w:rsidRPr="008E73D9" w:rsidRDefault="002309E2" w:rsidP="00F44F7B">
      <w:pPr>
        <w:autoSpaceDE w:val="0"/>
        <w:autoSpaceDN w:val="0"/>
        <w:adjustRightInd w:val="0"/>
        <w:ind w:firstLine="540"/>
        <w:jc w:val="both"/>
        <w:rPr>
          <w:rFonts w:eastAsiaTheme="minorEastAsia"/>
        </w:rPr>
      </w:pPr>
      <w:r w:rsidRPr="008E73D9">
        <w:t xml:space="preserve">Self-insurance offers several potential benefits over market insurance. </w:t>
      </w:r>
      <w:r w:rsidRPr="008E73D9">
        <w:rPr>
          <w:color w:val="C00000"/>
        </w:rPr>
        <w:t xml:space="preserve">Chang and Weiss (2011) </w:t>
      </w:r>
      <w:r w:rsidR="00F809C4" w:rsidRPr="008E73D9">
        <w:t>mention</w:t>
      </w:r>
      <w:r w:rsidRPr="008E73D9">
        <w:t xml:space="preserve"> that the primary driver for self-insurance is its capacity to lower costs and mitigate inefficiencies in the WC insurance market (e.g., the high transaction costs of dealing with the insurance industry related to adverse selection, moral hazard, and other imperfections). The fundamental rationale behind self-insurance is the belief that it will be less expensive in the long run </w:t>
      </w:r>
      <w:r w:rsidRPr="008E73D9">
        <w:rPr>
          <w:color w:val="C00000"/>
        </w:rPr>
        <w:t>(Vaughan, 1997)</w:t>
      </w:r>
      <w:r w:rsidRPr="008E73D9">
        <w:t xml:space="preserve">. </w:t>
      </w:r>
      <w:r w:rsidR="00DF6BB5" w:rsidRPr="008E73D9">
        <w:t xml:space="preserve">Some employers may adopt this alternative approach in the quest for cost-effectiveness. </w:t>
      </w:r>
      <w:r w:rsidR="00F44F7B" w:rsidRPr="008E73D9">
        <w:rPr>
          <w:rFonts w:eastAsiaTheme="minorEastAsia"/>
        </w:rPr>
        <w:t>The Self-insurance Institute of America, a trade association for self-insured WC programs, indicates that the self-insurance option helps control cost and maximize cash flow.</w:t>
      </w:r>
      <w:r w:rsidR="00F44F7B" w:rsidRPr="008E73D9">
        <w:rPr>
          <w:rStyle w:val="FootnoteReference"/>
          <w:rFonts w:eastAsiaTheme="minorEastAsia"/>
        </w:rPr>
        <w:footnoteReference w:id="2"/>
      </w:r>
      <w:r w:rsidR="00F44F7B" w:rsidRPr="008E73D9">
        <w:rPr>
          <w:rFonts w:eastAsiaTheme="minorEastAsia"/>
        </w:rPr>
        <w:t xml:space="preserve"> </w:t>
      </w:r>
      <w:r w:rsidRPr="008E73D9">
        <w:t>Self-insurance allows employers to assume the financial responsibility for WC losses that do occur—and thus gain better control over claims.</w:t>
      </w:r>
      <w:r w:rsidRPr="008E73D9">
        <w:rPr>
          <w:rStyle w:val="FootnoteReference"/>
        </w:rPr>
        <w:footnoteReference w:id="3"/>
      </w:r>
      <w:r w:rsidRPr="008E73D9">
        <w:t xml:space="preserve"> In order to provide a better understanding of why firms use self-insurance to mitigate WC losses in the nation, this study analyzes firm values of manufacturers that have self-insured for WC risk in California (CA).</w:t>
      </w:r>
    </w:p>
    <w:p w14:paraId="5EFFF70A" w14:textId="77777777" w:rsidR="002309E2" w:rsidRPr="008E73D9" w:rsidRDefault="002309E2" w:rsidP="003C3F80">
      <w:pPr>
        <w:ind w:firstLine="540"/>
        <w:jc w:val="both"/>
      </w:pPr>
    </w:p>
    <w:p w14:paraId="1CB53033" w14:textId="4CF0A337" w:rsidR="00F70302" w:rsidRPr="008E73D9" w:rsidRDefault="00F70302" w:rsidP="004C2C17">
      <w:pPr>
        <w:ind w:firstLine="720"/>
        <w:jc w:val="both"/>
      </w:pPr>
      <w:r w:rsidRPr="008E73D9">
        <w:rPr>
          <w:color w:val="000000"/>
        </w:rPr>
        <w:lastRenderedPageBreak/>
        <w:t>The objective of this study is to examine the relationship between the use o</w:t>
      </w:r>
      <w:r w:rsidR="00541A40" w:rsidRPr="008E73D9">
        <w:rPr>
          <w:color w:val="000000"/>
        </w:rPr>
        <w:t xml:space="preserve">f self-insurance and the </w:t>
      </w:r>
      <w:r w:rsidRPr="008E73D9">
        <w:rPr>
          <w:color w:val="000000"/>
        </w:rPr>
        <w:t xml:space="preserve">market value </w:t>
      </w:r>
      <w:r w:rsidR="00541A40" w:rsidRPr="008E73D9">
        <w:rPr>
          <w:color w:val="000000"/>
        </w:rPr>
        <w:t xml:space="preserve">of </w:t>
      </w:r>
      <w:r w:rsidR="00CB34E6" w:rsidRPr="008E73D9">
        <w:rPr>
          <w:color w:val="000000"/>
        </w:rPr>
        <w:t>l</w:t>
      </w:r>
      <w:r w:rsidR="00CB34E6" w:rsidRPr="008E73D9">
        <w:t xml:space="preserve">arge </w:t>
      </w:r>
      <w:r w:rsidR="00CB34E6" w:rsidRPr="008E73D9">
        <w:rPr>
          <w:color w:val="000000"/>
        </w:rPr>
        <w:t>manufacturers</w:t>
      </w:r>
      <w:r w:rsidR="00CB34E6" w:rsidRPr="008E73D9">
        <w:t xml:space="preserve"> that hire 1,000 or more workers in CA.</w:t>
      </w:r>
      <w:r w:rsidR="00CB34E6" w:rsidRPr="008E73D9">
        <w:rPr>
          <w:color w:val="000000"/>
        </w:rPr>
        <w:t xml:space="preserve"> </w:t>
      </w:r>
      <w:r w:rsidRPr="008E73D9">
        <w:rPr>
          <w:color w:val="000000"/>
        </w:rPr>
        <w:t>M</w:t>
      </w:r>
      <w:r w:rsidRPr="008E73D9">
        <w:t xml:space="preserve">anufacturers have been </w:t>
      </w:r>
      <w:r w:rsidRPr="008E73D9">
        <w:rPr>
          <w:color w:val="000000"/>
        </w:rPr>
        <w:t>selected as the subject because</w:t>
      </w:r>
      <w:r w:rsidRPr="008E73D9">
        <w:t xml:space="preserve"> their workplaces are subject to a very high risk of occupational injury.</w:t>
      </w:r>
      <w:r w:rsidRPr="008E73D9">
        <w:rPr>
          <w:rStyle w:val="FootnoteReference"/>
        </w:rPr>
        <w:footnoteReference w:id="4"/>
      </w:r>
      <w:r w:rsidR="0002563C" w:rsidRPr="008E73D9">
        <w:t xml:space="preserve"> According to </w:t>
      </w:r>
      <w:r w:rsidR="0002563C" w:rsidRPr="008E73D9">
        <w:rPr>
          <w:bCs/>
          <w:color w:val="C00000"/>
        </w:rPr>
        <w:t>Chang et al. (2016)</w:t>
      </w:r>
      <w:r w:rsidR="0002563C" w:rsidRPr="008E73D9">
        <w:t>, 28 percent of employees in the manufacturing industry in CA are covered by s</w:t>
      </w:r>
      <w:r w:rsidR="00A33BA5" w:rsidRPr="008E73D9">
        <w:t xml:space="preserve">elf-insurance programs. We </w:t>
      </w:r>
      <w:r w:rsidR="0002563C" w:rsidRPr="008E73D9">
        <w:t xml:space="preserve">focus on </w:t>
      </w:r>
      <w:r w:rsidR="004C2C17" w:rsidRPr="008E73D9">
        <w:t xml:space="preserve">the manufacturing industry </w:t>
      </w:r>
      <w:r w:rsidR="0002563C" w:rsidRPr="008E73D9">
        <w:t xml:space="preserve">to </w:t>
      </w:r>
      <w:r w:rsidR="004C2C17" w:rsidRPr="008E73D9">
        <w:t xml:space="preserve">control for differences </w:t>
      </w:r>
      <w:r w:rsidR="00C94943" w:rsidRPr="008E73D9">
        <w:t xml:space="preserve">that might arise </w:t>
      </w:r>
      <w:r w:rsidR="004C2C17" w:rsidRPr="008E73D9">
        <w:t xml:space="preserve">because of regulatory and market </w:t>
      </w:r>
      <w:r w:rsidR="00C94943" w:rsidRPr="008E73D9">
        <w:t xml:space="preserve">divergence across industries. In addition, </w:t>
      </w:r>
      <w:r w:rsidR="00C867C5" w:rsidRPr="008E73D9">
        <w:t>w</w:t>
      </w:r>
      <w:r w:rsidR="004C2C17" w:rsidRPr="008E73D9">
        <w:t xml:space="preserve">e </w:t>
      </w:r>
      <w:r w:rsidR="00C867C5" w:rsidRPr="008E73D9">
        <w:t xml:space="preserve">select </w:t>
      </w:r>
      <w:r w:rsidR="002B6FCB" w:rsidRPr="008E73D9">
        <w:t>publicly traded</w:t>
      </w:r>
      <w:r w:rsidR="00C94943" w:rsidRPr="008E73D9">
        <w:t xml:space="preserve"> manufacturers so that we can collect </w:t>
      </w:r>
      <w:r w:rsidR="002B6FCB" w:rsidRPr="008E73D9">
        <w:t>market</w:t>
      </w:r>
      <w:r w:rsidR="00C94943" w:rsidRPr="008E73D9">
        <w:t>-based measures to</w:t>
      </w:r>
      <w:r w:rsidR="002B6FCB" w:rsidRPr="008E73D9">
        <w:t xml:space="preserve"> </w:t>
      </w:r>
      <w:r w:rsidR="00C94943" w:rsidRPr="008E73D9">
        <w:t>observe whether an alternative risk transfer technique improve</w:t>
      </w:r>
      <w:r w:rsidR="00DD03A4" w:rsidRPr="008E73D9">
        <w:t>s</w:t>
      </w:r>
      <w:r w:rsidR="00C94943" w:rsidRPr="008E73D9">
        <w:t xml:space="preserve"> firm value. </w:t>
      </w:r>
      <w:r w:rsidR="002B6FCB" w:rsidRPr="008E73D9">
        <w:t xml:space="preserve">   </w:t>
      </w:r>
    </w:p>
    <w:p w14:paraId="6E06C7C7" w14:textId="77777777" w:rsidR="00F70302" w:rsidRPr="008E73D9" w:rsidRDefault="00F70302" w:rsidP="00F70302">
      <w:pPr>
        <w:ind w:firstLine="720"/>
        <w:jc w:val="both"/>
      </w:pPr>
    </w:p>
    <w:p w14:paraId="152B006D" w14:textId="09B5400F" w:rsidR="003C3F80" w:rsidRPr="008E73D9" w:rsidRDefault="003C3F80" w:rsidP="00EA2DA6">
      <w:pPr>
        <w:ind w:firstLine="720"/>
        <w:jc w:val="both"/>
      </w:pPr>
      <w:r w:rsidRPr="008E73D9">
        <w:t xml:space="preserve">In a classic world with perfect capital markets based on </w:t>
      </w:r>
      <w:r w:rsidRPr="008E73D9">
        <w:rPr>
          <w:color w:val="C00000"/>
        </w:rPr>
        <w:t xml:space="preserve">Modigliani and Miller’s (M&amp;M) </w:t>
      </w:r>
      <w:r w:rsidRPr="008E73D9">
        <w:t xml:space="preserve">model, risk management should be irrelevant. Without information asymmetries, taxes, </w:t>
      </w:r>
      <w:r w:rsidR="00727D12" w:rsidRPr="008E73D9">
        <w:t xml:space="preserve">and </w:t>
      </w:r>
      <w:r w:rsidRPr="008E73D9">
        <w:t xml:space="preserve">transaction costs, self-insuring for WC risk should not add value to the firm. Neither tax provisions nor risk preferences are able to explain observed variations in corporate policies </w:t>
      </w:r>
      <w:r w:rsidRPr="008E73D9">
        <w:rPr>
          <w:color w:val="C00000"/>
        </w:rPr>
        <w:t>(Smith and Watts, 1992)</w:t>
      </w:r>
      <w:r w:rsidRPr="008E73D9">
        <w:t xml:space="preserve">. In practice, inefficiencies in the WC market related to adverse selection, moral hazard, and other imperfections may drive firms to self-insure because market insurance is unaffordable or unavailable. As </w:t>
      </w:r>
      <w:r w:rsidRPr="008E73D9">
        <w:rPr>
          <w:color w:val="C00000"/>
        </w:rPr>
        <w:t>Butler and Worrall (1993)</w:t>
      </w:r>
      <w:r w:rsidRPr="008E73D9">
        <w:rPr>
          <w:color w:val="800000"/>
        </w:rPr>
        <w:t xml:space="preserve"> </w:t>
      </w:r>
      <w:r w:rsidRPr="008E73D9">
        <w:t xml:space="preserve">assert, understanding why firms choose to self-insure is important because this decision process offers an example of how firms make choices in the midst of uncertainty. That is why it is valuable to examine whether self-insurance affects firm value among </w:t>
      </w:r>
      <w:r w:rsidR="007F0EFA" w:rsidRPr="008E73D9">
        <w:t>manufacturers</w:t>
      </w:r>
      <w:r w:rsidRPr="008E73D9">
        <w:t xml:space="preserve"> confronted with substantial WC loss exposure.</w:t>
      </w:r>
    </w:p>
    <w:p w14:paraId="2DBC1510" w14:textId="77777777" w:rsidR="003C3F80" w:rsidRPr="008E73D9" w:rsidRDefault="003C3F80" w:rsidP="003C3F80">
      <w:pPr>
        <w:autoSpaceDE w:val="0"/>
        <w:autoSpaceDN w:val="0"/>
        <w:adjustRightInd w:val="0"/>
        <w:ind w:firstLine="540"/>
        <w:jc w:val="both"/>
      </w:pPr>
    </w:p>
    <w:p w14:paraId="2380DAE2" w14:textId="51559BCD" w:rsidR="00EA2DA6" w:rsidRPr="008E73D9" w:rsidRDefault="006434D5" w:rsidP="00EA2DA6">
      <w:pPr>
        <w:autoSpaceDE w:val="0"/>
        <w:autoSpaceDN w:val="0"/>
        <w:adjustRightInd w:val="0"/>
        <w:ind w:firstLine="540"/>
        <w:jc w:val="both"/>
      </w:pPr>
      <w:r w:rsidRPr="008E73D9">
        <w:t xml:space="preserve">Our paper helps open the door to the value relevance of alternative risk transfer in the form of self-insurance. </w:t>
      </w:r>
      <w:r w:rsidR="00E3251A" w:rsidRPr="008E73D9">
        <w:t>To our knowledge,</w:t>
      </w:r>
      <w:r w:rsidR="00CA511F" w:rsidRPr="008E73D9">
        <w:t xml:space="preserve"> this is the first attempt to assess the self-insurance premium. Arguments of self-insurance based on market inefficiencies imply that self-insurance provides </w:t>
      </w:r>
      <w:r w:rsidR="0065080C" w:rsidRPr="008E73D9">
        <w:t xml:space="preserve">a </w:t>
      </w:r>
      <w:r w:rsidR="00CA511F" w:rsidRPr="008E73D9">
        <w:t>potential</w:t>
      </w:r>
      <w:r w:rsidR="0065080C" w:rsidRPr="008E73D9">
        <w:t xml:space="preserve"> benefit</w:t>
      </w:r>
      <w:r w:rsidR="00CA511F" w:rsidRPr="008E73D9">
        <w:t xml:space="preserve"> of </w:t>
      </w:r>
      <w:r w:rsidR="0065080C" w:rsidRPr="008E73D9">
        <w:t xml:space="preserve">better loss control, so this technique may increase the firm’s market value.  To test this hypothesis, we </w:t>
      </w:r>
      <w:r w:rsidR="00990E0F" w:rsidRPr="008E73D9">
        <w:t>examine</w:t>
      </w:r>
      <w:r w:rsidR="0065080C" w:rsidRPr="008E73D9">
        <w:t xml:space="preserve"> the self-insurance activities of 70 publicly traded manufacturers from 19</w:t>
      </w:r>
      <w:r w:rsidR="00247925" w:rsidRPr="008E73D9">
        <w:t>70</w:t>
      </w:r>
      <w:r w:rsidR="0065080C" w:rsidRPr="008E73D9">
        <w:t xml:space="preserve"> to </w:t>
      </w:r>
      <w:r w:rsidR="00D80522" w:rsidRPr="008E73D9">
        <w:t>2015</w:t>
      </w:r>
      <w:r w:rsidR="0065080C" w:rsidRPr="008E73D9">
        <w:t xml:space="preserve"> with a sample of 2,</w:t>
      </w:r>
      <w:r w:rsidR="00F51AD1" w:rsidRPr="008E73D9">
        <w:t>030</w:t>
      </w:r>
      <w:r w:rsidR="0065080C" w:rsidRPr="008E73D9">
        <w:t xml:space="preserve"> firm-year observations. </w:t>
      </w:r>
      <w:r w:rsidR="00EA2DA6" w:rsidRPr="008E73D9">
        <w:t>A treatment</w:t>
      </w:r>
      <w:r w:rsidR="00E2378C" w:rsidRPr="008E73D9">
        <w:t>-</w:t>
      </w:r>
      <w:r w:rsidR="00EA2DA6" w:rsidRPr="008E73D9">
        <w:t xml:space="preserve">effects regression model is used to examine the relationship between self-insurance adoption and firm value. Tobin’s Q is used as the dependent variable, while self-insurance is employed as the variable of interest in the model along with several control variables, such as firm size, profitability, investment growth, leverage, and dividend. </w:t>
      </w:r>
    </w:p>
    <w:p w14:paraId="2159E24D" w14:textId="77777777" w:rsidR="00990E0F" w:rsidRPr="008E73D9" w:rsidRDefault="00990E0F" w:rsidP="006434D5">
      <w:pPr>
        <w:autoSpaceDE w:val="0"/>
        <w:autoSpaceDN w:val="0"/>
        <w:adjustRightInd w:val="0"/>
        <w:ind w:firstLine="540"/>
        <w:jc w:val="both"/>
      </w:pPr>
    </w:p>
    <w:p w14:paraId="104B616B" w14:textId="1848C7FD" w:rsidR="00990E0F" w:rsidRPr="008E73D9" w:rsidRDefault="00990E0F" w:rsidP="006434D5">
      <w:pPr>
        <w:autoSpaceDE w:val="0"/>
        <w:autoSpaceDN w:val="0"/>
        <w:adjustRightInd w:val="0"/>
        <w:ind w:firstLine="540"/>
        <w:jc w:val="both"/>
      </w:pPr>
      <w:r w:rsidRPr="008E73D9">
        <w:t xml:space="preserve">The empirical analysis starts with </w:t>
      </w:r>
      <w:r w:rsidR="00A33BA5" w:rsidRPr="008E73D9">
        <w:t xml:space="preserve">a </w:t>
      </w:r>
      <w:r w:rsidRPr="008E73D9">
        <w:t xml:space="preserve">comparison between self-insurers and firms </w:t>
      </w:r>
      <w:r w:rsidR="009058C6" w:rsidRPr="008E73D9">
        <w:t>that do</w:t>
      </w:r>
      <w:r w:rsidR="00374C5E" w:rsidRPr="008E73D9">
        <w:t xml:space="preserve"> </w:t>
      </w:r>
      <w:r w:rsidR="009058C6" w:rsidRPr="008E73D9">
        <w:t>n</w:t>
      </w:r>
      <w:r w:rsidR="00374C5E" w:rsidRPr="008E73D9">
        <w:t>o</w:t>
      </w:r>
      <w:r w:rsidR="009058C6" w:rsidRPr="008E73D9">
        <w:t>t self-insure</w:t>
      </w:r>
      <w:r w:rsidR="000132A2" w:rsidRPr="008E73D9">
        <w:t xml:space="preserve"> in a univariate setting</w:t>
      </w:r>
      <w:r w:rsidR="009058C6" w:rsidRPr="008E73D9">
        <w:t xml:space="preserve">. </w:t>
      </w:r>
      <w:r w:rsidR="00F1056D" w:rsidRPr="008E73D9">
        <w:t>On average, s</w:t>
      </w:r>
      <w:r w:rsidRPr="008E73D9">
        <w:t xml:space="preserve">elf-insured </w:t>
      </w:r>
      <w:r w:rsidR="00782738" w:rsidRPr="008E73D9">
        <w:t>manufacturers</w:t>
      </w:r>
      <w:r w:rsidR="00F1056D" w:rsidRPr="008E73D9">
        <w:t xml:space="preserve"> </w:t>
      </w:r>
      <w:r w:rsidR="00F44E07" w:rsidRPr="008E73D9">
        <w:t xml:space="preserve">are </w:t>
      </w:r>
      <w:r w:rsidR="005B169E" w:rsidRPr="008E73D9">
        <w:t>much larger in size, but the</w:t>
      </w:r>
      <w:r w:rsidR="00F1056D" w:rsidRPr="008E73D9">
        <w:t>ir</w:t>
      </w:r>
      <w:r w:rsidR="005B169E" w:rsidRPr="008E73D9">
        <w:rPr>
          <w:color w:val="FF0000"/>
        </w:rPr>
        <w:t xml:space="preserve"> </w:t>
      </w:r>
      <w:r w:rsidR="005B169E" w:rsidRPr="008E73D9">
        <w:t>Q ratios</w:t>
      </w:r>
      <w:r w:rsidR="00782738" w:rsidRPr="008E73D9">
        <w:t xml:space="preserve"> are lower than those </w:t>
      </w:r>
      <w:r w:rsidR="00F1056D" w:rsidRPr="008E73D9">
        <w:t xml:space="preserve">of the </w:t>
      </w:r>
      <w:r w:rsidR="00782738" w:rsidRPr="008E73D9">
        <w:t>manufacturers</w:t>
      </w:r>
      <w:r w:rsidR="00782738" w:rsidRPr="008E73D9">
        <w:rPr>
          <w:color w:val="FF0000"/>
        </w:rPr>
        <w:t xml:space="preserve"> </w:t>
      </w:r>
      <w:r w:rsidR="00782738" w:rsidRPr="008E73D9">
        <w:t>that do not self-insure</w:t>
      </w:r>
      <w:r w:rsidR="005B169E" w:rsidRPr="008E73D9">
        <w:t xml:space="preserve">. </w:t>
      </w:r>
      <w:r w:rsidR="000132A2" w:rsidRPr="008E73D9">
        <w:t xml:space="preserve">Then, </w:t>
      </w:r>
      <w:r w:rsidR="000E5EC8" w:rsidRPr="008E73D9">
        <w:t>w</w:t>
      </w:r>
      <w:r w:rsidR="005B169E" w:rsidRPr="008E73D9">
        <w:t xml:space="preserve">e </w:t>
      </w:r>
      <w:r w:rsidR="000132A2" w:rsidRPr="008E73D9">
        <w:t xml:space="preserve">conduct multivariate analysis but </w:t>
      </w:r>
      <w:r w:rsidR="005B169E" w:rsidRPr="008E73D9">
        <w:t xml:space="preserve">find </w:t>
      </w:r>
      <w:r w:rsidR="00903482" w:rsidRPr="008E73D9">
        <w:t xml:space="preserve">no </w:t>
      </w:r>
      <w:r w:rsidR="000E5EC8" w:rsidRPr="008E73D9">
        <w:t xml:space="preserve">evidence that </w:t>
      </w:r>
      <w:r w:rsidR="005B169E" w:rsidRPr="008E73D9">
        <w:t xml:space="preserve">self-insurance </w:t>
      </w:r>
      <w:r w:rsidR="00903482" w:rsidRPr="008E73D9">
        <w:t xml:space="preserve">increases </w:t>
      </w:r>
      <w:r w:rsidR="005B169E" w:rsidRPr="008E73D9">
        <w:t>firm value</w:t>
      </w:r>
      <w:r w:rsidR="00F1056D" w:rsidRPr="008E73D9">
        <w:t xml:space="preserve"> over the entire sample period </w:t>
      </w:r>
      <w:r w:rsidR="004E58BC" w:rsidRPr="008E73D9">
        <w:t>1970–2015</w:t>
      </w:r>
      <w:r w:rsidR="005B169E" w:rsidRPr="008E73D9">
        <w:t xml:space="preserve">. </w:t>
      </w:r>
      <w:r w:rsidR="00247925" w:rsidRPr="008E73D9">
        <w:t>However, w</w:t>
      </w:r>
      <w:r w:rsidR="005B169E" w:rsidRPr="008E73D9">
        <w:t xml:space="preserve">hen focusing on the manufacturers </w:t>
      </w:r>
      <w:r w:rsidR="00E2378C" w:rsidRPr="008E73D9">
        <w:t xml:space="preserve">over different </w:t>
      </w:r>
      <w:r w:rsidR="000E5EC8" w:rsidRPr="008E73D9">
        <w:t xml:space="preserve">time </w:t>
      </w:r>
      <w:r w:rsidR="00E2378C" w:rsidRPr="008E73D9">
        <w:t>periods</w:t>
      </w:r>
      <w:r w:rsidR="005B169E" w:rsidRPr="008E73D9">
        <w:t>, we find a positive relation between firm value and self-insurance</w:t>
      </w:r>
      <w:r w:rsidR="00E2378C" w:rsidRPr="008E73D9">
        <w:t xml:space="preserve"> over the years </w:t>
      </w:r>
      <w:r w:rsidR="00247925" w:rsidRPr="008E73D9">
        <w:t>of 1970</w:t>
      </w:r>
      <w:r w:rsidR="004E58BC" w:rsidRPr="008E73D9">
        <w:t>–</w:t>
      </w:r>
      <w:r w:rsidR="00247925" w:rsidRPr="008E73D9">
        <w:t xml:space="preserve">1983 and </w:t>
      </w:r>
      <w:r w:rsidR="00E2378C" w:rsidRPr="008E73D9">
        <w:t>1986</w:t>
      </w:r>
      <w:r w:rsidR="004E58BC" w:rsidRPr="008E73D9">
        <w:t>–</w:t>
      </w:r>
      <w:r w:rsidR="00E2378C" w:rsidRPr="008E73D9">
        <w:t>1999</w:t>
      </w:r>
      <w:r w:rsidR="005B169E" w:rsidRPr="008E73D9">
        <w:t xml:space="preserve">. </w:t>
      </w:r>
      <w:r w:rsidR="00903482" w:rsidRPr="008E73D9">
        <w:t>Nevertheless, t</w:t>
      </w:r>
      <w:r w:rsidR="00582E84" w:rsidRPr="008E73D9">
        <w:t>his positiv</w:t>
      </w:r>
      <w:r w:rsidR="00F1056D" w:rsidRPr="008E73D9">
        <w:t xml:space="preserve">e relationship does not hold up </w:t>
      </w:r>
      <w:r w:rsidR="00F44E07" w:rsidRPr="008E73D9">
        <w:t>over the years of 2000-2015</w:t>
      </w:r>
      <w:r w:rsidR="00582E84" w:rsidRPr="008E73D9">
        <w:t>. In conclusion, our results</w:t>
      </w:r>
      <w:r w:rsidR="00E2378C" w:rsidRPr="008E73D9">
        <w:t xml:space="preserve"> </w:t>
      </w:r>
      <w:r w:rsidR="00582E84" w:rsidRPr="008E73D9">
        <w:t xml:space="preserve">suggest </w:t>
      </w:r>
      <w:r w:rsidR="00E2378C" w:rsidRPr="008E73D9">
        <w:t xml:space="preserve">that </w:t>
      </w:r>
      <w:r w:rsidR="005F31A4" w:rsidRPr="008E73D9">
        <w:t xml:space="preserve">whether self-insurance enhances firm value is </w:t>
      </w:r>
      <w:r w:rsidR="00E2378C" w:rsidRPr="008E73D9">
        <w:t xml:space="preserve">time dependent. </w:t>
      </w:r>
      <w:r w:rsidR="005B169E" w:rsidRPr="008E73D9">
        <w:t xml:space="preserve">  </w:t>
      </w:r>
    </w:p>
    <w:p w14:paraId="36E4F740" w14:textId="77777777" w:rsidR="000B02FF" w:rsidRPr="008E73D9" w:rsidRDefault="000B02FF" w:rsidP="006434D5">
      <w:pPr>
        <w:autoSpaceDE w:val="0"/>
        <w:autoSpaceDN w:val="0"/>
        <w:adjustRightInd w:val="0"/>
        <w:ind w:firstLine="540"/>
        <w:jc w:val="both"/>
      </w:pPr>
    </w:p>
    <w:p w14:paraId="08EE20A1" w14:textId="2D369CAD" w:rsidR="003C3F80" w:rsidRPr="008E73D9" w:rsidRDefault="003C3F80" w:rsidP="003C3F80">
      <w:pPr>
        <w:autoSpaceDE w:val="0"/>
        <w:autoSpaceDN w:val="0"/>
        <w:adjustRightInd w:val="0"/>
        <w:ind w:firstLine="540"/>
        <w:jc w:val="both"/>
      </w:pPr>
      <w:r w:rsidRPr="008E73D9">
        <w:lastRenderedPageBreak/>
        <w:t>The rest of this paper is organized in the following manner.</w:t>
      </w:r>
      <w:r w:rsidR="008C1F74" w:rsidRPr="008E73D9">
        <w:t xml:space="preserve"> Section II presents a brief review of risk management theories and the empirical evidence. Section III describes the data, sample, and method</w:t>
      </w:r>
      <w:r w:rsidR="00915438" w:rsidRPr="008E73D9">
        <w:t>s</w:t>
      </w:r>
      <w:r w:rsidR="008C1F74" w:rsidRPr="008E73D9">
        <w:t xml:space="preserve"> used for analysis. Section IV provides statistical results. Section V concludes and suggests avenues for future research. </w:t>
      </w:r>
    </w:p>
    <w:p w14:paraId="7B21E96D" w14:textId="77777777" w:rsidR="00F1056D" w:rsidRPr="008E73D9" w:rsidRDefault="00F1056D" w:rsidP="003C3F80">
      <w:pPr>
        <w:autoSpaceDE w:val="0"/>
        <w:autoSpaceDN w:val="0"/>
        <w:adjustRightInd w:val="0"/>
        <w:ind w:firstLine="540"/>
        <w:jc w:val="both"/>
      </w:pPr>
    </w:p>
    <w:p w14:paraId="1F75DCAA" w14:textId="77777777" w:rsidR="002309E2" w:rsidRPr="008E73D9" w:rsidRDefault="002309E2" w:rsidP="003C3F80">
      <w:pPr>
        <w:autoSpaceDE w:val="0"/>
        <w:autoSpaceDN w:val="0"/>
        <w:adjustRightInd w:val="0"/>
        <w:ind w:firstLine="540"/>
        <w:jc w:val="both"/>
      </w:pPr>
    </w:p>
    <w:p w14:paraId="079F2108" w14:textId="77777777" w:rsidR="003C3F80" w:rsidRPr="008E73D9" w:rsidRDefault="009E40F3" w:rsidP="00842789">
      <w:pPr>
        <w:numPr>
          <w:ilvl w:val="0"/>
          <w:numId w:val="1"/>
        </w:numPr>
        <w:tabs>
          <w:tab w:val="clear" w:pos="720"/>
        </w:tabs>
        <w:spacing w:line="480" w:lineRule="auto"/>
        <w:ind w:left="180"/>
        <w:jc w:val="center"/>
        <w:rPr>
          <w:b/>
          <w:color w:val="0000FF"/>
        </w:rPr>
      </w:pPr>
      <w:r w:rsidRPr="008E73D9">
        <w:rPr>
          <w:b/>
          <w:color w:val="0000FF"/>
        </w:rPr>
        <w:t>Risk Management Theory and Empirical Evidence</w:t>
      </w:r>
    </w:p>
    <w:p w14:paraId="7EC2D704" w14:textId="77777777" w:rsidR="00842789" w:rsidRPr="008E73D9" w:rsidRDefault="00842789" w:rsidP="00842789">
      <w:pPr>
        <w:ind w:firstLine="720"/>
        <w:jc w:val="both"/>
        <w:rPr>
          <w:szCs w:val="20"/>
        </w:rPr>
      </w:pPr>
      <w:r w:rsidRPr="008E73D9">
        <w:rPr>
          <w:szCs w:val="20"/>
        </w:rPr>
        <w:t xml:space="preserve">Corporate risk management can be achieved via insurance purchase or </w:t>
      </w:r>
      <w:r w:rsidR="005B46A9" w:rsidRPr="008E73D9">
        <w:rPr>
          <w:szCs w:val="20"/>
        </w:rPr>
        <w:t>alternative risk transfer vehicles, s</w:t>
      </w:r>
      <w:r w:rsidRPr="008E73D9">
        <w:rPr>
          <w:szCs w:val="20"/>
        </w:rPr>
        <w:t xml:space="preserve">uch as using </w:t>
      </w:r>
      <w:r w:rsidR="005B46A9" w:rsidRPr="008E73D9">
        <w:rPr>
          <w:szCs w:val="20"/>
        </w:rPr>
        <w:t>self-</w:t>
      </w:r>
      <w:r w:rsidR="001E70C4" w:rsidRPr="008E73D9">
        <w:rPr>
          <w:szCs w:val="20"/>
        </w:rPr>
        <w:t>insurance</w:t>
      </w:r>
      <w:r w:rsidRPr="008E73D9">
        <w:rPr>
          <w:szCs w:val="20"/>
        </w:rPr>
        <w:t xml:space="preserve">. There are two strands of theories that explore the relation between risk management and firm value. </w:t>
      </w:r>
      <w:r w:rsidR="00662B81" w:rsidRPr="008E73D9">
        <w:rPr>
          <w:szCs w:val="20"/>
        </w:rPr>
        <w:t>The first is to maximize shareholder value, while the second is to maximize personal utility.</w:t>
      </w:r>
    </w:p>
    <w:p w14:paraId="13BFAD9D" w14:textId="77777777" w:rsidR="00CF3ED1" w:rsidRPr="008E73D9" w:rsidRDefault="00CF3ED1" w:rsidP="00842789">
      <w:pPr>
        <w:ind w:firstLine="720"/>
        <w:jc w:val="both"/>
        <w:rPr>
          <w:szCs w:val="20"/>
        </w:rPr>
      </w:pPr>
    </w:p>
    <w:p w14:paraId="3B742EEF" w14:textId="77777777" w:rsidR="00842789" w:rsidRPr="008E73D9" w:rsidRDefault="005B46A9" w:rsidP="00842789">
      <w:pPr>
        <w:ind w:firstLine="720"/>
        <w:jc w:val="both"/>
        <w:rPr>
          <w:szCs w:val="20"/>
        </w:rPr>
      </w:pPr>
      <w:r w:rsidRPr="008E73D9">
        <w:rPr>
          <w:szCs w:val="20"/>
        </w:rPr>
        <w:t xml:space="preserve">Risk management can create shareholder value when the benefits outweigh the costs. </w:t>
      </w:r>
      <w:r w:rsidR="00842789" w:rsidRPr="008E73D9">
        <w:rPr>
          <w:szCs w:val="20"/>
        </w:rPr>
        <w:t xml:space="preserve">For example, by lowering the cash flow volatility, risk management can reduce the expected cost of financial distress </w:t>
      </w:r>
      <w:r w:rsidR="00842789" w:rsidRPr="008E73D9">
        <w:rPr>
          <w:color w:val="C00000"/>
          <w:szCs w:val="20"/>
        </w:rPr>
        <w:t>(Mayers and Smith</w:t>
      </w:r>
      <w:r w:rsidR="00E51687" w:rsidRPr="008E73D9">
        <w:rPr>
          <w:color w:val="C00000"/>
          <w:szCs w:val="20"/>
        </w:rPr>
        <w:t xml:space="preserve">, </w:t>
      </w:r>
      <w:r w:rsidR="00842789" w:rsidRPr="008E73D9">
        <w:rPr>
          <w:color w:val="C00000"/>
          <w:szCs w:val="20"/>
        </w:rPr>
        <w:t>1982), Smith and Stulz</w:t>
      </w:r>
      <w:r w:rsidR="00E51687" w:rsidRPr="008E73D9">
        <w:rPr>
          <w:color w:val="C00000"/>
          <w:szCs w:val="20"/>
        </w:rPr>
        <w:t xml:space="preserve">, </w:t>
      </w:r>
      <w:r w:rsidR="00842789" w:rsidRPr="008E73D9">
        <w:rPr>
          <w:color w:val="C00000"/>
          <w:szCs w:val="20"/>
        </w:rPr>
        <w:t>1985)</w:t>
      </w:r>
      <w:r w:rsidR="00842789" w:rsidRPr="008E73D9">
        <w:rPr>
          <w:szCs w:val="20"/>
        </w:rPr>
        <w:t xml:space="preserve">; it can also reduce expected taxes due to the convex tax structure </w:t>
      </w:r>
      <w:r w:rsidR="00842789" w:rsidRPr="008E73D9">
        <w:rPr>
          <w:color w:val="C00000"/>
          <w:szCs w:val="20"/>
        </w:rPr>
        <w:t>(Mayers and Smith</w:t>
      </w:r>
      <w:r w:rsidR="00E51687" w:rsidRPr="008E73D9">
        <w:rPr>
          <w:color w:val="C00000"/>
          <w:szCs w:val="20"/>
        </w:rPr>
        <w:t xml:space="preserve">, </w:t>
      </w:r>
      <w:r w:rsidR="00842789" w:rsidRPr="008E73D9">
        <w:rPr>
          <w:color w:val="C00000"/>
          <w:szCs w:val="20"/>
        </w:rPr>
        <w:t>1982</w:t>
      </w:r>
      <w:r w:rsidR="00E51687" w:rsidRPr="008E73D9">
        <w:rPr>
          <w:color w:val="C00000"/>
          <w:szCs w:val="20"/>
        </w:rPr>
        <w:t>;</w:t>
      </w:r>
      <w:r w:rsidR="00842789" w:rsidRPr="008E73D9">
        <w:rPr>
          <w:color w:val="C00000"/>
          <w:szCs w:val="20"/>
        </w:rPr>
        <w:t xml:space="preserve"> Smith and Stulz</w:t>
      </w:r>
      <w:r w:rsidR="00E51687" w:rsidRPr="008E73D9">
        <w:rPr>
          <w:color w:val="C00000"/>
          <w:szCs w:val="20"/>
        </w:rPr>
        <w:t xml:space="preserve">, </w:t>
      </w:r>
      <w:r w:rsidR="00842789" w:rsidRPr="008E73D9">
        <w:rPr>
          <w:color w:val="C00000"/>
          <w:szCs w:val="20"/>
        </w:rPr>
        <w:t>1985)</w:t>
      </w:r>
      <w:r w:rsidR="00842789" w:rsidRPr="008E73D9">
        <w:rPr>
          <w:szCs w:val="20"/>
        </w:rPr>
        <w:t xml:space="preserve">. Alternatively, risk management can increase firm value via increased debt capacity (Leland (1998)), or by relieving the problem of underinvestment when external cost of financing is more expensive than internal cash flows and when investment opportunity is inversely related to cash flows </w:t>
      </w:r>
      <w:r w:rsidR="00842789" w:rsidRPr="008E73D9">
        <w:rPr>
          <w:color w:val="C00000"/>
          <w:szCs w:val="20"/>
        </w:rPr>
        <w:t>(Froot, Scharfstein, and Stein</w:t>
      </w:r>
      <w:r w:rsidR="00E51687" w:rsidRPr="008E73D9">
        <w:rPr>
          <w:color w:val="C00000"/>
          <w:szCs w:val="20"/>
        </w:rPr>
        <w:t xml:space="preserve">, </w:t>
      </w:r>
      <w:r w:rsidR="00842789" w:rsidRPr="008E73D9">
        <w:rPr>
          <w:color w:val="C00000"/>
          <w:szCs w:val="20"/>
        </w:rPr>
        <w:t>1993)</w:t>
      </w:r>
      <w:r w:rsidR="00842789" w:rsidRPr="008E73D9">
        <w:rPr>
          <w:szCs w:val="20"/>
        </w:rPr>
        <w:t xml:space="preserve">. </w:t>
      </w:r>
    </w:p>
    <w:p w14:paraId="73396AED" w14:textId="77777777" w:rsidR="00CF3ED1" w:rsidRPr="008E73D9" w:rsidRDefault="00CF3ED1" w:rsidP="00842789">
      <w:pPr>
        <w:ind w:firstLine="720"/>
        <w:jc w:val="both"/>
        <w:rPr>
          <w:szCs w:val="20"/>
        </w:rPr>
      </w:pPr>
    </w:p>
    <w:p w14:paraId="7CC7F9B5" w14:textId="77777777" w:rsidR="00842789" w:rsidRPr="008E73D9" w:rsidRDefault="00842789" w:rsidP="00842789">
      <w:pPr>
        <w:ind w:firstLine="720"/>
        <w:jc w:val="both"/>
        <w:rPr>
          <w:szCs w:val="20"/>
        </w:rPr>
      </w:pPr>
      <w:r w:rsidRPr="008E73D9">
        <w:rPr>
          <w:szCs w:val="20"/>
        </w:rPr>
        <w:t xml:space="preserve">On the other hand, risk management can stem from personal motives, and is therefore not necessarily value-enhancing. For example, managers may take on risk management activities if their wealth is concentrated in the companies they manage, thus reducing the risk of their investment portfolio at the cost of shareholders </w:t>
      </w:r>
      <w:r w:rsidRPr="008E73D9">
        <w:rPr>
          <w:color w:val="C00000"/>
          <w:szCs w:val="20"/>
        </w:rPr>
        <w:t>(Stulz</w:t>
      </w:r>
      <w:r w:rsidR="00E51687" w:rsidRPr="008E73D9">
        <w:rPr>
          <w:color w:val="C00000"/>
          <w:szCs w:val="20"/>
        </w:rPr>
        <w:t xml:space="preserve">, </w:t>
      </w:r>
      <w:r w:rsidRPr="008E73D9">
        <w:rPr>
          <w:color w:val="C00000"/>
          <w:szCs w:val="20"/>
        </w:rPr>
        <w:t>1984</w:t>
      </w:r>
      <w:r w:rsidR="00E51687" w:rsidRPr="008E73D9">
        <w:rPr>
          <w:color w:val="C00000"/>
          <w:szCs w:val="20"/>
        </w:rPr>
        <w:t>;</w:t>
      </w:r>
      <w:r w:rsidRPr="008E73D9">
        <w:rPr>
          <w:color w:val="C00000"/>
          <w:szCs w:val="20"/>
        </w:rPr>
        <w:t xml:space="preserve"> Smith and Stulz</w:t>
      </w:r>
      <w:r w:rsidR="00E51687" w:rsidRPr="008E73D9">
        <w:rPr>
          <w:color w:val="C00000"/>
          <w:szCs w:val="20"/>
        </w:rPr>
        <w:t xml:space="preserve">, </w:t>
      </w:r>
      <w:r w:rsidRPr="008E73D9">
        <w:rPr>
          <w:color w:val="C00000"/>
          <w:szCs w:val="20"/>
        </w:rPr>
        <w:t>1985)</w:t>
      </w:r>
      <w:r w:rsidRPr="008E73D9">
        <w:rPr>
          <w:szCs w:val="20"/>
        </w:rPr>
        <w:t xml:space="preserve">. Alternatively, risk management can increase the conflict between owners and managers, when managers are able to take on pet projects (those with negative NPV but can increase managers’ personal utility) from internally generated cash flows. This is achieved without having to access external financial market so managers avoid being monitored by outside investors </w:t>
      </w:r>
      <w:r w:rsidRPr="008E73D9">
        <w:rPr>
          <w:color w:val="C00000"/>
          <w:szCs w:val="20"/>
        </w:rPr>
        <w:t>(Tufano</w:t>
      </w:r>
      <w:r w:rsidR="00E51687" w:rsidRPr="008E73D9">
        <w:rPr>
          <w:color w:val="C00000"/>
          <w:szCs w:val="20"/>
        </w:rPr>
        <w:t xml:space="preserve">, </w:t>
      </w:r>
      <w:r w:rsidRPr="008E73D9">
        <w:rPr>
          <w:color w:val="C00000"/>
          <w:szCs w:val="20"/>
        </w:rPr>
        <w:t>1998)</w:t>
      </w:r>
      <w:r w:rsidRPr="008E73D9">
        <w:rPr>
          <w:szCs w:val="20"/>
        </w:rPr>
        <w:t xml:space="preserve">. </w:t>
      </w:r>
    </w:p>
    <w:p w14:paraId="1EC39F73" w14:textId="77777777" w:rsidR="00CF3ED1" w:rsidRPr="008E73D9" w:rsidRDefault="00CF3ED1" w:rsidP="00842789">
      <w:pPr>
        <w:ind w:firstLine="720"/>
        <w:jc w:val="both"/>
        <w:rPr>
          <w:szCs w:val="20"/>
        </w:rPr>
      </w:pPr>
    </w:p>
    <w:p w14:paraId="51C8BAA5" w14:textId="77777777" w:rsidR="00842789" w:rsidRPr="008E73D9" w:rsidRDefault="00842789" w:rsidP="00842789">
      <w:pPr>
        <w:ind w:firstLine="720"/>
        <w:jc w:val="both"/>
        <w:rPr>
          <w:szCs w:val="20"/>
        </w:rPr>
      </w:pPr>
      <w:r w:rsidRPr="008E73D9">
        <w:rPr>
          <w:szCs w:val="20"/>
        </w:rPr>
        <w:t xml:space="preserve">Empirical evidence shows mixed support to the value maximization theory. In terms of corporate hedging through derivatives use, there are some studies that find that corporate derivatives use is related to higher firm value </w:t>
      </w:r>
      <w:r w:rsidRPr="008E73D9">
        <w:rPr>
          <w:color w:val="C00000"/>
          <w:szCs w:val="20"/>
        </w:rPr>
        <w:t>(Allayannis and Weston</w:t>
      </w:r>
      <w:r w:rsidR="00E51687" w:rsidRPr="008E73D9">
        <w:rPr>
          <w:color w:val="C00000"/>
          <w:szCs w:val="20"/>
        </w:rPr>
        <w:t xml:space="preserve">, </w:t>
      </w:r>
      <w:r w:rsidRPr="008E73D9">
        <w:rPr>
          <w:color w:val="C00000"/>
          <w:szCs w:val="20"/>
        </w:rPr>
        <w:t>2001</w:t>
      </w:r>
      <w:r w:rsidR="00E51687" w:rsidRPr="008E73D9">
        <w:rPr>
          <w:color w:val="C00000"/>
          <w:szCs w:val="20"/>
        </w:rPr>
        <w:t>;</w:t>
      </w:r>
      <w:r w:rsidRPr="008E73D9">
        <w:rPr>
          <w:color w:val="C00000"/>
          <w:szCs w:val="20"/>
        </w:rPr>
        <w:t xml:space="preserve"> Graham and Rogers</w:t>
      </w:r>
      <w:r w:rsidR="00E51687" w:rsidRPr="008E73D9">
        <w:rPr>
          <w:color w:val="C00000"/>
          <w:szCs w:val="20"/>
        </w:rPr>
        <w:t xml:space="preserve">, </w:t>
      </w:r>
      <w:r w:rsidRPr="008E73D9">
        <w:rPr>
          <w:color w:val="C00000"/>
          <w:szCs w:val="20"/>
        </w:rPr>
        <w:t>2002</w:t>
      </w:r>
      <w:r w:rsidR="00E51687" w:rsidRPr="008E73D9">
        <w:rPr>
          <w:color w:val="C00000"/>
          <w:szCs w:val="20"/>
        </w:rPr>
        <w:t>;</w:t>
      </w:r>
      <w:r w:rsidRPr="008E73D9">
        <w:rPr>
          <w:color w:val="C00000"/>
          <w:szCs w:val="20"/>
        </w:rPr>
        <w:t xml:space="preserve"> Carter, Rogers and Simkins</w:t>
      </w:r>
      <w:r w:rsidR="00E51687" w:rsidRPr="008E73D9">
        <w:rPr>
          <w:color w:val="C00000"/>
          <w:szCs w:val="20"/>
        </w:rPr>
        <w:t xml:space="preserve">, </w:t>
      </w:r>
      <w:r w:rsidRPr="008E73D9">
        <w:rPr>
          <w:color w:val="C00000"/>
          <w:szCs w:val="20"/>
        </w:rPr>
        <w:t>2006</w:t>
      </w:r>
      <w:r w:rsidR="00E51687" w:rsidRPr="008E73D9">
        <w:rPr>
          <w:color w:val="C00000"/>
          <w:szCs w:val="20"/>
        </w:rPr>
        <w:t>;</w:t>
      </w:r>
      <w:r w:rsidRPr="008E73D9">
        <w:rPr>
          <w:color w:val="C00000"/>
          <w:szCs w:val="20"/>
        </w:rPr>
        <w:t xml:space="preserve"> Bartram, Brown and Conrad</w:t>
      </w:r>
      <w:r w:rsidR="00E51687" w:rsidRPr="008E73D9">
        <w:rPr>
          <w:color w:val="C00000"/>
          <w:szCs w:val="20"/>
        </w:rPr>
        <w:t xml:space="preserve">, </w:t>
      </w:r>
      <w:r w:rsidRPr="008E73D9">
        <w:rPr>
          <w:color w:val="C00000"/>
          <w:szCs w:val="20"/>
        </w:rPr>
        <w:t>2011)</w:t>
      </w:r>
      <w:r w:rsidRPr="008E73D9">
        <w:rPr>
          <w:szCs w:val="20"/>
        </w:rPr>
        <w:t xml:space="preserve">. On the other hand, other studies suggest that the effect of derivatives on firm value is small </w:t>
      </w:r>
      <w:r w:rsidRPr="008E73D9">
        <w:rPr>
          <w:color w:val="C00000"/>
          <w:szCs w:val="20"/>
        </w:rPr>
        <w:t>(Guay and Kothari</w:t>
      </w:r>
      <w:r w:rsidR="00E51687" w:rsidRPr="008E73D9">
        <w:rPr>
          <w:color w:val="C00000"/>
          <w:szCs w:val="20"/>
        </w:rPr>
        <w:t xml:space="preserve">, </w:t>
      </w:r>
      <w:r w:rsidRPr="008E73D9">
        <w:rPr>
          <w:color w:val="C00000"/>
          <w:szCs w:val="20"/>
        </w:rPr>
        <w:t>2003)</w:t>
      </w:r>
      <w:r w:rsidRPr="008E73D9">
        <w:rPr>
          <w:szCs w:val="20"/>
        </w:rPr>
        <w:t xml:space="preserve">, or that there is no relationship between the derivatives usage and firm value </w:t>
      </w:r>
      <w:r w:rsidRPr="008E73D9">
        <w:rPr>
          <w:color w:val="C00000"/>
          <w:szCs w:val="20"/>
        </w:rPr>
        <w:t>(Jin and Jorion</w:t>
      </w:r>
      <w:r w:rsidR="00E51687" w:rsidRPr="008E73D9">
        <w:rPr>
          <w:color w:val="C00000"/>
          <w:szCs w:val="20"/>
        </w:rPr>
        <w:t xml:space="preserve">, </w:t>
      </w:r>
      <w:r w:rsidRPr="008E73D9">
        <w:rPr>
          <w:color w:val="C00000"/>
          <w:szCs w:val="20"/>
        </w:rPr>
        <w:t>2006)</w:t>
      </w:r>
      <w:r w:rsidRPr="008E73D9">
        <w:rPr>
          <w:szCs w:val="20"/>
        </w:rPr>
        <w:t xml:space="preserve">. Along the line of research relating risk management to managerial motives, studies of the gold mining industry and oil and gas industry support the view that corporate derivatives usage is related to managerial risk-aversion </w:t>
      </w:r>
      <w:r w:rsidRPr="008E73D9">
        <w:rPr>
          <w:color w:val="C00000"/>
          <w:szCs w:val="20"/>
        </w:rPr>
        <w:t>(Tufano</w:t>
      </w:r>
      <w:r w:rsidR="00E51687" w:rsidRPr="008E73D9">
        <w:rPr>
          <w:color w:val="C00000"/>
          <w:szCs w:val="20"/>
        </w:rPr>
        <w:t xml:space="preserve">, </w:t>
      </w:r>
      <w:r w:rsidRPr="008E73D9">
        <w:rPr>
          <w:color w:val="C00000"/>
          <w:szCs w:val="20"/>
        </w:rPr>
        <w:t>1996</w:t>
      </w:r>
      <w:r w:rsidR="00E51687" w:rsidRPr="008E73D9">
        <w:rPr>
          <w:color w:val="C00000"/>
          <w:szCs w:val="20"/>
        </w:rPr>
        <w:t>;</w:t>
      </w:r>
      <w:r w:rsidRPr="008E73D9">
        <w:rPr>
          <w:color w:val="C00000"/>
          <w:szCs w:val="20"/>
        </w:rPr>
        <w:t xml:space="preserve"> Rajgopal and Shevlin</w:t>
      </w:r>
      <w:r w:rsidR="001E70C4" w:rsidRPr="008E73D9">
        <w:rPr>
          <w:color w:val="C00000"/>
          <w:szCs w:val="20"/>
        </w:rPr>
        <w:t>, 2002</w:t>
      </w:r>
      <w:r w:rsidRPr="008E73D9">
        <w:rPr>
          <w:color w:val="C00000"/>
          <w:szCs w:val="20"/>
        </w:rPr>
        <w:t>)</w:t>
      </w:r>
      <w:r w:rsidRPr="008E73D9">
        <w:rPr>
          <w:szCs w:val="20"/>
        </w:rPr>
        <w:t xml:space="preserve">. More recently, results of a survey of 700 CFOs from around the world suggests that executive risk aversion in combination of other personal characteristics play a crucial role in risk management decisions </w:t>
      </w:r>
      <w:r w:rsidRPr="008E73D9">
        <w:rPr>
          <w:color w:val="C00000"/>
          <w:szCs w:val="20"/>
        </w:rPr>
        <w:t>(Bodnar, Graham, Giambona and Harvey</w:t>
      </w:r>
      <w:r w:rsidR="00E51687" w:rsidRPr="008E73D9">
        <w:rPr>
          <w:color w:val="C00000"/>
          <w:szCs w:val="20"/>
        </w:rPr>
        <w:t xml:space="preserve">, </w:t>
      </w:r>
      <w:r w:rsidRPr="008E73D9">
        <w:rPr>
          <w:color w:val="C00000"/>
          <w:szCs w:val="20"/>
        </w:rPr>
        <w:t>2015)</w:t>
      </w:r>
      <w:r w:rsidRPr="008E73D9">
        <w:rPr>
          <w:szCs w:val="20"/>
        </w:rPr>
        <w:t>. Under this premise, it is not clear that risk management results in higher firm value.</w:t>
      </w:r>
    </w:p>
    <w:p w14:paraId="1CAD2ACE" w14:textId="77777777" w:rsidR="00CF3ED1" w:rsidRPr="008E73D9" w:rsidRDefault="00CF3ED1" w:rsidP="00842789">
      <w:pPr>
        <w:ind w:firstLine="720"/>
        <w:jc w:val="both"/>
        <w:rPr>
          <w:szCs w:val="20"/>
        </w:rPr>
      </w:pPr>
    </w:p>
    <w:p w14:paraId="3A4FD2AA" w14:textId="3F310746" w:rsidR="00842789" w:rsidRPr="008E73D9" w:rsidRDefault="0002055D" w:rsidP="0002055D">
      <w:pPr>
        <w:autoSpaceDE w:val="0"/>
        <w:autoSpaceDN w:val="0"/>
        <w:adjustRightInd w:val="0"/>
        <w:ind w:firstLine="720"/>
        <w:jc w:val="both"/>
        <w:rPr>
          <w:rFonts w:eastAsiaTheme="minorEastAsia"/>
        </w:rPr>
      </w:pPr>
      <w:r w:rsidRPr="008E73D9">
        <w:rPr>
          <w:szCs w:val="20"/>
        </w:rPr>
        <w:lastRenderedPageBreak/>
        <w:t xml:space="preserve">One of the major loss exposures </w:t>
      </w:r>
      <w:r w:rsidR="00E30D85" w:rsidRPr="008E73D9">
        <w:rPr>
          <w:szCs w:val="20"/>
        </w:rPr>
        <w:t xml:space="preserve">for </w:t>
      </w:r>
      <w:r w:rsidRPr="008E73D9">
        <w:rPr>
          <w:szCs w:val="20"/>
        </w:rPr>
        <w:t xml:space="preserve">modern businesses is </w:t>
      </w:r>
      <w:r w:rsidR="001E70C4" w:rsidRPr="008E73D9">
        <w:rPr>
          <w:szCs w:val="20"/>
        </w:rPr>
        <w:t xml:space="preserve">their </w:t>
      </w:r>
      <w:r w:rsidRPr="008E73D9">
        <w:rPr>
          <w:szCs w:val="20"/>
        </w:rPr>
        <w:t>workers’ compensation liability. In order to manage their WC liability, companies can choose between buying WC insurance from the market place and self-insuring for WC risk. On the one hand, r</w:t>
      </w:r>
      <w:r w:rsidR="00842789" w:rsidRPr="008E73D9">
        <w:rPr>
          <w:szCs w:val="20"/>
        </w:rPr>
        <w:t xml:space="preserve">isk management can be achieved through the purchase of insurance. </w:t>
      </w:r>
      <w:r w:rsidRPr="008E73D9">
        <w:rPr>
          <w:rFonts w:eastAsiaTheme="minorEastAsia"/>
        </w:rPr>
        <w:t xml:space="preserve">Aside from a risk aversion incentive to buy insurance, </w:t>
      </w:r>
      <w:r w:rsidRPr="008E73D9">
        <w:rPr>
          <w:rFonts w:eastAsiaTheme="minorEastAsia"/>
          <w:color w:val="C00000"/>
        </w:rPr>
        <w:t xml:space="preserve">MacMinn and Garven (2000) </w:t>
      </w:r>
      <w:r w:rsidRPr="008E73D9">
        <w:rPr>
          <w:rFonts w:eastAsiaTheme="minorEastAsia"/>
        </w:rPr>
        <w:t xml:space="preserve">indicate that corporate insurance contracts can be used to reduce bankruptcy costs, agency costs and tax costs in their theoretical model. </w:t>
      </w:r>
      <w:r w:rsidR="00842789" w:rsidRPr="008E73D9">
        <w:rPr>
          <w:szCs w:val="20"/>
        </w:rPr>
        <w:t xml:space="preserve">However, there has not been much empirical research on the direct relation between insurance purchase and firm value. One exception is a study of the Chinese firms, which found that the use of property insurance is related to higher firm value, potentially by helping firms secure new debt financing and enhance investment </w:t>
      </w:r>
      <w:r w:rsidR="00842789" w:rsidRPr="008E73D9">
        <w:rPr>
          <w:color w:val="C00000"/>
          <w:szCs w:val="20"/>
        </w:rPr>
        <w:t>(Zou</w:t>
      </w:r>
      <w:r w:rsidR="00E51687" w:rsidRPr="008E73D9">
        <w:rPr>
          <w:color w:val="C00000"/>
          <w:szCs w:val="20"/>
        </w:rPr>
        <w:t xml:space="preserve">, </w:t>
      </w:r>
      <w:r w:rsidR="00842789" w:rsidRPr="008E73D9">
        <w:rPr>
          <w:color w:val="C00000"/>
          <w:szCs w:val="20"/>
        </w:rPr>
        <w:t>2010)</w:t>
      </w:r>
      <w:r w:rsidR="00842789" w:rsidRPr="008E73D9">
        <w:rPr>
          <w:szCs w:val="20"/>
        </w:rPr>
        <w:t xml:space="preserve">. </w:t>
      </w:r>
      <w:r w:rsidRPr="008E73D9">
        <w:rPr>
          <w:rFonts w:eastAsiaTheme="minorEastAsia"/>
        </w:rPr>
        <w:t>On the other hand, r</w:t>
      </w:r>
      <w:r w:rsidRPr="008E73D9">
        <w:rPr>
          <w:szCs w:val="20"/>
        </w:rPr>
        <w:t xml:space="preserve">isk management can be accomplished by an alternative risk transfer technique in the form of self-insurance. </w:t>
      </w:r>
      <w:r w:rsidRPr="008E73D9">
        <w:rPr>
          <w:rFonts w:eastAsiaTheme="minorEastAsia"/>
          <w:color w:val="C00000"/>
        </w:rPr>
        <w:t>Vaughan (1997)</w:t>
      </w:r>
      <w:r w:rsidR="00F04F7F" w:rsidRPr="008E73D9">
        <w:rPr>
          <w:rFonts w:eastAsiaTheme="minorEastAsia"/>
          <w:color w:val="C00000"/>
        </w:rPr>
        <w:t xml:space="preserve"> </w:t>
      </w:r>
      <w:r w:rsidR="00F04F7F" w:rsidRPr="008E73D9">
        <w:rPr>
          <w:szCs w:val="20"/>
        </w:rPr>
        <w:t xml:space="preserve">suggests </w:t>
      </w:r>
      <w:r w:rsidR="00F04F7F" w:rsidRPr="008E73D9">
        <w:rPr>
          <w:rFonts w:eastAsiaTheme="minorEastAsia"/>
        </w:rPr>
        <w:t xml:space="preserve">the principal reason that firms elect to self-insure certain exposures is that they believe it will be cheaper to do so in the long run. As a result of </w:t>
      </w:r>
      <w:r w:rsidR="00F51AD1" w:rsidRPr="008E73D9">
        <w:rPr>
          <w:szCs w:val="20"/>
        </w:rPr>
        <w:t xml:space="preserve">better control over claims and </w:t>
      </w:r>
      <w:r w:rsidR="00842789" w:rsidRPr="008E73D9">
        <w:rPr>
          <w:szCs w:val="20"/>
        </w:rPr>
        <w:t>improved efficiency compared to the WC insurance market</w:t>
      </w:r>
      <w:r w:rsidR="00F04F7F" w:rsidRPr="008E73D9">
        <w:rPr>
          <w:szCs w:val="20"/>
        </w:rPr>
        <w:t xml:space="preserve">, </w:t>
      </w:r>
      <w:r w:rsidR="00842789" w:rsidRPr="008E73D9">
        <w:rPr>
          <w:szCs w:val="20"/>
        </w:rPr>
        <w:t>self-insurance can potentially lead to higher firm value.</w:t>
      </w:r>
    </w:p>
    <w:p w14:paraId="23519595" w14:textId="77777777" w:rsidR="00612C84" w:rsidRPr="008E73D9" w:rsidRDefault="00612C84" w:rsidP="00842789">
      <w:pPr>
        <w:ind w:firstLine="720"/>
        <w:jc w:val="both"/>
        <w:rPr>
          <w:szCs w:val="20"/>
        </w:rPr>
      </w:pPr>
    </w:p>
    <w:p w14:paraId="0BE43618" w14:textId="77777777" w:rsidR="00AB37B5" w:rsidRPr="008E73D9" w:rsidRDefault="00AB37B5" w:rsidP="003C3F80">
      <w:pPr>
        <w:ind w:firstLine="720"/>
        <w:jc w:val="both"/>
        <w:rPr>
          <w:color w:val="000000"/>
        </w:rPr>
      </w:pPr>
    </w:p>
    <w:p w14:paraId="4CFBFCB4" w14:textId="77777777" w:rsidR="003C3F80" w:rsidRPr="008E73D9" w:rsidRDefault="003C3F80" w:rsidP="003C3F80">
      <w:pPr>
        <w:numPr>
          <w:ilvl w:val="0"/>
          <w:numId w:val="1"/>
        </w:numPr>
        <w:tabs>
          <w:tab w:val="clear" w:pos="720"/>
        </w:tabs>
        <w:spacing w:line="480" w:lineRule="auto"/>
        <w:ind w:left="180"/>
        <w:jc w:val="center"/>
        <w:rPr>
          <w:b/>
          <w:color w:val="0000FF"/>
        </w:rPr>
      </w:pPr>
      <w:r w:rsidRPr="008E73D9">
        <w:rPr>
          <w:b/>
          <w:color w:val="0000FF"/>
        </w:rPr>
        <w:t>Data</w:t>
      </w:r>
      <w:r w:rsidR="00F76708" w:rsidRPr="008E73D9">
        <w:rPr>
          <w:b/>
          <w:color w:val="0000FF"/>
        </w:rPr>
        <w:t xml:space="preserve">, </w:t>
      </w:r>
      <w:r w:rsidRPr="008E73D9">
        <w:rPr>
          <w:b/>
          <w:color w:val="0000FF"/>
        </w:rPr>
        <w:t>Sample</w:t>
      </w:r>
      <w:r w:rsidR="00F76708" w:rsidRPr="008E73D9">
        <w:rPr>
          <w:b/>
          <w:color w:val="0000FF"/>
        </w:rPr>
        <w:t>, and Method</w:t>
      </w:r>
    </w:p>
    <w:p w14:paraId="7A1A51E4" w14:textId="1F98D239" w:rsidR="003C3F80" w:rsidRPr="008E73D9" w:rsidRDefault="003C3F80" w:rsidP="00B55E74">
      <w:pPr>
        <w:ind w:firstLine="720"/>
        <w:jc w:val="both"/>
      </w:pPr>
      <w:r w:rsidRPr="008E73D9">
        <w:t xml:space="preserve">This empirical analysis of self-insured manufacturers </w:t>
      </w:r>
      <w:r w:rsidR="00F51AD1" w:rsidRPr="008E73D9">
        <w:t xml:space="preserve">started with </w:t>
      </w:r>
      <w:r w:rsidRPr="008E73D9">
        <w:t xml:space="preserve">the </w:t>
      </w:r>
      <w:r w:rsidRPr="008E73D9">
        <w:rPr>
          <w:i/>
        </w:rPr>
        <w:t>2013 California Manufacturers Register and Databases</w:t>
      </w:r>
      <w:r w:rsidRPr="008E73D9">
        <w:t xml:space="preserve">. </w:t>
      </w:r>
      <w:r w:rsidR="00B55E74" w:rsidRPr="008E73D9">
        <w:t xml:space="preserve">The original database contains </w:t>
      </w:r>
      <w:r w:rsidRPr="008E73D9">
        <w:t xml:space="preserve">121 large firms </w:t>
      </w:r>
      <w:r w:rsidR="00C6520A" w:rsidRPr="008E73D9">
        <w:t xml:space="preserve">(76 publicly-owned and 45 privately-owned) </w:t>
      </w:r>
      <w:r w:rsidRPr="008E73D9">
        <w:t>with at least 1,000 employees</w:t>
      </w:r>
      <w:r w:rsidR="00C6520A" w:rsidRPr="008E73D9">
        <w:t xml:space="preserve"> in CA</w:t>
      </w:r>
      <w:r w:rsidR="00B55E74" w:rsidRPr="008E73D9">
        <w:t xml:space="preserve">. Then, </w:t>
      </w:r>
      <w:r w:rsidRPr="008E73D9">
        <w:t>market data for publicly-traded firms are obtained</w:t>
      </w:r>
      <w:r w:rsidR="00740473" w:rsidRPr="008E73D9">
        <w:t xml:space="preserve"> from COMPUSTAT</w:t>
      </w:r>
      <w:r w:rsidR="00B55E74" w:rsidRPr="008E73D9">
        <w:t xml:space="preserve">. </w:t>
      </w:r>
      <w:r w:rsidR="009377D5" w:rsidRPr="008E73D9">
        <w:t>The self-insurance status of each manufacturer was provided by the Office of Self-insurance Plans of the CA Division of Workers’ Compensation.</w:t>
      </w:r>
      <w:r w:rsidR="009377D5" w:rsidRPr="008E73D9">
        <w:rPr>
          <w:rStyle w:val="FootnoteReference"/>
        </w:rPr>
        <w:footnoteReference w:id="5"/>
      </w:r>
      <w:r w:rsidR="009377D5" w:rsidRPr="008E73D9">
        <w:t xml:space="preserve"> </w:t>
      </w:r>
      <w:r w:rsidR="00B55E74" w:rsidRPr="008E73D9">
        <w:t>This process results in 70 publicly-traded manufactures with 2,</w:t>
      </w:r>
      <w:r w:rsidR="00F51AD1" w:rsidRPr="008E73D9">
        <w:t>030</w:t>
      </w:r>
      <w:r w:rsidR="00B55E74" w:rsidRPr="008E73D9">
        <w:t xml:space="preserve"> firm-year observations </w:t>
      </w:r>
      <w:r w:rsidR="00E72B02" w:rsidRPr="008E73D9">
        <w:t>over the years from 1970 to 201</w:t>
      </w:r>
      <w:r w:rsidR="00C4464C" w:rsidRPr="008E73D9">
        <w:t>5</w:t>
      </w:r>
      <w:r w:rsidR="00E72B02" w:rsidRPr="008E73D9">
        <w:t xml:space="preserve">. We then test the hypothesis of shareholder value maximization by examining </w:t>
      </w:r>
      <w:r w:rsidRPr="008E73D9">
        <w:t xml:space="preserve">whether the use of self-insurance is associated with higher firm values. </w:t>
      </w:r>
    </w:p>
    <w:p w14:paraId="5EC48320" w14:textId="77777777" w:rsidR="00B55E74" w:rsidRPr="008E73D9" w:rsidRDefault="00B55E74" w:rsidP="00B55E74">
      <w:pPr>
        <w:ind w:firstLine="720"/>
        <w:jc w:val="both"/>
      </w:pPr>
    </w:p>
    <w:p w14:paraId="5D370B2F" w14:textId="77777777" w:rsidR="00F76708" w:rsidRPr="008E73D9" w:rsidRDefault="00F76708" w:rsidP="00F76708">
      <w:pPr>
        <w:ind w:firstLine="720"/>
        <w:jc w:val="both"/>
      </w:pPr>
      <w:r w:rsidRPr="008E73D9">
        <w:rPr>
          <w:rFonts w:eastAsia="BatangChe"/>
          <w:bCs/>
        </w:rPr>
        <w:t xml:space="preserve">Following </w:t>
      </w:r>
      <w:r w:rsidRPr="008E73D9">
        <w:rPr>
          <w:rFonts w:eastAsia="BatangChe"/>
          <w:bCs/>
          <w:color w:val="C00000"/>
        </w:rPr>
        <w:t>Hoyt and Liebenberg (2011)</w:t>
      </w:r>
      <w:r w:rsidRPr="008E73D9">
        <w:rPr>
          <w:rFonts w:eastAsia="BatangChe"/>
          <w:bCs/>
        </w:rPr>
        <w:t>, we use a t</w:t>
      </w:r>
      <w:r w:rsidRPr="008E73D9">
        <w:t>reatment effects model to assess the value implications of self-insurance programs. Tobin’s Q is used as the dependent variable, while self-insurance is emplo</w:t>
      </w:r>
      <w:r w:rsidR="00CA5CB9" w:rsidRPr="008E73D9">
        <w:t xml:space="preserve">yed as the variable of interest </w:t>
      </w:r>
      <w:r w:rsidRPr="008E73D9">
        <w:t xml:space="preserve">in the model along with several control variables. In other words, this model estimates the impact of self-insurance on firm value, conditional on other determinants of Q.  </w:t>
      </w:r>
      <w:r w:rsidRPr="008E73D9">
        <w:rPr>
          <w:rFonts w:eastAsia="BatangChe"/>
          <w:bCs/>
        </w:rPr>
        <w:t>The regression model is specified as follows:</w:t>
      </w:r>
    </w:p>
    <w:p w14:paraId="23B4ED48" w14:textId="77777777" w:rsidR="00F76708" w:rsidRPr="008E73D9" w:rsidRDefault="00F76708" w:rsidP="00F76708">
      <w:pPr>
        <w:ind w:firstLine="720"/>
        <w:jc w:val="both"/>
      </w:pPr>
    </w:p>
    <w:p w14:paraId="6EFFA983" w14:textId="77777777" w:rsidR="00F76708" w:rsidRPr="008E73D9" w:rsidRDefault="00F76708" w:rsidP="00F76708">
      <w:pPr>
        <w:ind w:firstLine="720"/>
        <w:jc w:val="both"/>
        <w:rPr>
          <w:rFonts w:eastAsia="BatangChe"/>
          <w:bCs/>
        </w:rPr>
      </w:pPr>
      <w:r w:rsidRPr="008E73D9">
        <w:rPr>
          <w:rFonts w:eastAsia="BatangChe"/>
          <w:bCs/>
          <w:i/>
        </w:rPr>
        <w:t>Q = α + β Self-insur</w:t>
      </w:r>
      <w:r w:rsidR="00004172" w:rsidRPr="008E73D9">
        <w:rPr>
          <w:rFonts w:eastAsia="BatangChe"/>
          <w:bCs/>
          <w:i/>
        </w:rPr>
        <w:t>a</w:t>
      </w:r>
      <w:r w:rsidRPr="008E73D9">
        <w:rPr>
          <w:rFonts w:eastAsia="BatangChe"/>
          <w:bCs/>
          <w:i/>
        </w:rPr>
        <w:t>nce</w:t>
      </w:r>
      <w:r w:rsidRPr="008E73D9">
        <w:rPr>
          <w:rFonts w:eastAsia="BatangChe"/>
          <w:bCs/>
          <w:i/>
          <w:vertAlign w:val="subscript"/>
        </w:rPr>
        <w:t>i</w:t>
      </w:r>
      <w:r w:rsidRPr="008E73D9">
        <w:rPr>
          <w:rFonts w:eastAsia="BatangChe"/>
          <w:bCs/>
          <w:i/>
        </w:rPr>
        <w:t xml:space="preserve"> + λ</w:t>
      </w:r>
      <w:r w:rsidRPr="008E73D9">
        <w:rPr>
          <w:rFonts w:eastAsia="BatangChe"/>
          <w:bCs/>
          <w:i/>
          <w:vertAlign w:val="subscript"/>
        </w:rPr>
        <w:t>i</w:t>
      </w:r>
      <w:r w:rsidRPr="008E73D9">
        <w:rPr>
          <w:rFonts w:eastAsia="BatangChe"/>
          <w:bCs/>
          <w:i/>
        </w:rPr>
        <w:t xml:space="preserve"> Ω</w:t>
      </w:r>
      <w:r w:rsidRPr="008E73D9">
        <w:rPr>
          <w:rFonts w:eastAsia="BatangChe"/>
          <w:bCs/>
          <w:i/>
          <w:vertAlign w:val="subscript"/>
        </w:rPr>
        <w:t>i</w:t>
      </w:r>
      <w:r w:rsidRPr="008E73D9">
        <w:rPr>
          <w:rFonts w:eastAsia="BatangChe"/>
          <w:bCs/>
          <w:i/>
        </w:rPr>
        <w:t xml:space="preserve"> + ɛ</w:t>
      </w:r>
      <w:r w:rsidRPr="008E73D9">
        <w:rPr>
          <w:rFonts w:eastAsia="BatangChe"/>
          <w:bCs/>
          <w:i/>
        </w:rPr>
        <w:tab/>
      </w:r>
      <w:r w:rsidRPr="008E73D9">
        <w:rPr>
          <w:rFonts w:eastAsia="BatangChe"/>
          <w:bCs/>
          <w:i/>
        </w:rPr>
        <w:tab/>
      </w:r>
      <w:r w:rsidRPr="008E73D9">
        <w:rPr>
          <w:rFonts w:eastAsia="BatangChe"/>
          <w:bCs/>
        </w:rPr>
        <w:tab/>
        <w:t xml:space="preserve">      </w:t>
      </w:r>
      <w:r w:rsidRPr="008E73D9">
        <w:rPr>
          <w:rFonts w:eastAsia="BatangChe"/>
          <w:bCs/>
        </w:rPr>
        <w:tab/>
      </w:r>
      <w:r w:rsidRPr="008E73D9">
        <w:rPr>
          <w:rFonts w:eastAsia="BatangChe"/>
          <w:bCs/>
        </w:rPr>
        <w:tab/>
      </w:r>
      <w:r w:rsidRPr="008E73D9">
        <w:rPr>
          <w:rFonts w:eastAsia="BatangChe"/>
          <w:bCs/>
        </w:rPr>
        <w:tab/>
        <w:t xml:space="preserve">       (1)</w:t>
      </w:r>
    </w:p>
    <w:p w14:paraId="6116F5EE" w14:textId="77777777" w:rsidR="00F76708" w:rsidRPr="008E73D9" w:rsidRDefault="00F76708" w:rsidP="00F76708">
      <w:pPr>
        <w:ind w:firstLine="720"/>
        <w:jc w:val="both"/>
        <w:rPr>
          <w:rFonts w:eastAsia="BatangChe"/>
          <w:bCs/>
        </w:rPr>
      </w:pPr>
    </w:p>
    <w:p w14:paraId="48E5A8AA" w14:textId="74A926DF" w:rsidR="00F76708" w:rsidRPr="008E73D9" w:rsidRDefault="00F76708" w:rsidP="006A511D">
      <w:pPr>
        <w:jc w:val="both"/>
      </w:pPr>
      <w:r w:rsidRPr="008E73D9">
        <w:rPr>
          <w:rFonts w:eastAsia="BatangChe"/>
          <w:bCs/>
        </w:rPr>
        <w:t xml:space="preserve">where </w:t>
      </w:r>
      <w:r w:rsidRPr="008E73D9">
        <w:rPr>
          <w:rFonts w:eastAsia="BatangChe"/>
          <w:bCs/>
          <w:i/>
        </w:rPr>
        <w:t>Self-insurance</w:t>
      </w:r>
      <w:r w:rsidRPr="008E73D9">
        <w:rPr>
          <w:rFonts w:eastAsia="BatangChe"/>
          <w:bCs/>
          <w:i/>
          <w:vertAlign w:val="subscript"/>
        </w:rPr>
        <w:t>i</w:t>
      </w:r>
      <w:r w:rsidRPr="008E73D9">
        <w:rPr>
          <w:rFonts w:eastAsia="BatangChe"/>
          <w:bCs/>
          <w:i/>
        </w:rPr>
        <w:t xml:space="preserve"> </w:t>
      </w:r>
      <w:r w:rsidRPr="008E73D9">
        <w:rPr>
          <w:rFonts w:eastAsia="BatangChe"/>
          <w:bCs/>
        </w:rPr>
        <w:t xml:space="preserve">represents whether the self-insurance treatment is assigned to the </w:t>
      </w:r>
      <w:r w:rsidRPr="008E73D9">
        <w:rPr>
          <w:rFonts w:eastAsia="BatangChe"/>
          <w:bCs/>
          <w:i/>
        </w:rPr>
        <w:t>i</w:t>
      </w:r>
      <w:r w:rsidRPr="008E73D9">
        <w:rPr>
          <w:rFonts w:eastAsia="BatangChe"/>
          <w:bCs/>
        </w:rPr>
        <w:t xml:space="preserve">th firm </w:t>
      </w:r>
      <w:r w:rsidR="00D60A39" w:rsidRPr="008E73D9">
        <w:rPr>
          <w:rFonts w:eastAsia="BatangChe"/>
          <w:bCs/>
        </w:rPr>
        <w:t xml:space="preserve">in year </w:t>
      </w:r>
      <w:r w:rsidR="00D60A39" w:rsidRPr="008E73D9">
        <w:rPr>
          <w:rFonts w:eastAsia="BatangChe"/>
          <w:bCs/>
          <w:i/>
        </w:rPr>
        <w:t>t</w:t>
      </w:r>
      <w:r w:rsidR="00D60A39" w:rsidRPr="008E73D9">
        <w:rPr>
          <w:rFonts w:eastAsia="BatangChe"/>
          <w:bCs/>
        </w:rPr>
        <w:t xml:space="preserve"> </w:t>
      </w:r>
      <w:r w:rsidRPr="008E73D9">
        <w:rPr>
          <w:rFonts w:eastAsia="BatangChe"/>
          <w:bCs/>
        </w:rPr>
        <w:t xml:space="preserve">and  </w:t>
      </w:r>
      <w:r w:rsidR="00D60A39" w:rsidRPr="008E73D9">
        <w:rPr>
          <w:rFonts w:eastAsia="BatangChe"/>
          <w:bCs/>
        </w:rPr>
        <w:t xml:space="preserve">the observed status of self-insurance in a particular year has a value of one if the firm self-insured, and zero otherwise. </w:t>
      </w:r>
      <w:r w:rsidR="006A511D" w:rsidRPr="008E73D9">
        <w:t xml:space="preserve">That is, </w:t>
      </w:r>
      <w:r w:rsidR="006A511D" w:rsidRPr="008E73D9">
        <w:rPr>
          <w:i/>
        </w:rPr>
        <w:t>Self-insurance</w:t>
      </w:r>
      <w:r w:rsidR="006A511D" w:rsidRPr="008E73D9">
        <w:t xml:space="preserve"> equals 1 for firm-years beginning with and subsequent to the first year that firms became self-insured, and 0 for firm-years prior to the use of self-insurance. So a firm that self-insures in 1990 is assigned </w:t>
      </w:r>
      <w:r w:rsidR="006A511D" w:rsidRPr="008E73D9">
        <w:rPr>
          <w:i/>
        </w:rPr>
        <w:t>Self-insurance</w:t>
      </w:r>
      <w:r w:rsidR="006A511D" w:rsidRPr="008E73D9">
        <w:t xml:space="preserve"> = 1 for firm-years 1990–2015 and </w:t>
      </w:r>
      <w:r w:rsidR="006A511D" w:rsidRPr="008E73D9">
        <w:rPr>
          <w:i/>
        </w:rPr>
        <w:t>Self-insurance</w:t>
      </w:r>
      <w:r w:rsidR="006A511D" w:rsidRPr="008E73D9">
        <w:t xml:space="preserve"> = 0 for firm-years 1970–1989. </w:t>
      </w:r>
      <w:r w:rsidRPr="008E73D9">
        <w:rPr>
          <w:rFonts w:eastAsia="BatangChe"/>
          <w:bCs/>
          <w:i/>
        </w:rPr>
        <w:t>Ω</w:t>
      </w:r>
      <w:r w:rsidRPr="008E73D9">
        <w:rPr>
          <w:rFonts w:eastAsia="BatangChe"/>
          <w:bCs/>
          <w:i/>
          <w:vertAlign w:val="subscript"/>
        </w:rPr>
        <w:t>i</w:t>
      </w:r>
      <w:r w:rsidRPr="008E73D9">
        <w:rPr>
          <w:rFonts w:eastAsia="BatangChe"/>
          <w:bCs/>
        </w:rPr>
        <w:t xml:space="preserve"> is a vector of control variables that are hypothesized to explain differences in firm value. </w:t>
      </w:r>
      <w:r w:rsidR="00D60A39" w:rsidRPr="008E73D9">
        <w:rPr>
          <w:rFonts w:eastAsia="BatangChe"/>
          <w:bCs/>
        </w:rPr>
        <w:t>In particular, t</w:t>
      </w:r>
      <w:r w:rsidRPr="008E73D9">
        <w:rPr>
          <w:rFonts w:eastAsia="BatangChe"/>
          <w:bCs/>
        </w:rPr>
        <w:t xml:space="preserve">he binary </w:t>
      </w:r>
      <w:r w:rsidRPr="008E73D9">
        <w:rPr>
          <w:rFonts w:eastAsia="BatangChe"/>
          <w:bCs/>
        </w:rPr>
        <w:lastRenderedPageBreak/>
        <w:t xml:space="preserve">decision to self-insure is modeled as the outcome of an unobservable latent variable </w:t>
      </w:r>
      <m:oMath>
        <m:sSubSup>
          <m:sSubSupPr>
            <m:ctrlPr>
              <w:rPr>
                <w:rFonts w:ascii="Cambria Math" w:eastAsia="BatangChe" w:hAnsi="Cambria Math"/>
                <w:bCs/>
                <w:i/>
                <w:sz w:val="20"/>
              </w:rPr>
            </m:ctrlPr>
          </m:sSubSupPr>
          <m:e>
            <m:r>
              <m:rPr>
                <m:nor/>
              </m:rPr>
              <w:rPr>
                <w:rFonts w:ascii="Cambria Math" w:eastAsia="BatangChe" w:hAnsi="Cambria Math"/>
                <w:i/>
                <w:sz w:val="20"/>
              </w:rPr>
              <m:t>Self-insurance</m:t>
            </m:r>
          </m:e>
          <m:sub>
            <m:r>
              <w:rPr>
                <w:rFonts w:ascii="Cambria Math" w:eastAsia="BatangChe" w:hAnsi="Cambria Math"/>
                <w:sz w:val="20"/>
              </w:rPr>
              <m:t>i</m:t>
            </m:r>
          </m:sub>
          <m:sup>
            <m:r>
              <w:rPr>
                <w:rFonts w:ascii="Cambria Math" w:eastAsia="BatangChe" w:hAnsi="Cambria Math"/>
                <w:sz w:val="20"/>
              </w:rPr>
              <m:t>*</m:t>
            </m:r>
          </m:sup>
        </m:sSubSup>
      </m:oMath>
      <w:r w:rsidRPr="008E73D9">
        <w:rPr>
          <w:rFonts w:eastAsia="BatangChe"/>
          <w:bCs/>
        </w:rPr>
        <w:t xml:space="preserve">. We assume that </w:t>
      </w:r>
      <m:oMath>
        <m:sSubSup>
          <m:sSubSupPr>
            <m:ctrlPr>
              <w:rPr>
                <w:rFonts w:ascii="Cambria Math" w:eastAsia="BatangChe" w:hAnsi="Cambria Math"/>
                <w:bCs/>
                <w:i/>
                <w:sz w:val="20"/>
              </w:rPr>
            </m:ctrlPr>
          </m:sSubSupPr>
          <m:e>
            <m:r>
              <m:rPr>
                <m:nor/>
              </m:rPr>
              <w:rPr>
                <w:rFonts w:ascii="Cambria Math" w:eastAsia="BatangChe" w:hAnsi="Cambria Math"/>
                <w:i/>
                <w:sz w:val="20"/>
              </w:rPr>
              <m:t>Self-insurance</m:t>
            </m:r>
          </m:e>
          <m:sub>
            <m:r>
              <w:rPr>
                <w:rFonts w:ascii="Cambria Math" w:eastAsia="BatangChe" w:hAnsi="Cambria Math"/>
                <w:sz w:val="20"/>
              </w:rPr>
              <m:t>i</m:t>
            </m:r>
          </m:sub>
          <m:sup>
            <m:r>
              <w:rPr>
                <w:rFonts w:ascii="Cambria Math" w:eastAsia="BatangChe" w:hAnsi="Cambria Math"/>
                <w:sz w:val="20"/>
              </w:rPr>
              <m:t>*</m:t>
            </m:r>
          </m:sup>
        </m:sSubSup>
      </m:oMath>
      <w:r w:rsidRPr="008E73D9">
        <w:rPr>
          <w:rFonts w:eastAsia="BatangChe"/>
          <w:bCs/>
        </w:rPr>
        <w:t xml:space="preserve"> is a linear function of the coefficient vector </w:t>
      </w:r>
      <m:oMath>
        <m:sSub>
          <m:sSubPr>
            <m:ctrlPr>
              <w:rPr>
                <w:rFonts w:ascii="Cambria Math" w:eastAsia="BatangChe" w:hAnsi="Cambria Math"/>
                <w:bCs/>
                <w:i/>
              </w:rPr>
            </m:ctrlPr>
          </m:sSubPr>
          <m:e>
            <m:r>
              <w:rPr>
                <w:rFonts w:ascii="Cambria Math" w:eastAsia="BatangChe" w:hAnsi="Cambria Math"/>
              </w:rPr>
              <m:t>ω</m:t>
            </m:r>
          </m:e>
          <m:sub>
            <m:r>
              <w:rPr>
                <w:rFonts w:ascii="Cambria Math" w:eastAsia="BatangChe" w:hAnsi="Cambria Math"/>
              </w:rPr>
              <m:t>i</m:t>
            </m:r>
          </m:sub>
        </m:sSub>
      </m:oMath>
      <w:r w:rsidRPr="008E73D9">
        <w:rPr>
          <w:rFonts w:eastAsia="BatangChe"/>
          <w:bCs/>
        </w:rPr>
        <w:t xml:space="preserve"> that contain</w:t>
      </w:r>
      <w:r w:rsidR="00807679" w:rsidRPr="008E73D9">
        <w:rPr>
          <w:rFonts w:eastAsia="BatangChe"/>
          <w:bCs/>
        </w:rPr>
        <w:t>s hypothesized determinants of s</w:t>
      </w:r>
      <w:r w:rsidRPr="008E73D9">
        <w:rPr>
          <w:rFonts w:eastAsia="BatangChe"/>
          <w:bCs/>
        </w:rPr>
        <w:t xml:space="preserve">elf-insurance </w:t>
      </w:r>
      <w:r w:rsidR="00807679" w:rsidRPr="008E73D9">
        <w:rPr>
          <w:rFonts w:eastAsia="BatangChe"/>
          <w:bCs/>
        </w:rPr>
        <w:t>choice</w:t>
      </w:r>
      <w:r w:rsidRPr="008E73D9">
        <w:rPr>
          <w:rFonts w:eastAsia="BatangChe"/>
          <w:bCs/>
        </w:rPr>
        <w:t xml:space="preserve">. </w:t>
      </w:r>
    </w:p>
    <w:p w14:paraId="2D846F9B" w14:textId="77777777" w:rsidR="00F76708" w:rsidRPr="008E73D9" w:rsidRDefault="00F76708" w:rsidP="00F76708">
      <w:pPr>
        <w:jc w:val="both"/>
        <w:rPr>
          <w:rFonts w:eastAsia="BatangChe"/>
          <w:bCs/>
        </w:rPr>
      </w:pPr>
    </w:p>
    <w:p w14:paraId="4CBA4BB9" w14:textId="77777777" w:rsidR="00F76708" w:rsidRPr="008E73D9" w:rsidRDefault="00167971" w:rsidP="00F76708">
      <w:pPr>
        <w:ind w:left="720"/>
        <w:jc w:val="both"/>
        <w:rPr>
          <w:rFonts w:eastAsia="BatangChe"/>
          <w:bCs/>
        </w:rPr>
      </w:pPr>
      <m:oMath>
        <m:sSubSup>
          <m:sSubSupPr>
            <m:ctrlPr>
              <w:rPr>
                <w:rFonts w:ascii="Cambria Math" w:eastAsia="BatangChe" w:hAnsi="Cambria Math"/>
                <w:bCs/>
                <w:i/>
              </w:rPr>
            </m:ctrlPr>
          </m:sSubSupPr>
          <m:e>
            <m:r>
              <m:rPr>
                <m:nor/>
              </m:rPr>
              <w:rPr>
                <w:rFonts w:ascii="Cambria Math" w:eastAsia="BatangChe" w:hAnsi="Cambria Math"/>
                <w:i/>
              </w:rPr>
              <m:t>Self-insurance</m:t>
            </m:r>
          </m:e>
          <m:sub>
            <m:r>
              <w:rPr>
                <w:rFonts w:ascii="Cambria Math" w:eastAsia="BatangChe" w:hAnsi="Cambria Math"/>
              </w:rPr>
              <m:t>i</m:t>
            </m:r>
          </m:sub>
          <m:sup>
            <m:r>
              <w:rPr>
                <w:rFonts w:ascii="Cambria Math" w:eastAsia="BatangChe" w:hAnsi="Cambria Math"/>
              </w:rPr>
              <m:t>*</m:t>
            </m:r>
          </m:sup>
        </m:sSubSup>
        <m:r>
          <w:rPr>
            <w:rFonts w:ascii="Cambria Math" w:eastAsia="BatangChe" w:hAnsi="Cambria Math"/>
          </w:rPr>
          <m:t>= δ</m:t>
        </m:r>
        <m:sSub>
          <m:sSubPr>
            <m:ctrlPr>
              <w:rPr>
                <w:rFonts w:ascii="Cambria Math" w:eastAsia="BatangChe" w:hAnsi="Cambria Math"/>
                <w:bCs/>
                <w:i/>
              </w:rPr>
            </m:ctrlPr>
          </m:sSubPr>
          <m:e>
            <m:r>
              <w:rPr>
                <w:rFonts w:ascii="Cambria Math" w:eastAsia="BatangChe" w:hAnsi="Cambria Math"/>
              </w:rPr>
              <m:t>ω</m:t>
            </m:r>
          </m:e>
          <m:sub>
            <m:r>
              <w:rPr>
                <w:rFonts w:ascii="Cambria Math" w:eastAsia="BatangChe" w:hAnsi="Cambria Math"/>
              </w:rPr>
              <m:t>i</m:t>
            </m:r>
          </m:sub>
        </m:sSub>
        <m:r>
          <w:rPr>
            <w:rFonts w:ascii="Cambria Math" w:eastAsia="BatangChe" w:hAnsi="Cambria Math"/>
          </w:rPr>
          <m:t>+µ</m:t>
        </m:r>
      </m:oMath>
      <w:r w:rsidR="00F76708" w:rsidRPr="008E73D9">
        <w:rPr>
          <w:rFonts w:eastAsia="BatangChe"/>
        </w:rPr>
        <w:tab/>
      </w:r>
      <w:r w:rsidR="00F76708" w:rsidRPr="008E73D9">
        <w:rPr>
          <w:rFonts w:eastAsia="BatangChe"/>
        </w:rPr>
        <w:tab/>
      </w:r>
      <w:r w:rsidR="00F76708" w:rsidRPr="008E73D9">
        <w:rPr>
          <w:rFonts w:eastAsia="BatangChe"/>
        </w:rPr>
        <w:tab/>
      </w:r>
      <w:r w:rsidR="00F76708" w:rsidRPr="008E73D9">
        <w:rPr>
          <w:rFonts w:eastAsia="BatangChe"/>
        </w:rPr>
        <w:tab/>
      </w:r>
      <w:r w:rsidR="00F76708" w:rsidRPr="008E73D9">
        <w:rPr>
          <w:rFonts w:eastAsia="BatangChe"/>
        </w:rPr>
        <w:tab/>
      </w:r>
      <w:r w:rsidR="00F76708" w:rsidRPr="008E73D9">
        <w:rPr>
          <w:rFonts w:eastAsia="BatangChe"/>
        </w:rPr>
        <w:tab/>
      </w:r>
      <w:r w:rsidR="00F76708" w:rsidRPr="008E73D9">
        <w:rPr>
          <w:rFonts w:eastAsia="BatangChe"/>
        </w:rPr>
        <w:tab/>
      </w:r>
      <w:r w:rsidR="00F76708" w:rsidRPr="008E73D9">
        <w:rPr>
          <w:rFonts w:eastAsia="BatangChe"/>
        </w:rPr>
        <w:tab/>
        <w:t xml:space="preserve">      (2) </w:t>
      </w:r>
    </w:p>
    <w:p w14:paraId="21F7DDD0" w14:textId="77777777" w:rsidR="00F76708" w:rsidRPr="008E73D9" w:rsidRDefault="00F76708" w:rsidP="00F76708">
      <w:pPr>
        <w:ind w:firstLine="720"/>
        <w:jc w:val="both"/>
        <w:rPr>
          <w:rFonts w:eastAsia="BatangChe"/>
          <w:bCs/>
        </w:rPr>
      </w:pPr>
    </w:p>
    <w:p w14:paraId="3D0533BA" w14:textId="77777777" w:rsidR="00F76708" w:rsidRPr="008E73D9" w:rsidRDefault="00F76708" w:rsidP="00F76708">
      <w:pPr>
        <w:ind w:firstLine="720"/>
        <w:jc w:val="both"/>
        <w:rPr>
          <w:rFonts w:eastAsia="BatangChe"/>
          <w:bCs/>
        </w:rPr>
      </w:pPr>
      <w:r w:rsidRPr="008E73D9">
        <w:rPr>
          <w:rFonts w:eastAsia="BatangChe"/>
          <w:bCs/>
        </w:rPr>
        <w:t>We estimate Equations (1) and (2) simultaneously using maximum-likelihood estimation</w:t>
      </w:r>
      <w:r w:rsidR="00F9052C" w:rsidRPr="008E73D9">
        <w:rPr>
          <w:rFonts w:eastAsia="BatangChe"/>
          <w:bCs/>
        </w:rPr>
        <w:t xml:space="preserve"> to control for potential selectivity bias that arises due to the likely endogeneity of self-insurance decision.</w:t>
      </w:r>
      <w:r w:rsidRPr="008E73D9">
        <w:rPr>
          <w:rFonts w:eastAsia="BatangChe"/>
          <w:bCs/>
        </w:rPr>
        <w:t xml:space="preserve"> </w:t>
      </w:r>
      <w:r w:rsidR="00F9052C" w:rsidRPr="008E73D9">
        <w:rPr>
          <w:rFonts w:eastAsia="BatangChe"/>
          <w:bCs/>
        </w:rPr>
        <w:t xml:space="preserve">As in </w:t>
      </w:r>
      <w:r w:rsidR="00F9052C" w:rsidRPr="008E73D9">
        <w:rPr>
          <w:rFonts w:eastAsia="BatangChe"/>
          <w:bCs/>
          <w:color w:val="C00000"/>
        </w:rPr>
        <w:t>Hoyt and Liebenberg (2011)</w:t>
      </w:r>
      <w:r w:rsidR="00F9052C" w:rsidRPr="008E73D9">
        <w:rPr>
          <w:rFonts w:eastAsia="BatangChe"/>
          <w:bCs/>
        </w:rPr>
        <w:t xml:space="preserve">, we jointly estimate the decision to self-insure and the effect of that decision on Q in a two-equation model. </w:t>
      </w:r>
      <w:r w:rsidRPr="008E73D9">
        <w:rPr>
          <w:rFonts w:eastAsia="BatangChe"/>
          <w:bCs/>
        </w:rPr>
        <w:t xml:space="preserve">The determinants of Tobin’s Q (denoted by the vector </w:t>
      </w:r>
      <w:r w:rsidRPr="008E73D9">
        <w:rPr>
          <w:rFonts w:eastAsia="BatangChe"/>
          <w:bCs/>
          <w:i/>
        </w:rPr>
        <w:t>Ω</w:t>
      </w:r>
      <w:r w:rsidRPr="008E73D9">
        <w:rPr>
          <w:rFonts w:eastAsia="BatangChe"/>
          <w:bCs/>
          <w:i/>
          <w:vertAlign w:val="subscript"/>
        </w:rPr>
        <w:t>i</w:t>
      </w:r>
      <w:r w:rsidRPr="008E73D9">
        <w:rPr>
          <w:rFonts w:eastAsia="BatangChe"/>
          <w:bCs/>
        </w:rPr>
        <w:t xml:space="preserve">) and the determinants of self-insurance (denoted by the </w:t>
      </w:r>
      <w:r w:rsidR="00004172" w:rsidRPr="008E73D9">
        <w:rPr>
          <w:rFonts w:eastAsia="BatangChe"/>
          <w:bCs/>
        </w:rPr>
        <w:t xml:space="preserve">vector </w:t>
      </w:r>
      <m:oMath>
        <m:sSub>
          <m:sSubPr>
            <m:ctrlPr>
              <w:rPr>
                <w:rFonts w:ascii="Cambria Math" w:eastAsia="BatangChe" w:hAnsi="Cambria Math"/>
                <w:bCs/>
                <w:i/>
              </w:rPr>
            </m:ctrlPr>
          </m:sSubPr>
          <m:e>
            <m:r>
              <w:rPr>
                <w:rFonts w:ascii="Cambria Math" w:eastAsia="BatangChe" w:hAnsi="Cambria Math"/>
              </w:rPr>
              <m:t>ω</m:t>
            </m:r>
          </m:e>
          <m:sub>
            <m:r>
              <w:rPr>
                <w:rFonts w:ascii="Cambria Math" w:eastAsia="BatangChe" w:hAnsi="Cambria Math"/>
              </w:rPr>
              <m:t>i</m:t>
            </m:r>
          </m:sub>
        </m:sSub>
      </m:oMath>
      <w:r w:rsidRPr="008E73D9">
        <w:rPr>
          <w:rFonts w:eastAsia="BatangChe"/>
          <w:bCs/>
        </w:rPr>
        <w:t xml:space="preserve">) are listed in the functions below and discussed thereafter. </w:t>
      </w:r>
    </w:p>
    <w:p w14:paraId="0B9E4522" w14:textId="77777777" w:rsidR="00F76708" w:rsidRPr="008E73D9" w:rsidRDefault="00F76708" w:rsidP="00F76708">
      <w:pPr>
        <w:ind w:firstLine="720"/>
        <w:jc w:val="both"/>
        <w:rPr>
          <w:rFonts w:eastAsia="BatangChe"/>
          <w:bCs/>
        </w:rPr>
      </w:pPr>
    </w:p>
    <w:p w14:paraId="51CEE5AB" w14:textId="77777777" w:rsidR="00F76708" w:rsidRPr="008E73D9" w:rsidRDefault="00F76708" w:rsidP="00F76708">
      <w:pPr>
        <w:ind w:left="720"/>
        <w:jc w:val="both"/>
        <w:rPr>
          <w:rFonts w:eastAsia="BatangChe"/>
          <w:bCs/>
        </w:rPr>
      </w:pPr>
      <w:r w:rsidRPr="008E73D9">
        <w:rPr>
          <w:rFonts w:eastAsia="BatangChe"/>
          <w:bCs/>
          <w:i/>
        </w:rPr>
        <w:t xml:space="preserve">Q = </w:t>
      </w:r>
      <w:r w:rsidR="00004172" w:rsidRPr="008E73D9">
        <w:rPr>
          <w:rFonts w:eastAsia="BatangChe"/>
          <w:bCs/>
          <w:i/>
        </w:rPr>
        <w:t>f (</w:t>
      </w:r>
      <w:r w:rsidRPr="008E73D9">
        <w:rPr>
          <w:rFonts w:eastAsia="BatangChe"/>
          <w:bCs/>
          <w:i/>
        </w:rPr>
        <w:t>Self-insurance │Size, Profitability, Investment growth, Leverage, Dividend</w:t>
      </w:r>
      <w:r w:rsidR="00123B76" w:rsidRPr="008E73D9">
        <w:rPr>
          <w:rFonts w:eastAsia="BatangChe"/>
          <w:bCs/>
          <w:i/>
        </w:rPr>
        <w:t>, Complexity</w:t>
      </w:r>
      <w:r w:rsidRPr="008E73D9">
        <w:rPr>
          <w:rFonts w:eastAsia="BatangChe"/>
          <w:bCs/>
          <w:i/>
        </w:rPr>
        <w:t>)</w:t>
      </w:r>
      <w:r w:rsidRPr="008E73D9">
        <w:rPr>
          <w:rFonts w:eastAsia="BatangChe"/>
          <w:bCs/>
        </w:rPr>
        <w:t xml:space="preserve">      </w:t>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r>
      <w:r w:rsidR="00123B76" w:rsidRPr="008E73D9">
        <w:rPr>
          <w:rFonts w:eastAsia="BatangChe"/>
          <w:bCs/>
        </w:rPr>
        <w:tab/>
        <w:t xml:space="preserve">     </w:t>
      </w:r>
      <w:r w:rsidRPr="008E73D9">
        <w:rPr>
          <w:rFonts w:eastAsia="BatangChe"/>
          <w:bCs/>
        </w:rPr>
        <w:t>(3)</w:t>
      </w:r>
    </w:p>
    <w:p w14:paraId="094DB36E" w14:textId="77777777" w:rsidR="00F76708" w:rsidRPr="008E73D9" w:rsidRDefault="00F76708" w:rsidP="00F76708">
      <w:pPr>
        <w:ind w:left="720"/>
        <w:jc w:val="both"/>
        <w:rPr>
          <w:rFonts w:eastAsia="BatangChe"/>
          <w:bCs/>
        </w:rPr>
      </w:pPr>
    </w:p>
    <w:p w14:paraId="04E9426E" w14:textId="77777777" w:rsidR="00F76708" w:rsidRPr="008E73D9" w:rsidRDefault="00F76708" w:rsidP="00F76708">
      <w:pPr>
        <w:ind w:left="720"/>
        <w:jc w:val="both"/>
        <w:rPr>
          <w:rFonts w:eastAsia="BatangChe"/>
          <w:bCs/>
        </w:rPr>
      </w:pPr>
      <w:r w:rsidRPr="008E73D9">
        <w:rPr>
          <w:rFonts w:eastAsia="BatangChe"/>
          <w:bCs/>
          <w:i/>
        </w:rPr>
        <w:t xml:space="preserve">Self-insurance = </w:t>
      </w:r>
      <w:r w:rsidR="00004172" w:rsidRPr="008E73D9">
        <w:rPr>
          <w:rFonts w:eastAsia="BatangChe"/>
          <w:bCs/>
          <w:i/>
        </w:rPr>
        <w:t>f (Size, H</w:t>
      </w:r>
      <w:r w:rsidRPr="008E73D9">
        <w:rPr>
          <w:rFonts w:eastAsia="BatangChe"/>
          <w:bCs/>
          <w:i/>
        </w:rPr>
        <w:t>eadquarter</w:t>
      </w:r>
      <w:r w:rsidR="00004172" w:rsidRPr="008E73D9">
        <w:rPr>
          <w:rFonts w:eastAsia="BatangChe"/>
          <w:bCs/>
          <w:i/>
        </w:rPr>
        <w:t xml:space="preserve"> dummy, Subsector dummy</w:t>
      </w:r>
      <w:r w:rsidRPr="008E73D9">
        <w:rPr>
          <w:rFonts w:eastAsia="BatangChe"/>
          <w:bCs/>
          <w:i/>
        </w:rPr>
        <w:t>, Opacity, Slack)</w:t>
      </w:r>
      <w:r w:rsidR="00E35BBC" w:rsidRPr="008E73D9">
        <w:rPr>
          <w:rFonts w:eastAsia="BatangChe"/>
          <w:bCs/>
        </w:rPr>
        <w:tab/>
        <w:t xml:space="preserve">     </w:t>
      </w:r>
      <w:r w:rsidRPr="008E73D9">
        <w:rPr>
          <w:rFonts w:eastAsia="BatangChe"/>
          <w:bCs/>
        </w:rPr>
        <w:t>(4)</w:t>
      </w:r>
    </w:p>
    <w:p w14:paraId="03A623AC" w14:textId="77777777" w:rsidR="00F76708" w:rsidRPr="008E73D9" w:rsidRDefault="00F76708" w:rsidP="00F76708">
      <w:pPr>
        <w:ind w:firstLine="720"/>
        <w:jc w:val="both"/>
        <w:rPr>
          <w:rFonts w:eastAsia="BatangChe"/>
          <w:bCs/>
        </w:rPr>
      </w:pPr>
    </w:p>
    <w:p w14:paraId="17B32952" w14:textId="77777777" w:rsidR="00F76708" w:rsidRPr="008E73D9" w:rsidRDefault="00F76708" w:rsidP="00F76708">
      <w:pPr>
        <w:ind w:firstLine="720"/>
        <w:jc w:val="both"/>
        <w:rPr>
          <w:rFonts w:eastAsia="BatangChe"/>
          <w:bCs/>
        </w:rPr>
      </w:pPr>
    </w:p>
    <w:p w14:paraId="4F44EC3B" w14:textId="77777777" w:rsidR="00F76708" w:rsidRPr="008E73D9" w:rsidRDefault="00F76708" w:rsidP="00F76708">
      <w:pPr>
        <w:jc w:val="both"/>
        <w:rPr>
          <w:rFonts w:eastAsia="BatangChe"/>
          <w:b/>
          <w:bCs/>
          <w:i/>
          <w:color w:val="0000FF"/>
        </w:rPr>
      </w:pPr>
      <w:r w:rsidRPr="008E73D9">
        <w:rPr>
          <w:rFonts w:eastAsia="BatangChe"/>
          <w:b/>
          <w:bCs/>
          <w:i/>
          <w:color w:val="0000FF"/>
        </w:rPr>
        <w:t>Determinants of Tobin’s Q</w:t>
      </w:r>
    </w:p>
    <w:p w14:paraId="22276B2D" w14:textId="77777777" w:rsidR="00F76708" w:rsidRPr="008E73D9" w:rsidRDefault="00F76708" w:rsidP="00F76708">
      <w:pPr>
        <w:jc w:val="both"/>
        <w:rPr>
          <w:rFonts w:eastAsia="BatangChe"/>
          <w:bCs/>
          <w:i/>
          <w:color w:val="0000FF"/>
        </w:rPr>
      </w:pPr>
    </w:p>
    <w:p w14:paraId="5D476BB9" w14:textId="687F9614" w:rsidR="00F76708" w:rsidRPr="008E73D9" w:rsidRDefault="00F76708" w:rsidP="00F76708">
      <w:pPr>
        <w:ind w:firstLine="720"/>
        <w:jc w:val="both"/>
        <w:rPr>
          <w:rFonts w:eastAsia="BatangChe"/>
          <w:bCs/>
        </w:rPr>
      </w:pPr>
      <w:r w:rsidRPr="008E73D9">
        <w:rPr>
          <w:rFonts w:eastAsia="BatangChe"/>
          <w:bCs/>
        </w:rPr>
        <w:t xml:space="preserve">Each firm’s market value is measured using Tobin’s Q. Following </w:t>
      </w:r>
      <w:r w:rsidRPr="008E73D9">
        <w:rPr>
          <w:rFonts w:eastAsia="BatangChe"/>
          <w:bCs/>
          <w:color w:val="C00000"/>
        </w:rPr>
        <w:t xml:space="preserve">Hoyt and Liebenberg </w:t>
      </w:r>
      <w:r w:rsidRPr="008E73D9">
        <w:rPr>
          <w:rFonts w:eastAsia="BatangChe"/>
          <w:bCs/>
          <w:color w:val="800000"/>
        </w:rPr>
        <w:t>(2011)</w:t>
      </w:r>
      <w:r w:rsidRPr="008E73D9">
        <w:rPr>
          <w:rFonts w:eastAsia="BatangChe"/>
          <w:bCs/>
        </w:rPr>
        <w:t xml:space="preserve">, this measure is calculated as the ratio of the market value of equity plus the book value of liabilities to the book value of assets. Following previous work, </w:t>
      </w:r>
      <w:r w:rsidR="006A511D" w:rsidRPr="008E73D9">
        <w:rPr>
          <w:rFonts w:eastAsia="BatangChe"/>
          <w:bCs/>
        </w:rPr>
        <w:t xml:space="preserve">we include </w:t>
      </w:r>
      <w:r w:rsidRPr="008E73D9">
        <w:rPr>
          <w:rFonts w:eastAsia="BatangChe"/>
          <w:bCs/>
        </w:rPr>
        <w:t>the following</w:t>
      </w:r>
      <w:r w:rsidR="006A511D" w:rsidRPr="008E73D9">
        <w:rPr>
          <w:rFonts w:eastAsia="BatangChe"/>
          <w:bCs/>
        </w:rPr>
        <w:t xml:space="preserve"> control variables </w:t>
      </w:r>
      <w:r w:rsidRPr="008E73D9">
        <w:rPr>
          <w:rFonts w:eastAsia="BatangChe"/>
          <w:bCs/>
        </w:rPr>
        <w:t>in the model</w:t>
      </w:r>
      <w:r w:rsidR="006A511D" w:rsidRPr="008E73D9">
        <w:rPr>
          <w:rFonts w:eastAsia="BatangChe"/>
          <w:bCs/>
        </w:rPr>
        <w:t>.</w:t>
      </w:r>
      <w:r w:rsidRPr="008E73D9">
        <w:rPr>
          <w:rFonts w:eastAsia="BatangChe"/>
          <w:bCs/>
        </w:rPr>
        <w:t xml:space="preserve"> </w:t>
      </w:r>
    </w:p>
    <w:p w14:paraId="17FC71E6" w14:textId="77777777" w:rsidR="00F76708" w:rsidRPr="008E73D9" w:rsidRDefault="00F76708" w:rsidP="00F76708">
      <w:pPr>
        <w:ind w:firstLine="720"/>
        <w:jc w:val="both"/>
        <w:rPr>
          <w:rFonts w:eastAsia="BatangChe"/>
          <w:bCs/>
        </w:rPr>
      </w:pPr>
    </w:p>
    <w:p w14:paraId="4AAA484A" w14:textId="77777777" w:rsidR="00F76708" w:rsidRPr="008E73D9" w:rsidRDefault="00F76708" w:rsidP="00F76708">
      <w:pPr>
        <w:pStyle w:val="ListParagraph"/>
        <w:numPr>
          <w:ilvl w:val="0"/>
          <w:numId w:val="3"/>
        </w:numPr>
        <w:ind w:left="360"/>
        <w:jc w:val="both"/>
      </w:pPr>
      <w:r w:rsidRPr="008E73D9">
        <w:rPr>
          <w:i/>
        </w:rPr>
        <w:t>Firm size</w:t>
      </w:r>
      <w:r w:rsidRPr="008E73D9">
        <w:t xml:space="preserve">: Previous studies are not conclusive about the effect of firm size on firm value. However, </w:t>
      </w:r>
      <w:r w:rsidR="00E537B3" w:rsidRPr="008E73D9">
        <w:t xml:space="preserve">plenty of research links frim size to the use of self-insurance. Therefore, </w:t>
      </w:r>
      <w:r w:rsidRPr="008E73D9">
        <w:t xml:space="preserve">it is important to control for size because large firms are more likely to self-insure than small firms. The proxy is the natural logarithm of total assets. </w:t>
      </w:r>
    </w:p>
    <w:p w14:paraId="01A42085" w14:textId="77777777" w:rsidR="00F76708" w:rsidRPr="008E73D9" w:rsidRDefault="00F76708" w:rsidP="00F76708">
      <w:pPr>
        <w:pStyle w:val="ListParagraph"/>
        <w:ind w:left="360"/>
        <w:jc w:val="both"/>
      </w:pPr>
    </w:p>
    <w:p w14:paraId="1080356F" w14:textId="77777777" w:rsidR="00F76708" w:rsidRPr="008E73D9" w:rsidRDefault="00F76708" w:rsidP="00F76708">
      <w:pPr>
        <w:pStyle w:val="ListParagraph"/>
        <w:numPr>
          <w:ilvl w:val="0"/>
          <w:numId w:val="3"/>
        </w:numPr>
        <w:ind w:left="360"/>
        <w:jc w:val="both"/>
      </w:pPr>
      <w:r w:rsidRPr="008E73D9">
        <w:rPr>
          <w:i/>
        </w:rPr>
        <w:t>Profitability</w:t>
      </w:r>
      <w:r w:rsidRPr="008E73D9">
        <w:t xml:space="preserve">: Profitable firms are more likely to trade at a premium than less profitable firms. The ROA is used as a proxy, calculated as the ratio of net income to total assets. A positive coefficient is expected on this variable. </w:t>
      </w:r>
    </w:p>
    <w:p w14:paraId="218E8FC3" w14:textId="77777777" w:rsidR="00F76708" w:rsidRPr="008E73D9" w:rsidRDefault="00F76708" w:rsidP="00F76708">
      <w:pPr>
        <w:pStyle w:val="ListParagraph"/>
        <w:ind w:left="360"/>
        <w:jc w:val="both"/>
      </w:pPr>
    </w:p>
    <w:p w14:paraId="752DDFCD" w14:textId="77777777" w:rsidR="00F76708" w:rsidRPr="008E73D9" w:rsidRDefault="00F76708" w:rsidP="00F76708">
      <w:pPr>
        <w:pStyle w:val="ListParagraph"/>
        <w:numPr>
          <w:ilvl w:val="0"/>
          <w:numId w:val="3"/>
        </w:numPr>
        <w:ind w:left="360"/>
        <w:jc w:val="both"/>
      </w:pPr>
      <w:r w:rsidRPr="008E73D9">
        <w:rPr>
          <w:bCs/>
          <w:i/>
          <w:color w:val="000000"/>
        </w:rPr>
        <w:t>Investment growth</w:t>
      </w:r>
      <w:r w:rsidRPr="008E73D9">
        <w:rPr>
          <w:bCs/>
          <w:color w:val="000000"/>
        </w:rPr>
        <w:t xml:space="preserve">: Firm value may also be related to future investment opportunities. The proxy used is capital expenditures over total assets. The expected sign for this variable is positive. </w:t>
      </w:r>
    </w:p>
    <w:p w14:paraId="7BEFA741" w14:textId="77777777" w:rsidR="00F76708" w:rsidRPr="008E73D9" w:rsidRDefault="00F76708" w:rsidP="00F76708">
      <w:pPr>
        <w:pStyle w:val="ListParagraph"/>
        <w:ind w:left="360"/>
        <w:jc w:val="both"/>
      </w:pPr>
    </w:p>
    <w:p w14:paraId="33F060E0" w14:textId="77777777" w:rsidR="00F76708" w:rsidRPr="008E73D9" w:rsidRDefault="00F76708" w:rsidP="00F76708">
      <w:pPr>
        <w:pStyle w:val="ListParagraph"/>
        <w:numPr>
          <w:ilvl w:val="0"/>
          <w:numId w:val="3"/>
        </w:numPr>
        <w:ind w:left="360"/>
        <w:jc w:val="both"/>
      </w:pPr>
      <w:r w:rsidRPr="008E73D9">
        <w:rPr>
          <w:bCs/>
          <w:i/>
          <w:color w:val="000000"/>
        </w:rPr>
        <w:t>Leverage</w:t>
      </w:r>
      <w:r w:rsidRPr="008E73D9">
        <w:rPr>
          <w:bCs/>
          <w:color w:val="000000"/>
        </w:rPr>
        <w:t xml:space="preserve">: A firm’s capital structure may affect its value. A leverage variable is defined as the book value of long-term debt over the market value of common equity. </w:t>
      </w:r>
    </w:p>
    <w:p w14:paraId="27C13962" w14:textId="77777777" w:rsidR="00F76708" w:rsidRPr="008E73D9" w:rsidRDefault="00F76708" w:rsidP="00F76708">
      <w:pPr>
        <w:pStyle w:val="ListParagraph"/>
        <w:ind w:left="360"/>
        <w:jc w:val="both"/>
      </w:pPr>
    </w:p>
    <w:p w14:paraId="3AC32D6F" w14:textId="6A795FCA" w:rsidR="00F76708" w:rsidRPr="008E73D9" w:rsidRDefault="00F76708" w:rsidP="00F76708">
      <w:pPr>
        <w:pStyle w:val="ListParagraph"/>
        <w:numPr>
          <w:ilvl w:val="0"/>
          <w:numId w:val="3"/>
        </w:numPr>
        <w:ind w:left="360"/>
        <w:jc w:val="both"/>
      </w:pPr>
      <w:r w:rsidRPr="008E73D9">
        <w:rPr>
          <w:bCs/>
          <w:i/>
          <w:color w:val="000000"/>
        </w:rPr>
        <w:t>Dividend</w:t>
      </w:r>
      <w:r w:rsidRPr="008E73D9">
        <w:rPr>
          <w:bCs/>
          <w:color w:val="000000"/>
        </w:rPr>
        <w:t xml:space="preserve">: Previous empirical evidence is mixed regarding the relationship between dividend payment and firm value. On the one hand, dividends may reduce free cash flows available for capital projects. Therefore, the sign of the coefficient should be negative. On the other hand, dividends can be perceived as a positive signal from management and thus increase firm </w:t>
      </w:r>
      <w:r w:rsidRPr="008E73D9">
        <w:rPr>
          <w:bCs/>
          <w:color w:val="000000"/>
        </w:rPr>
        <w:lastRenderedPageBreak/>
        <w:t>value. A divide</w:t>
      </w:r>
      <w:r w:rsidR="00C20578" w:rsidRPr="008E73D9">
        <w:rPr>
          <w:bCs/>
          <w:color w:val="000000"/>
        </w:rPr>
        <w:t xml:space="preserve">nd dummy is </w:t>
      </w:r>
      <w:r w:rsidRPr="008E73D9">
        <w:rPr>
          <w:bCs/>
          <w:color w:val="000000"/>
        </w:rPr>
        <w:t xml:space="preserve">included </w:t>
      </w:r>
      <w:r w:rsidR="00C20578" w:rsidRPr="008E73D9">
        <w:rPr>
          <w:bCs/>
          <w:color w:val="000000"/>
        </w:rPr>
        <w:t xml:space="preserve">and </w:t>
      </w:r>
      <w:r w:rsidRPr="008E73D9">
        <w:rPr>
          <w:bCs/>
          <w:color w:val="000000"/>
        </w:rPr>
        <w:t xml:space="preserve">equals one if the firm paid dividends on common equity in the current year. No priors on the sign of this variable are expected. </w:t>
      </w:r>
    </w:p>
    <w:p w14:paraId="6CB2C414" w14:textId="77777777" w:rsidR="00F76708" w:rsidRPr="008E73D9" w:rsidRDefault="00F76708" w:rsidP="00F76708">
      <w:pPr>
        <w:pStyle w:val="ListParagraph"/>
      </w:pPr>
    </w:p>
    <w:p w14:paraId="21191B6B" w14:textId="2121C706" w:rsidR="00F628C2" w:rsidRPr="008E73D9" w:rsidRDefault="001D4EE5" w:rsidP="00F628C2">
      <w:pPr>
        <w:pStyle w:val="ListParagraph"/>
        <w:numPr>
          <w:ilvl w:val="0"/>
          <w:numId w:val="3"/>
        </w:numPr>
        <w:ind w:left="360"/>
        <w:jc w:val="both"/>
      </w:pPr>
      <w:r w:rsidRPr="008E73D9">
        <w:rPr>
          <w:i/>
        </w:rPr>
        <w:t>Complexity</w:t>
      </w:r>
      <w:r w:rsidR="00F76708" w:rsidRPr="008E73D9">
        <w:t xml:space="preserve">: </w:t>
      </w:r>
      <w:r w:rsidR="00623041" w:rsidRPr="008E73D9">
        <w:rPr>
          <w:bCs/>
          <w:color w:val="000000"/>
        </w:rPr>
        <w:t xml:space="preserve">Prior studies are not conclusive about </w:t>
      </w:r>
      <w:r w:rsidR="000B175F" w:rsidRPr="008E73D9">
        <w:t xml:space="preserve">whether diversification adds value. However, it is important to control for </w:t>
      </w:r>
      <w:r w:rsidR="00F628C2" w:rsidRPr="008E73D9">
        <w:t>diversification because diversified manufacturers may be less likely to self-insure for WC risk than specialized ones as a result of heterogeneous risks in various industries. We use a dummy variable (</w:t>
      </w:r>
      <w:r w:rsidR="00F628C2" w:rsidRPr="008E73D9">
        <w:rPr>
          <w:i/>
        </w:rPr>
        <w:t>Complexity</w:t>
      </w:r>
      <w:r w:rsidR="00F628C2" w:rsidRPr="008E73D9">
        <w:t xml:space="preserve">) that equals one if a firm has a SIC or NAICS code beyond the manufacturing sector (NAICS 31-33 or SIC 20-39). We </w:t>
      </w:r>
      <w:r w:rsidR="00806314" w:rsidRPr="008E73D9">
        <w:t>do not</w:t>
      </w:r>
      <w:r w:rsidR="00F628C2" w:rsidRPr="008E73D9">
        <w:t xml:space="preserve"> have specific expectation on the sign of this variable. </w:t>
      </w:r>
    </w:p>
    <w:p w14:paraId="5B3D9DED" w14:textId="77777777" w:rsidR="00F76708" w:rsidRPr="008E73D9" w:rsidRDefault="00F76708" w:rsidP="00F76708">
      <w:pPr>
        <w:jc w:val="both"/>
      </w:pPr>
    </w:p>
    <w:p w14:paraId="65E086EE" w14:textId="77777777" w:rsidR="0096398D" w:rsidRPr="008E73D9" w:rsidRDefault="0096398D" w:rsidP="00F76708">
      <w:pPr>
        <w:jc w:val="both"/>
      </w:pPr>
      <w:r w:rsidRPr="008E73D9">
        <w:t xml:space="preserve">Finally, we also include year dummies in the Q equation to control for </w:t>
      </w:r>
      <w:r w:rsidR="006F12A6" w:rsidRPr="008E73D9">
        <w:t xml:space="preserve">the impact of cyclical, economic trends on Q values over the sample period. </w:t>
      </w:r>
    </w:p>
    <w:p w14:paraId="71A53FA2" w14:textId="77777777" w:rsidR="006F12A6" w:rsidRPr="008E73D9" w:rsidRDefault="006F12A6" w:rsidP="00F76708">
      <w:pPr>
        <w:jc w:val="both"/>
      </w:pPr>
    </w:p>
    <w:p w14:paraId="6B872E9F" w14:textId="77777777" w:rsidR="00F76708" w:rsidRPr="008E73D9" w:rsidRDefault="00F76708" w:rsidP="00F76708">
      <w:pPr>
        <w:jc w:val="both"/>
        <w:rPr>
          <w:b/>
          <w:i/>
          <w:color w:val="0000FF"/>
        </w:rPr>
      </w:pPr>
      <w:r w:rsidRPr="008E73D9">
        <w:rPr>
          <w:b/>
          <w:i/>
          <w:color w:val="0000FF"/>
        </w:rPr>
        <w:t>Determinants of Self-insurance</w:t>
      </w:r>
    </w:p>
    <w:p w14:paraId="3C1484DF" w14:textId="77777777" w:rsidR="0096398D" w:rsidRPr="008E73D9" w:rsidRDefault="0096398D" w:rsidP="0096398D">
      <w:pPr>
        <w:ind w:firstLine="720"/>
        <w:jc w:val="both"/>
      </w:pPr>
    </w:p>
    <w:p w14:paraId="7A3A2345" w14:textId="77777777" w:rsidR="0096398D" w:rsidRPr="008E73D9" w:rsidRDefault="0096398D" w:rsidP="0096398D">
      <w:pPr>
        <w:pStyle w:val="ListParagraph"/>
        <w:numPr>
          <w:ilvl w:val="0"/>
          <w:numId w:val="2"/>
        </w:numPr>
        <w:ind w:left="360"/>
        <w:jc w:val="both"/>
      </w:pPr>
      <w:r w:rsidRPr="008E73D9">
        <w:rPr>
          <w:i/>
        </w:rPr>
        <w:t>Firm size</w:t>
      </w:r>
      <w:r w:rsidRPr="008E73D9">
        <w:t xml:space="preserve">: Large firms are more likely to handle WC losses via self-insurance because they can support </w:t>
      </w:r>
      <w:r w:rsidR="005C4753" w:rsidRPr="008E73D9">
        <w:t xml:space="preserve">and justify </w:t>
      </w:r>
      <w:r w:rsidRPr="008E73D9">
        <w:t xml:space="preserve">the administrative cost of a self-insurance program. We use the natural logarithm of </w:t>
      </w:r>
      <w:r w:rsidR="008301D3" w:rsidRPr="008E73D9">
        <w:t>total assets</w:t>
      </w:r>
      <w:r w:rsidRPr="008E73D9">
        <w:t xml:space="preserve"> as a proxy for firm size. The sign of this variable is expected to be positive.  </w:t>
      </w:r>
    </w:p>
    <w:p w14:paraId="2367FA1D" w14:textId="77777777" w:rsidR="0096398D" w:rsidRPr="008E73D9" w:rsidRDefault="0096398D" w:rsidP="0096398D">
      <w:pPr>
        <w:jc w:val="both"/>
      </w:pPr>
    </w:p>
    <w:p w14:paraId="66F301AD" w14:textId="1946BB10" w:rsidR="00004172" w:rsidRPr="008E73D9" w:rsidRDefault="00004172" w:rsidP="00004172">
      <w:pPr>
        <w:pStyle w:val="ListParagraph"/>
        <w:numPr>
          <w:ilvl w:val="0"/>
          <w:numId w:val="2"/>
        </w:numPr>
        <w:ind w:left="360"/>
        <w:jc w:val="both"/>
      </w:pPr>
      <w:r w:rsidRPr="008E73D9">
        <w:rPr>
          <w:bCs/>
          <w:i/>
          <w:color w:val="000000"/>
        </w:rPr>
        <w:t>Headquarter dummy</w:t>
      </w:r>
      <w:r w:rsidRPr="008E73D9">
        <w:rPr>
          <w:bCs/>
          <w:color w:val="000000"/>
        </w:rPr>
        <w:t xml:space="preserve">: </w:t>
      </w:r>
      <w:r w:rsidRPr="008E73D9">
        <w:rPr>
          <w:color w:val="000000"/>
        </w:rPr>
        <w:t>The</w:t>
      </w:r>
      <w:r w:rsidR="00294BDC" w:rsidRPr="008E73D9">
        <w:rPr>
          <w:color w:val="000000"/>
        </w:rPr>
        <w:t xml:space="preserve"> headquarter </w:t>
      </w:r>
      <w:r w:rsidRPr="008E73D9">
        <w:rPr>
          <w:color w:val="000000"/>
        </w:rPr>
        <w:t xml:space="preserve">dummy equals one if the owner of a manufacturer is headquartered in CA. Since WC laws are enacted at the state level, the regulations governing self-insurance may vary from state to state. </w:t>
      </w:r>
      <w:r w:rsidRPr="008E73D9">
        <w:rPr>
          <w:color w:val="C00000"/>
        </w:rPr>
        <w:t>Chang (2008)</w:t>
      </w:r>
      <w:r w:rsidRPr="008E73D9">
        <w:t xml:space="preserve"> indicates that firms with a single-state operation tend to self-insure because they just need to conform to one jurisdiction’s WC regulation. A parent company headquartered in another state may have to deal with the burden and difficulty of complying with heterogeneous regulatory requirements for self-insurance in different jurisdictions. </w:t>
      </w:r>
      <w:r w:rsidR="00A6676A" w:rsidRPr="008E73D9">
        <w:t xml:space="preserve">Therefore, we expect the coefficient on Headquarter dummy to be positive.  </w:t>
      </w:r>
    </w:p>
    <w:p w14:paraId="13942D35" w14:textId="77777777" w:rsidR="00004172" w:rsidRPr="008E73D9" w:rsidRDefault="00004172" w:rsidP="00004172">
      <w:pPr>
        <w:pStyle w:val="ListParagraph"/>
      </w:pPr>
    </w:p>
    <w:p w14:paraId="40DF37CA" w14:textId="77777777" w:rsidR="00EC21CB" w:rsidRPr="008E73D9" w:rsidRDefault="00F76708" w:rsidP="00396458">
      <w:pPr>
        <w:pStyle w:val="ListParagraph"/>
        <w:numPr>
          <w:ilvl w:val="0"/>
          <w:numId w:val="2"/>
        </w:numPr>
        <w:ind w:left="360"/>
        <w:jc w:val="both"/>
      </w:pPr>
      <w:r w:rsidRPr="008E73D9">
        <w:rPr>
          <w:i/>
        </w:rPr>
        <w:t>Opacity</w:t>
      </w:r>
      <w:r w:rsidRPr="008E73D9">
        <w:t xml:space="preserve">: According to </w:t>
      </w:r>
      <w:r w:rsidRPr="008E73D9">
        <w:rPr>
          <w:color w:val="C00000"/>
        </w:rPr>
        <w:t>Pagach and Warr (201</w:t>
      </w:r>
      <w:r w:rsidR="00347ECB" w:rsidRPr="008E73D9">
        <w:rPr>
          <w:color w:val="C00000"/>
        </w:rPr>
        <w:t>1</w:t>
      </w:r>
      <w:r w:rsidRPr="008E73D9">
        <w:rPr>
          <w:color w:val="C00000"/>
        </w:rPr>
        <w:t>)</w:t>
      </w:r>
      <w:r w:rsidRPr="008E73D9">
        <w:t xml:space="preserve">, assets that are relatively more opaque are more difficult to liquidate in the face of financial distress. </w:t>
      </w:r>
      <w:r w:rsidR="00347ECB" w:rsidRPr="008E73D9">
        <w:t xml:space="preserve">Opacity, a measure of tangibility of assets may, </w:t>
      </w:r>
      <w:r w:rsidR="00396458" w:rsidRPr="008E73D9">
        <w:t>may indicate</w:t>
      </w:r>
      <w:r w:rsidR="00347ECB" w:rsidRPr="008E73D9">
        <w:t xml:space="preserve"> </w:t>
      </w:r>
      <w:r w:rsidR="00396458" w:rsidRPr="008E73D9">
        <w:t xml:space="preserve">the </w:t>
      </w:r>
      <w:r w:rsidR="00347ECB" w:rsidRPr="008E73D9">
        <w:t>organizational structure of manufacture</w:t>
      </w:r>
      <w:r w:rsidR="00A51113" w:rsidRPr="008E73D9">
        <w:t>r</w:t>
      </w:r>
      <w:r w:rsidR="00347ECB" w:rsidRPr="008E73D9">
        <w:t xml:space="preserve">s. </w:t>
      </w:r>
      <w:r w:rsidR="00396458" w:rsidRPr="008E73D9">
        <w:t xml:space="preserve">We measure opacity as the ratio of intangible assets to the book value of total assets. </w:t>
      </w:r>
      <w:r w:rsidR="00347ECB" w:rsidRPr="008E73D9">
        <w:t xml:space="preserve">Manufacturing firms with a larger proportion of </w:t>
      </w:r>
      <w:r w:rsidR="00396458" w:rsidRPr="008E73D9">
        <w:t>in</w:t>
      </w:r>
      <w:r w:rsidR="00347ECB" w:rsidRPr="008E73D9">
        <w:t xml:space="preserve">tangible assets </w:t>
      </w:r>
      <w:r w:rsidR="00396458" w:rsidRPr="008E73D9">
        <w:t xml:space="preserve">may be associated with </w:t>
      </w:r>
      <w:r w:rsidR="008A5C3E" w:rsidRPr="008E73D9">
        <w:t xml:space="preserve">a larger </w:t>
      </w:r>
      <w:r w:rsidR="00C70BAD" w:rsidRPr="008E73D9">
        <w:t>percentage</w:t>
      </w:r>
      <w:r w:rsidR="008A5C3E" w:rsidRPr="008E73D9">
        <w:t xml:space="preserve"> of workers dedicated to research and development</w:t>
      </w:r>
      <w:r w:rsidR="00F00B99" w:rsidRPr="008E73D9">
        <w:t xml:space="preserve"> who are less vulnerable to occupational injuries and illnesses than those workers who are physically involved with the production of goods in the manufacturing environment</w:t>
      </w:r>
      <w:r w:rsidR="00396458" w:rsidRPr="008E73D9">
        <w:t xml:space="preserve">. </w:t>
      </w:r>
      <w:r w:rsidRPr="008E73D9">
        <w:t xml:space="preserve">Consequently, </w:t>
      </w:r>
      <w:r w:rsidR="00396458" w:rsidRPr="008E73D9">
        <w:t>self-insurance may be out of favor</w:t>
      </w:r>
      <w:r w:rsidR="00294BDC" w:rsidRPr="008E73D9">
        <w:t xml:space="preserve"> due to less risky workplace</w:t>
      </w:r>
      <w:r w:rsidR="00396458" w:rsidRPr="008E73D9">
        <w:t xml:space="preserve">. It is expected to see a negative sign for this variable. </w:t>
      </w:r>
      <w:r w:rsidRPr="008E73D9">
        <w:t xml:space="preserve"> </w:t>
      </w:r>
    </w:p>
    <w:p w14:paraId="4E6C193F" w14:textId="77777777" w:rsidR="00EC21CB" w:rsidRPr="008E73D9" w:rsidRDefault="00EC21CB" w:rsidP="00F628C2">
      <w:pPr>
        <w:jc w:val="both"/>
      </w:pPr>
    </w:p>
    <w:p w14:paraId="24117010" w14:textId="77777777" w:rsidR="00F76708" w:rsidRPr="008E73D9" w:rsidRDefault="00F76708" w:rsidP="00EC21CB">
      <w:pPr>
        <w:pStyle w:val="ListParagraph"/>
        <w:numPr>
          <w:ilvl w:val="0"/>
          <w:numId w:val="2"/>
        </w:numPr>
        <w:ind w:left="360"/>
        <w:jc w:val="both"/>
      </w:pPr>
      <w:r w:rsidRPr="008E73D9">
        <w:rPr>
          <w:i/>
        </w:rPr>
        <w:t>Slack</w:t>
      </w:r>
      <w:r w:rsidRPr="008E73D9">
        <w:t xml:space="preserve">: If </w:t>
      </w:r>
      <w:r w:rsidRPr="008E73D9">
        <w:rPr>
          <w:rFonts w:eastAsiaTheme="minorEastAsia"/>
        </w:rPr>
        <w:t xml:space="preserve">self-insurance helps employers maximize cash flow, cash reserves may be associated with the use of self-insurance. Thus, slack is measured as the ratio of cash and marketable securities to total assets. </w:t>
      </w:r>
    </w:p>
    <w:p w14:paraId="4C04D80C" w14:textId="77777777" w:rsidR="00927C7F" w:rsidRPr="008E73D9" w:rsidRDefault="00927C7F" w:rsidP="00B55E74">
      <w:pPr>
        <w:ind w:firstLine="720"/>
        <w:jc w:val="both"/>
      </w:pPr>
    </w:p>
    <w:p w14:paraId="71B40FED" w14:textId="77777777" w:rsidR="00C41366" w:rsidRPr="008E73D9" w:rsidRDefault="00C41366" w:rsidP="00C41366">
      <w:pPr>
        <w:pStyle w:val="ListParagraph"/>
        <w:numPr>
          <w:ilvl w:val="0"/>
          <w:numId w:val="2"/>
        </w:numPr>
        <w:ind w:left="360"/>
        <w:jc w:val="both"/>
      </w:pPr>
      <w:r w:rsidRPr="008E73D9">
        <w:rPr>
          <w:i/>
        </w:rPr>
        <w:t>Subsector dummy</w:t>
      </w:r>
      <w:r w:rsidRPr="008E73D9">
        <w:rPr>
          <w:bCs/>
          <w:color w:val="000000"/>
        </w:rPr>
        <w:t xml:space="preserve">: The competitive structure of the industry may play a role in a firm’s risk management strategies. Firms in the same manufacturing subsector are exposed to similar loss exposures and therefore are more likely to adopt the same risk-financing technique for </w:t>
      </w:r>
      <w:r w:rsidRPr="008E73D9">
        <w:rPr>
          <w:bCs/>
          <w:color w:val="000000"/>
        </w:rPr>
        <w:lastRenderedPageBreak/>
        <w:t xml:space="preserve">WC losses. </w:t>
      </w:r>
      <w:r w:rsidRPr="008E73D9">
        <w:rPr>
          <w:bCs/>
          <w:color w:val="C00000"/>
        </w:rPr>
        <w:t xml:space="preserve">Chang et al. (2016) </w:t>
      </w:r>
      <w:r w:rsidRPr="008E73D9">
        <w:rPr>
          <w:bCs/>
          <w:color w:val="000000"/>
        </w:rPr>
        <w:t xml:space="preserve">suggest that self-insurance is widely accepted in the production of wood, paper, beverage, and petroleum products. Accordingly, this dummy variable is set to equal one if a firm is affiliated with these four subsectors. We expect this variable should have a positive coefficient. </w:t>
      </w:r>
    </w:p>
    <w:p w14:paraId="1878E9F5" w14:textId="77777777" w:rsidR="00C41366" w:rsidRPr="008E73D9" w:rsidRDefault="00C41366" w:rsidP="00B55E74">
      <w:pPr>
        <w:ind w:firstLine="720"/>
        <w:jc w:val="both"/>
      </w:pPr>
    </w:p>
    <w:p w14:paraId="70E13413" w14:textId="77777777" w:rsidR="00694B1B" w:rsidRPr="008E73D9" w:rsidRDefault="00694B1B" w:rsidP="00B55E74">
      <w:pPr>
        <w:ind w:firstLine="720"/>
        <w:jc w:val="both"/>
      </w:pPr>
    </w:p>
    <w:p w14:paraId="0A97B671" w14:textId="77777777" w:rsidR="003C3F80" w:rsidRPr="008E73D9" w:rsidRDefault="00F76708" w:rsidP="003C3F80">
      <w:pPr>
        <w:numPr>
          <w:ilvl w:val="0"/>
          <w:numId w:val="1"/>
        </w:numPr>
        <w:tabs>
          <w:tab w:val="clear" w:pos="720"/>
        </w:tabs>
        <w:spacing w:line="480" w:lineRule="auto"/>
        <w:ind w:left="180"/>
        <w:jc w:val="center"/>
        <w:rPr>
          <w:b/>
          <w:color w:val="0000FF"/>
        </w:rPr>
      </w:pPr>
      <w:r w:rsidRPr="008E73D9">
        <w:rPr>
          <w:b/>
          <w:color w:val="0000FF"/>
        </w:rPr>
        <w:t>Results</w:t>
      </w:r>
    </w:p>
    <w:p w14:paraId="793EB223" w14:textId="77777777" w:rsidR="003C3F80" w:rsidRPr="008E73D9" w:rsidRDefault="003C3F80" w:rsidP="003C3F80">
      <w:pPr>
        <w:jc w:val="both"/>
        <w:rPr>
          <w:b/>
        </w:rPr>
      </w:pPr>
      <w:r w:rsidRPr="008E73D9">
        <w:rPr>
          <w:b/>
        </w:rPr>
        <w:t>A. Univariate Analysis</w:t>
      </w:r>
    </w:p>
    <w:p w14:paraId="7544E58B" w14:textId="77777777" w:rsidR="003C3F80" w:rsidRPr="008E73D9" w:rsidRDefault="003C3F80" w:rsidP="003C3F80">
      <w:pPr>
        <w:autoSpaceDE w:val="0"/>
        <w:autoSpaceDN w:val="0"/>
        <w:adjustRightInd w:val="0"/>
        <w:ind w:firstLine="720"/>
        <w:rPr>
          <w:szCs w:val="20"/>
        </w:rPr>
      </w:pPr>
    </w:p>
    <w:p w14:paraId="6F26F703" w14:textId="0436A12C" w:rsidR="00FA52D7" w:rsidRPr="008E73D9" w:rsidRDefault="003C3F80" w:rsidP="00FA52D7">
      <w:pPr>
        <w:ind w:firstLine="720"/>
        <w:jc w:val="both"/>
        <w:rPr>
          <w:szCs w:val="20"/>
        </w:rPr>
      </w:pPr>
      <w:r w:rsidRPr="008E73D9">
        <w:rPr>
          <w:szCs w:val="20"/>
        </w:rPr>
        <w:t xml:space="preserve">In this section, we test the main hypothesis, which is whether self-insured firms have higher market values than </w:t>
      </w:r>
      <w:r w:rsidR="006311E2" w:rsidRPr="008E73D9">
        <w:rPr>
          <w:szCs w:val="20"/>
        </w:rPr>
        <w:t xml:space="preserve">the </w:t>
      </w:r>
      <w:r w:rsidRPr="008E73D9">
        <w:rPr>
          <w:szCs w:val="20"/>
        </w:rPr>
        <w:t>firms</w:t>
      </w:r>
      <w:r w:rsidR="006311E2" w:rsidRPr="008E73D9">
        <w:rPr>
          <w:szCs w:val="20"/>
        </w:rPr>
        <w:t xml:space="preserve"> that </w:t>
      </w:r>
      <w:r w:rsidR="00806314" w:rsidRPr="008E73D9">
        <w:rPr>
          <w:szCs w:val="20"/>
        </w:rPr>
        <w:t>do not</w:t>
      </w:r>
      <w:r w:rsidR="006311E2" w:rsidRPr="008E73D9">
        <w:rPr>
          <w:szCs w:val="20"/>
        </w:rPr>
        <w:t xml:space="preserve"> self-insure</w:t>
      </w:r>
      <w:r w:rsidRPr="008E73D9">
        <w:rPr>
          <w:szCs w:val="20"/>
        </w:rPr>
        <w:t>. Univariate results are presented</w:t>
      </w:r>
      <w:r w:rsidR="006311E2" w:rsidRPr="008E73D9">
        <w:rPr>
          <w:szCs w:val="20"/>
        </w:rPr>
        <w:t xml:space="preserve"> </w:t>
      </w:r>
      <w:r w:rsidRPr="008E73D9">
        <w:rPr>
          <w:szCs w:val="20"/>
        </w:rPr>
        <w:t xml:space="preserve">in </w:t>
      </w:r>
      <w:r w:rsidR="00F842BB" w:rsidRPr="008E73D9">
        <w:rPr>
          <w:szCs w:val="20"/>
        </w:rPr>
        <w:t xml:space="preserve">Table </w:t>
      </w:r>
      <w:r w:rsidR="00BE6B54" w:rsidRPr="008E73D9">
        <w:rPr>
          <w:szCs w:val="20"/>
        </w:rPr>
        <w:t>3</w:t>
      </w:r>
      <w:r w:rsidR="00F842BB" w:rsidRPr="008E73D9">
        <w:rPr>
          <w:szCs w:val="20"/>
        </w:rPr>
        <w:t xml:space="preserve">. </w:t>
      </w:r>
      <w:r w:rsidR="00FA52D7" w:rsidRPr="008E73D9">
        <w:rPr>
          <w:szCs w:val="20"/>
        </w:rPr>
        <w:t xml:space="preserve">We find statistically significant differences in firm values between self-insured and unself-insured manufacturers. However, </w:t>
      </w:r>
      <w:r w:rsidR="007168FF" w:rsidRPr="008E73D9">
        <w:t>self-insurers have lower Q ratios than those</w:t>
      </w:r>
      <w:r w:rsidR="007168FF" w:rsidRPr="008E73D9">
        <w:rPr>
          <w:szCs w:val="20"/>
        </w:rPr>
        <w:t xml:space="preserve"> firms that </w:t>
      </w:r>
      <w:r w:rsidR="00806314" w:rsidRPr="008E73D9">
        <w:rPr>
          <w:szCs w:val="20"/>
        </w:rPr>
        <w:t>do not</w:t>
      </w:r>
      <w:r w:rsidR="007168FF" w:rsidRPr="008E73D9">
        <w:rPr>
          <w:szCs w:val="20"/>
        </w:rPr>
        <w:t xml:space="preserve"> self-insure. T</w:t>
      </w:r>
      <w:r w:rsidR="00FA52D7" w:rsidRPr="008E73D9">
        <w:rPr>
          <w:szCs w:val="20"/>
        </w:rPr>
        <w:t xml:space="preserve">he Q ratios of self-insured firms are, on average, </w:t>
      </w:r>
      <w:r w:rsidR="00A96D2F" w:rsidRPr="008E73D9">
        <w:rPr>
          <w:szCs w:val="20"/>
        </w:rPr>
        <w:t xml:space="preserve">lower than those of </w:t>
      </w:r>
      <w:r w:rsidR="00FA52D7" w:rsidRPr="008E73D9">
        <w:rPr>
          <w:szCs w:val="20"/>
        </w:rPr>
        <w:t>unself-insured firms’</w:t>
      </w:r>
      <w:r w:rsidR="00A96D2F" w:rsidRPr="008E73D9">
        <w:rPr>
          <w:szCs w:val="20"/>
        </w:rPr>
        <w:t xml:space="preserve"> by 0.5</w:t>
      </w:r>
      <w:r w:rsidR="006D19E5" w:rsidRPr="008E73D9">
        <w:rPr>
          <w:szCs w:val="20"/>
        </w:rPr>
        <w:t>.</w:t>
      </w:r>
    </w:p>
    <w:p w14:paraId="44DF0F1F" w14:textId="77777777" w:rsidR="00FA52D7" w:rsidRPr="008E73D9" w:rsidRDefault="00FA52D7" w:rsidP="00FA52D7">
      <w:pPr>
        <w:ind w:firstLine="720"/>
        <w:jc w:val="both"/>
        <w:rPr>
          <w:szCs w:val="20"/>
        </w:rPr>
      </w:pPr>
    </w:p>
    <w:p w14:paraId="3C53FACB" w14:textId="10B68C09" w:rsidR="00FA52D7" w:rsidRPr="008E73D9" w:rsidRDefault="00FA52D7" w:rsidP="00FA52D7">
      <w:pPr>
        <w:ind w:firstLine="720"/>
        <w:jc w:val="both"/>
        <w:rPr>
          <w:szCs w:val="20"/>
        </w:rPr>
      </w:pPr>
      <w:r w:rsidRPr="008E73D9">
        <w:rPr>
          <w:szCs w:val="20"/>
        </w:rPr>
        <w:t xml:space="preserve">Consistent with the previous literature, self-insured firms are much larger than </w:t>
      </w:r>
      <w:r w:rsidR="00F34333" w:rsidRPr="008E73D9">
        <w:rPr>
          <w:szCs w:val="20"/>
        </w:rPr>
        <w:t xml:space="preserve">their counterparts that </w:t>
      </w:r>
      <w:r w:rsidR="00806314" w:rsidRPr="008E73D9">
        <w:rPr>
          <w:szCs w:val="20"/>
        </w:rPr>
        <w:t>do not</w:t>
      </w:r>
      <w:r w:rsidR="00F34333" w:rsidRPr="008E73D9">
        <w:rPr>
          <w:szCs w:val="20"/>
        </w:rPr>
        <w:t xml:space="preserve"> </w:t>
      </w:r>
      <w:r w:rsidRPr="008E73D9">
        <w:rPr>
          <w:szCs w:val="20"/>
        </w:rPr>
        <w:t xml:space="preserve">self-insure. </w:t>
      </w:r>
      <w:r w:rsidR="00522146" w:rsidRPr="008E73D9">
        <w:rPr>
          <w:szCs w:val="20"/>
        </w:rPr>
        <w:t xml:space="preserve">Self-insured manufacturers are </w:t>
      </w:r>
      <w:r w:rsidR="00A96D2F" w:rsidRPr="008E73D9">
        <w:rPr>
          <w:szCs w:val="20"/>
        </w:rPr>
        <w:t>about</w:t>
      </w:r>
      <w:r w:rsidR="00522146" w:rsidRPr="008E73D9">
        <w:rPr>
          <w:szCs w:val="20"/>
        </w:rPr>
        <w:t xml:space="preserve"> twice the size of unself-insured manufacturers</w:t>
      </w:r>
      <w:r w:rsidR="00A96D2F" w:rsidRPr="008E73D9">
        <w:rPr>
          <w:szCs w:val="20"/>
        </w:rPr>
        <w:t xml:space="preserve"> in terms of book value of total assets</w:t>
      </w:r>
      <w:r w:rsidR="00522146" w:rsidRPr="008E73D9">
        <w:rPr>
          <w:szCs w:val="20"/>
        </w:rPr>
        <w:t>. The former also paid more dividends than did the latter. However, self-insurers are not significantly mo</w:t>
      </w:r>
      <w:r w:rsidR="00F34333" w:rsidRPr="008E73D9">
        <w:rPr>
          <w:szCs w:val="20"/>
        </w:rPr>
        <w:t>re profitable than firms that do</w:t>
      </w:r>
      <w:r w:rsidR="00E047C9" w:rsidRPr="008E73D9">
        <w:rPr>
          <w:szCs w:val="20"/>
        </w:rPr>
        <w:t xml:space="preserve"> </w:t>
      </w:r>
      <w:r w:rsidR="00F34333" w:rsidRPr="008E73D9">
        <w:rPr>
          <w:szCs w:val="20"/>
        </w:rPr>
        <w:t>n</w:t>
      </w:r>
      <w:r w:rsidR="00E047C9" w:rsidRPr="008E73D9">
        <w:rPr>
          <w:szCs w:val="20"/>
        </w:rPr>
        <w:t>o</w:t>
      </w:r>
      <w:r w:rsidR="00522146" w:rsidRPr="008E73D9">
        <w:rPr>
          <w:szCs w:val="20"/>
        </w:rPr>
        <w:t xml:space="preserve">t self-insure.  </w:t>
      </w:r>
    </w:p>
    <w:p w14:paraId="7CC9121D" w14:textId="77777777" w:rsidR="00A96D2F" w:rsidRPr="008E73D9" w:rsidRDefault="00A96D2F" w:rsidP="00FA52D7">
      <w:pPr>
        <w:ind w:firstLine="720"/>
        <w:jc w:val="both"/>
        <w:rPr>
          <w:szCs w:val="20"/>
        </w:rPr>
      </w:pPr>
    </w:p>
    <w:p w14:paraId="48C8D09B" w14:textId="04F731D8" w:rsidR="00A96D2F" w:rsidRPr="008E73D9" w:rsidRDefault="00A96D2F" w:rsidP="00FA52D7">
      <w:pPr>
        <w:ind w:firstLine="720"/>
        <w:jc w:val="both"/>
        <w:rPr>
          <w:szCs w:val="20"/>
        </w:rPr>
      </w:pPr>
      <w:r w:rsidRPr="008E73D9">
        <w:rPr>
          <w:szCs w:val="20"/>
        </w:rPr>
        <w:t xml:space="preserve">We also find that the mean of subsector dummy is higher for self-insurers, indicating that food, paper, beverage and petroleum products manufacturers are more likely to self-insure. In addition, companies with more intangible assets tend not to self-insure, as the average opacity ratio is higher for </w:t>
      </w:r>
      <w:r w:rsidR="00F34333" w:rsidRPr="008E73D9">
        <w:rPr>
          <w:szCs w:val="20"/>
        </w:rPr>
        <w:t xml:space="preserve">those that </w:t>
      </w:r>
      <w:r w:rsidR="00806314" w:rsidRPr="008E73D9">
        <w:rPr>
          <w:szCs w:val="20"/>
        </w:rPr>
        <w:t>do not</w:t>
      </w:r>
      <w:r w:rsidR="00F34333" w:rsidRPr="008E73D9">
        <w:rPr>
          <w:szCs w:val="20"/>
        </w:rPr>
        <w:t xml:space="preserve"> </w:t>
      </w:r>
      <w:r w:rsidRPr="008E73D9">
        <w:rPr>
          <w:szCs w:val="20"/>
        </w:rPr>
        <w:t xml:space="preserve">self-insure.  Interestingly, we find that </w:t>
      </w:r>
      <w:r w:rsidR="00F34333" w:rsidRPr="008E73D9">
        <w:rPr>
          <w:szCs w:val="20"/>
        </w:rPr>
        <w:t xml:space="preserve">self-insurers </w:t>
      </w:r>
      <w:r w:rsidRPr="008E73D9">
        <w:rPr>
          <w:szCs w:val="20"/>
        </w:rPr>
        <w:t xml:space="preserve">have </w:t>
      </w:r>
      <w:r w:rsidR="00F34333" w:rsidRPr="008E73D9">
        <w:rPr>
          <w:szCs w:val="20"/>
        </w:rPr>
        <w:t>less cash</w:t>
      </w:r>
      <w:r w:rsidR="00835A73" w:rsidRPr="008E73D9">
        <w:rPr>
          <w:szCs w:val="20"/>
        </w:rPr>
        <w:t xml:space="preserve"> and marketable securities compared to </w:t>
      </w:r>
      <w:r w:rsidR="00F34333" w:rsidRPr="008E73D9">
        <w:rPr>
          <w:szCs w:val="20"/>
        </w:rPr>
        <w:t xml:space="preserve">firms that </w:t>
      </w:r>
      <w:r w:rsidR="00806314" w:rsidRPr="008E73D9">
        <w:rPr>
          <w:szCs w:val="20"/>
        </w:rPr>
        <w:t>do not</w:t>
      </w:r>
      <w:r w:rsidR="00F34333" w:rsidRPr="008E73D9">
        <w:rPr>
          <w:szCs w:val="20"/>
        </w:rPr>
        <w:t xml:space="preserve"> </w:t>
      </w:r>
      <w:r w:rsidR="00835A73" w:rsidRPr="008E73D9">
        <w:rPr>
          <w:szCs w:val="20"/>
        </w:rPr>
        <w:t xml:space="preserve">self-insure. </w:t>
      </w:r>
    </w:p>
    <w:p w14:paraId="5AF79DB4" w14:textId="77777777" w:rsidR="002C4023" w:rsidRPr="008E73D9" w:rsidRDefault="002C4023" w:rsidP="002D7BB8">
      <w:pPr>
        <w:ind w:left="720"/>
        <w:jc w:val="both"/>
        <w:rPr>
          <w:szCs w:val="20"/>
        </w:rPr>
      </w:pPr>
    </w:p>
    <w:p w14:paraId="6869E299" w14:textId="77777777" w:rsidR="00D61FB3" w:rsidRPr="008E73D9" w:rsidRDefault="00D61FB3" w:rsidP="00D61FB3">
      <w:pPr>
        <w:jc w:val="both"/>
        <w:rPr>
          <w:b/>
        </w:rPr>
      </w:pPr>
      <w:r w:rsidRPr="008E73D9">
        <w:rPr>
          <w:b/>
        </w:rPr>
        <w:t>B. Multivariate Analysis</w:t>
      </w:r>
    </w:p>
    <w:p w14:paraId="4126EA1D" w14:textId="77777777" w:rsidR="00D61FB3" w:rsidRPr="008E73D9" w:rsidRDefault="00D61FB3" w:rsidP="00D61FB3">
      <w:pPr>
        <w:ind w:firstLine="720"/>
        <w:jc w:val="both"/>
      </w:pPr>
    </w:p>
    <w:p w14:paraId="0CF02EE8" w14:textId="7809BA11" w:rsidR="00D61FB3" w:rsidRPr="008E73D9" w:rsidRDefault="00D61FB3" w:rsidP="00D61FB3">
      <w:pPr>
        <w:pStyle w:val="ListParagraph"/>
        <w:ind w:left="0" w:firstLine="720"/>
        <w:jc w:val="both"/>
      </w:pPr>
      <w:r w:rsidRPr="008E73D9">
        <w:t>In order to test whether self-insurance is value-</w:t>
      </w:r>
      <w:r w:rsidR="00806314" w:rsidRPr="008E73D9">
        <w:t>enhancing</w:t>
      </w:r>
      <w:r w:rsidRPr="008E73D9">
        <w:t xml:space="preserve">, we use a maximum-likelihood treatment effects model that simultaneously estimates the decision to self-insure and the effect of such decision (treatment) on Q in a two-equation system. Table </w:t>
      </w:r>
      <w:r w:rsidR="005633EB" w:rsidRPr="008E73D9">
        <w:t>4</w:t>
      </w:r>
      <w:r w:rsidR="000032DE" w:rsidRPr="008E73D9">
        <w:t xml:space="preserve"> shows correlation between variables and Table </w:t>
      </w:r>
      <w:r w:rsidR="005633EB" w:rsidRPr="008E73D9">
        <w:t>5</w:t>
      </w:r>
      <w:r w:rsidRPr="008E73D9">
        <w:t xml:space="preserve"> presents the results for the full sample. </w:t>
      </w:r>
    </w:p>
    <w:p w14:paraId="754441FC" w14:textId="77777777" w:rsidR="00D61FB3" w:rsidRPr="008E73D9" w:rsidRDefault="00D61FB3" w:rsidP="00D61FB3">
      <w:pPr>
        <w:pStyle w:val="ListParagraph"/>
        <w:ind w:left="0" w:firstLine="720"/>
        <w:jc w:val="both"/>
      </w:pPr>
    </w:p>
    <w:p w14:paraId="56A45A3B" w14:textId="0A92CBEF" w:rsidR="00D61FB3" w:rsidRPr="008E73D9" w:rsidRDefault="00D61FB3" w:rsidP="00403165">
      <w:pPr>
        <w:pStyle w:val="ListParagraph"/>
        <w:ind w:left="0" w:firstLine="720"/>
        <w:jc w:val="both"/>
        <w:rPr>
          <w:color w:val="FF0000"/>
        </w:rPr>
      </w:pPr>
      <w:r w:rsidRPr="008E73D9">
        <w:t xml:space="preserve">The first column </w:t>
      </w:r>
      <w:r w:rsidR="00C70BAD" w:rsidRPr="008E73D9">
        <w:t xml:space="preserve">of Table </w:t>
      </w:r>
      <w:r w:rsidR="005633EB" w:rsidRPr="008E73D9">
        <w:t>5</w:t>
      </w:r>
      <w:r w:rsidR="00C70BAD" w:rsidRPr="008E73D9">
        <w:t xml:space="preserve"> </w:t>
      </w:r>
      <w:r w:rsidRPr="008E73D9">
        <w:t>reports the results for the self-insurance equation. Consistent with our conjecture, size is positively related to self-insurance, suggesting that larger firms are more likely to self-insure. Also consistent with our hypothesis</w:t>
      </w:r>
      <w:r w:rsidR="002729B1" w:rsidRPr="008E73D9">
        <w:t xml:space="preserve"> is the finding that </w:t>
      </w:r>
      <w:r w:rsidRPr="008E73D9">
        <w:t>opacity is negatively related to the decision to self-insure</w:t>
      </w:r>
      <w:r w:rsidR="00C70BAD" w:rsidRPr="008E73D9">
        <w:t>. Manufacturers with a larger proportion of intangible assets</w:t>
      </w:r>
      <w:r w:rsidR="00A51113" w:rsidRPr="008E73D9">
        <w:t xml:space="preserve"> are less likely to self-insure </w:t>
      </w:r>
      <w:r w:rsidR="003247F4" w:rsidRPr="008E73D9">
        <w:t>partly because their workers are less subject to work-related injuries</w:t>
      </w:r>
      <w:r w:rsidRPr="008E73D9">
        <w:t xml:space="preserve">. We also find weak evidence that firms headquartered in California are more likely to self-insure. </w:t>
      </w:r>
      <w:r w:rsidR="00835A73" w:rsidRPr="008E73D9">
        <w:t xml:space="preserve">In addition, firms in the food, </w:t>
      </w:r>
      <w:r w:rsidR="00835A73" w:rsidRPr="008E73D9">
        <w:rPr>
          <w:szCs w:val="20"/>
        </w:rPr>
        <w:t xml:space="preserve">paper, beverage and petroleum products sector are more likely to self-insure. </w:t>
      </w:r>
      <w:r w:rsidRPr="008E73D9">
        <w:t xml:space="preserve">On the other hand, we find that firms with more cash are less likely to self-insure. </w:t>
      </w:r>
      <w:r w:rsidR="00833BEC" w:rsidRPr="008E73D9">
        <w:t xml:space="preserve">This result is the opposite </w:t>
      </w:r>
      <w:r w:rsidR="00885B8F" w:rsidRPr="008E73D9">
        <w:t xml:space="preserve">of </w:t>
      </w:r>
      <w:r w:rsidR="00833BEC" w:rsidRPr="008E73D9">
        <w:rPr>
          <w:color w:val="C00000"/>
        </w:rPr>
        <w:t xml:space="preserve">Chang (2008) </w:t>
      </w:r>
      <w:r w:rsidR="00833BEC" w:rsidRPr="008E73D9">
        <w:t xml:space="preserve">that self-insurance is widely used by nonprofit hospitals </w:t>
      </w:r>
      <w:r w:rsidR="00672341" w:rsidRPr="008E73D9">
        <w:t xml:space="preserve">with </w:t>
      </w:r>
      <w:r w:rsidR="00885B8F" w:rsidRPr="008E73D9">
        <w:t xml:space="preserve">large cash reserves. This difference may be due to the fact that </w:t>
      </w:r>
      <w:r w:rsidR="00885B8F" w:rsidRPr="008E73D9">
        <w:lastRenderedPageBreak/>
        <w:t xml:space="preserve">all manufactures are purely for-profit and </w:t>
      </w:r>
      <w:r w:rsidR="00BE6B54" w:rsidRPr="008E73D9">
        <w:t>characterized by alienable residual claims to cash flows.</w:t>
      </w:r>
      <w:r w:rsidR="00EC4510" w:rsidRPr="008E73D9">
        <w:t xml:space="preserve"> </w:t>
      </w:r>
      <w:r w:rsidR="00E52B25" w:rsidRPr="008E73D9">
        <w:t xml:space="preserve">One possible conjecture is that firms with higher cash and marketable securities may be more financially conservative, reflecting risk aversion from the management’s side. The risk-averse management is more likely to transfer the liability risk by purchasing insurance, than to self-insure.  </w:t>
      </w:r>
    </w:p>
    <w:p w14:paraId="7A2662AC" w14:textId="77777777" w:rsidR="00D61FB3" w:rsidRPr="008E73D9" w:rsidRDefault="00D61FB3" w:rsidP="00D61FB3">
      <w:pPr>
        <w:pStyle w:val="ListParagraph"/>
        <w:ind w:left="0" w:firstLine="720"/>
        <w:jc w:val="both"/>
      </w:pPr>
    </w:p>
    <w:p w14:paraId="2DA44723" w14:textId="7E451E56" w:rsidR="00D61FB3" w:rsidRPr="008E73D9" w:rsidRDefault="00D61FB3" w:rsidP="00D61FB3">
      <w:pPr>
        <w:pStyle w:val="ListParagraph"/>
        <w:ind w:left="0" w:firstLine="720"/>
        <w:jc w:val="both"/>
      </w:pPr>
      <w:r w:rsidRPr="008E73D9">
        <w:t xml:space="preserve">The second column </w:t>
      </w:r>
      <w:r w:rsidR="00E97738" w:rsidRPr="008E73D9">
        <w:t xml:space="preserve">of Table 5 </w:t>
      </w:r>
      <w:r w:rsidRPr="008E73D9">
        <w:t>reports the effect of self-insurance on firm value, measured by Q ratio. The results show that for the full sample over 1970-2015, self-insurance is negatively related to Q</w:t>
      </w:r>
      <w:r w:rsidR="00835A73" w:rsidRPr="008E73D9">
        <w:t xml:space="preserve"> but the coefficient is not statistically significant</w:t>
      </w:r>
      <w:r w:rsidRPr="008E73D9">
        <w:t xml:space="preserve">. This suggests that self-insurance appears not to have any positive effect on firm value. If self-insurance has no positive impact on firm value, the motivation for self-insurance may be attributable to managers’ risk preference for personal utility maximization purposes. However, as we explore the effect of self-insurance on Q over different time periods, we find that the effect is time-varying. </w:t>
      </w:r>
    </w:p>
    <w:p w14:paraId="1249DDDD" w14:textId="77777777" w:rsidR="00D61FB3" w:rsidRPr="008E73D9" w:rsidRDefault="00D61FB3" w:rsidP="00D61FB3">
      <w:pPr>
        <w:pStyle w:val="ListParagraph"/>
        <w:ind w:left="0" w:firstLine="720"/>
        <w:jc w:val="both"/>
      </w:pPr>
    </w:p>
    <w:p w14:paraId="69E08EE4" w14:textId="7907E877" w:rsidR="00803CC8" w:rsidRPr="008E73D9" w:rsidRDefault="00023A4E" w:rsidP="00023A4E">
      <w:pPr>
        <w:pStyle w:val="ListParagraph"/>
        <w:ind w:left="0" w:firstLine="720"/>
        <w:jc w:val="both"/>
      </w:pPr>
      <w:r w:rsidRPr="008E73D9">
        <w:t xml:space="preserve">In order to check </w:t>
      </w:r>
      <w:r w:rsidR="008B0181" w:rsidRPr="008E73D9">
        <w:t xml:space="preserve">whether our </w:t>
      </w:r>
      <w:r w:rsidRPr="008E73D9">
        <w:t xml:space="preserve">results are consistent </w:t>
      </w:r>
      <w:r w:rsidR="002729B1" w:rsidRPr="008E73D9">
        <w:t>throughout the entire sample period</w:t>
      </w:r>
      <w:r w:rsidR="002B5054" w:rsidRPr="008E73D9">
        <w:t>, we</w:t>
      </w:r>
      <w:r w:rsidRPr="008E73D9">
        <w:t xml:space="preserve"> </w:t>
      </w:r>
      <w:r w:rsidR="002B5054" w:rsidRPr="008E73D9">
        <w:t xml:space="preserve">further </w:t>
      </w:r>
      <w:r w:rsidR="0001542E" w:rsidRPr="008E73D9">
        <w:t xml:space="preserve">estimate the model </w:t>
      </w:r>
      <w:r w:rsidR="008E73D9" w:rsidRPr="008E73D9">
        <w:t xml:space="preserve">for </w:t>
      </w:r>
      <w:r w:rsidR="0001542E" w:rsidRPr="008E73D9">
        <w:t xml:space="preserve">each of </w:t>
      </w:r>
      <w:r w:rsidR="008E73D9" w:rsidRPr="008E73D9">
        <w:t xml:space="preserve">the following </w:t>
      </w:r>
      <w:r w:rsidR="000E5EC8" w:rsidRPr="008E73D9">
        <w:t>four t</w:t>
      </w:r>
      <w:r w:rsidRPr="008E73D9">
        <w:t>ime periods</w:t>
      </w:r>
      <w:r w:rsidR="002B5054" w:rsidRPr="008E73D9">
        <w:t xml:space="preserve"> that carry different economic characteristics</w:t>
      </w:r>
      <w:r w:rsidRPr="008E73D9">
        <w:t>: 1970</w:t>
      </w:r>
      <w:r w:rsidR="008701FF" w:rsidRPr="008E73D9">
        <w:t>–</w:t>
      </w:r>
      <w:r w:rsidRPr="008E73D9">
        <w:t>1983 (pre-crisis years), 1984</w:t>
      </w:r>
      <w:r w:rsidR="008701FF" w:rsidRPr="008E73D9">
        <w:t>–</w:t>
      </w:r>
      <w:r w:rsidRPr="008E73D9">
        <w:t>1985 (crisis years), 1986</w:t>
      </w:r>
      <w:r w:rsidR="008701FF" w:rsidRPr="008E73D9">
        <w:t>–</w:t>
      </w:r>
      <w:r w:rsidRPr="008E73D9">
        <w:t>1999 (post-crisis years), and 2000</w:t>
      </w:r>
      <w:r w:rsidR="008701FF" w:rsidRPr="008E73D9">
        <w:t>–</w:t>
      </w:r>
      <w:r w:rsidRPr="008E73D9">
        <w:t xml:space="preserve">2015 (new millennial years). According to </w:t>
      </w:r>
      <w:r w:rsidRPr="008E73D9">
        <w:rPr>
          <w:color w:val="C00000"/>
        </w:rPr>
        <w:t>Chidambaran et al. (1997)</w:t>
      </w:r>
      <w:r w:rsidRPr="008E73D9">
        <w:t xml:space="preserve">, 1984 and 1985 are generally viewed as liability insurance crisis years, so we treat these two years as a stand-alone period. </w:t>
      </w:r>
      <w:r w:rsidR="009236BF" w:rsidRPr="008E73D9">
        <w:t xml:space="preserve">In fact, </w:t>
      </w:r>
      <w:r w:rsidR="006B3106" w:rsidRPr="008E73D9">
        <w:t xml:space="preserve">the </w:t>
      </w:r>
      <w:r w:rsidR="002B5054" w:rsidRPr="008E73D9">
        <w:t xml:space="preserve">manufacturing </w:t>
      </w:r>
      <w:r w:rsidR="006B3106" w:rsidRPr="008E73D9">
        <w:t xml:space="preserve">workforce has dwindled </w:t>
      </w:r>
      <w:r w:rsidR="009236BF" w:rsidRPr="008E73D9">
        <w:t xml:space="preserve">in the past </w:t>
      </w:r>
      <w:r w:rsidR="00F1056D" w:rsidRPr="008E73D9">
        <w:t>several d</w:t>
      </w:r>
      <w:r w:rsidR="009236BF" w:rsidRPr="008E73D9">
        <w:t xml:space="preserve">ecades. </w:t>
      </w:r>
      <w:r w:rsidR="002B5054" w:rsidRPr="008E73D9">
        <w:t>For instance, i</w:t>
      </w:r>
      <w:r w:rsidRPr="008E73D9">
        <w:t xml:space="preserve">n the 1970s, the manufacturing industry is so critical to </w:t>
      </w:r>
      <w:r w:rsidR="00ED76CF" w:rsidRPr="008E73D9">
        <w:t xml:space="preserve">the U.S. </w:t>
      </w:r>
      <w:r w:rsidRPr="008E73D9">
        <w:t>economy that about o</w:t>
      </w:r>
      <w:r w:rsidR="001C33FC" w:rsidRPr="008E73D9">
        <w:t xml:space="preserve">ne in every </w:t>
      </w:r>
      <w:r w:rsidR="009D50BB" w:rsidRPr="008E73D9">
        <w:t>four</w:t>
      </w:r>
      <w:r w:rsidR="001C33FC" w:rsidRPr="008E73D9">
        <w:t xml:space="preserve"> employees in the </w:t>
      </w:r>
      <w:r w:rsidR="00E97738" w:rsidRPr="008E73D9">
        <w:t>U.</w:t>
      </w:r>
      <w:r w:rsidRPr="008E73D9">
        <w:t>S</w:t>
      </w:r>
      <w:r w:rsidR="000E5EC8" w:rsidRPr="008E73D9">
        <w:t>.</w:t>
      </w:r>
      <w:r w:rsidRPr="008E73D9">
        <w:t xml:space="preserve"> is hired by manufacturing companies.</w:t>
      </w:r>
      <w:r w:rsidR="001C33FC" w:rsidRPr="008E73D9">
        <w:rPr>
          <w:rStyle w:val="FootnoteReference"/>
        </w:rPr>
        <w:footnoteReference w:id="6"/>
      </w:r>
      <w:r w:rsidRPr="008E73D9">
        <w:t xml:space="preserve"> The ratio of manufacturing employment in the nation drops to </w:t>
      </w:r>
      <w:r w:rsidR="000E5EC8" w:rsidRPr="008E73D9">
        <w:t xml:space="preserve">just </w:t>
      </w:r>
      <w:r w:rsidRPr="008E73D9">
        <w:t xml:space="preserve">15% in 1999 and further to 8.8% in 2015. </w:t>
      </w:r>
      <w:r w:rsidR="000E5EC8" w:rsidRPr="008E73D9">
        <w:t xml:space="preserve">Nowadays, </w:t>
      </w:r>
      <w:r w:rsidR="00ED76CF" w:rsidRPr="008E73D9">
        <w:t xml:space="preserve">fewer than </w:t>
      </w:r>
      <w:r w:rsidR="000E5EC8" w:rsidRPr="008E73D9">
        <w:t>one o</w:t>
      </w:r>
      <w:r w:rsidR="00F1056D" w:rsidRPr="008E73D9">
        <w:t xml:space="preserve">ut of ten </w:t>
      </w:r>
      <w:r w:rsidR="00E009B4" w:rsidRPr="008E73D9">
        <w:t>American</w:t>
      </w:r>
      <w:r w:rsidR="009D50BB" w:rsidRPr="008E73D9">
        <w:t xml:space="preserve"> employees</w:t>
      </w:r>
      <w:r w:rsidR="00E009B4" w:rsidRPr="008E73D9">
        <w:t xml:space="preserve"> works in this sector</w:t>
      </w:r>
      <w:r w:rsidR="000E5EC8" w:rsidRPr="008E73D9">
        <w:t xml:space="preserve">. </w:t>
      </w:r>
      <w:r w:rsidR="00FC4DC2" w:rsidRPr="008E73D9">
        <w:t>By contrast</w:t>
      </w:r>
      <w:r w:rsidR="002B5054" w:rsidRPr="008E73D9">
        <w:t xml:space="preserve">, </w:t>
      </w:r>
      <w:r w:rsidR="00B86F93" w:rsidRPr="008E73D9">
        <w:t xml:space="preserve">the </w:t>
      </w:r>
      <w:r w:rsidR="00C83FB8" w:rsidRPr="008E73D9">
        <w:t xml:space="preserve">choice of </w:t>
      </w:r>
      <w:r w:rsidR="002B5054" w:rsidRPr="008E73D9">
        <w:t xml:space="preserve">self-insurance </w:t>
      </w:r>
      <w:r w:rsidR="006B3106" w:rsidRPr="008E73D9">
        <w:t xml:space="preserve">has </w:t>
      </w:r>
      <w:r w:rsidR="00C83FB8" w:rsidRPr="008E73D9">
        <w:t>experienced a steady increase over the sample period</w:t>
      </w:r>
      <w:r w:rsidR="00B86F93" w:rsidRPr="008E73D9">
        <w:t xml:space="preserve">. </w:t>
      </w:r>
      <w:r w:rsidR="002B5054" w:rsidRPr="008E73D9">
        <w:t>Th</w:t>
      </w:r>
      <w:r w:rsidR="00994862" w:rsidRPr="008E73D9">
        <w:t>e share of WC benefits paid by self-insured employers</w:t>
      </w:r>
      <w:r w:rsidR="002B5054" w:rsidRPr="008E73D9">
        <w:t xml:space="preserve"> </w:t>
      </w:r>
      <w:r w:rsidR="00FC4DC2" w:rsidRPr="008E73D9">
        <w:t>grow</w:t>
      </w:r>
      <w:r w:rsidR="002B5054" w:rsidRPr="008E73D9">
        <w:t xml:space="preserve">s from 14.3% in 1970 to 18.5% in 1983 in the </w:t>
      </w:r>
      <w:r w:rsidR="00994862" w:rsidRPr="008E73D9">
        <w:t xml:space="preserve">pre-crisis period </w:t>
      </w:r>
      <w:r w:rsidR="00D75ADC" w:rsidRPr="008E73D9">
        <w:t xml:space="preserve">according to </w:t>
      </w:r>
      <w:r w:rsidR="00D75ADC" w:rsidRPr="008E73D9">
        <w:rPr>
          <w:color w:val="C00000"/>
        </w:rPr>
        <w:t>Sengupta and Baldwin (2015)</w:t>
      </w:r>
      <w:r w:rsidR="00994862" w:rsidRPr="008E73D9">
        <w:t xml:space="preserve">. </w:t>
      </w:r>
      <w:r w:rsidR="002B5054" w:rsidRPr="008E73D9">
        <w:t xml:space="preserve">The growth slows down </w:t>
      </w:r>
      <w:r w:rsidR="00B86F93" w:rsidRPr="008E73D9">
        <w:t xml:space="preserve">in </w:t>
      </w:r>
      <w:r w:rsidR="00994862" w:rsidRPr="008E73D9">
        <w:t xml:space="preserve">the post-crisis period </w:t>
      </w:r>
      <w:r w:rsidR="00B86F93" w:rsidRPr="008E73D9">
        <w:t xml:space="preserve">as this </w:t>
      </w:r>
      <w:r w:rsidR="00994862" w:rsidRPr="008E73D9">
        <w:t xml:space="preserve">share </w:t>
      </w:r>
      <w:r w:rsidR="00F1056D" w:rsidRPr="008E73D9">
        <w:t xml:space="preserve">reaches </w:t>
      </w:r>
      <w:r w:rsidR="0088377D" w:rsidRPr="008E73D9">
        <w:t xml:space="preserve">at </w:t>
      </w:r>
      <w:r w:rsidR="00994862" w:rsidRPr="008E73D9">
        <w:t xml:space="preserve">21.6% in 1999. In the new millennial period, this share is </w:t>
      </w:r>
      <w:r w:rsidR="00B86F93" w:rsidRPr="008E73D9">
        <w:t xml:space="preserve">pretty stable and </w:t>
      </w:r>
      <w:r w:rsidR="00241760" w:rsidRPr="008E73D9">
        <w:t xml:space="preserve">stagnant, </w:t>
      </w:r>
      <w:r w:rsidR="00994862" w:rsidRPr="008E73D9">
        <w:t xml:space="preserve">hovering between 22% and 24%. </w:t>
      </w:r>
      <w:r w:rsidR="00FC4DC2" w:rsidRPr="008E73D9">
        <w:t>In addition, t</w:t>
      </w:r>
      <w:r w:rsidR="00281945" w:rsidRPr="008E73D9">
        <w:t>he subsequent years after the liability cr</w:t>
      </w:r>
      <w:r w:rsidR="00B86F93" w:rsidRPr="008E73D9">
        <w:t xml:space="preserve">isis (1986 through 1999) </w:t>
      </w:r>
      <w:r w:rsidR="00281945" w:rsidRPr="008E73D9">
        <w:t xml:space="preserve">reflect the development of the </w:t>
      </w:r>
      <w:r w:rsidR="00241760" w:rsidRPr="008E73D9">
        <w:t xml:space="preserve">insurance </w:t>
      </w:r>
      <w:r w:rsidR="00281945" w:rsidRPr="008E73D9">
        <w:t xml:space="preserve">cycle as the </w:t>
      </w:r>
      <w:r w:rsidR="0088011E" w:rsidRPr="008E73D9">
        <w:t xml:space="preserve">insurance </w:t>
      </w:r>
      <w:r w:rsidR="00281945" w:rsidRPr="008E73D9">
        <w:t>industry recovered from the trough of the cycle. The new millen</w:t>
      </w:r>
      <w:r w:rsidRPr="008E73D9">
        <w:t xml:space="preserve">nial period features </w:t>
      </w:r>
      <w:r w:rsidR="0088011E" w:rsidRPr="008E73D9">
        <w:t xml:space="preserve">a different </w:t>
      </w:r>
      <w:r w:rsidR="005C489D" w:rsidRPr="008E73D9">
        <w:t>manufacturing landscape as the i</w:t>
      </w:r>
      <w:r w:rsidR="0088011E" w:rsidRPr="008E73D9">
        <w:t xml:space="preserve">nternet and innovation in </w:t>
      </w:r>
      <w:r w:rsidR="008701FF" w:rsidRPr="008E73D9">
        <w:t>technology pose new challenges and opportunities for manufacturers in the U.S. According to McKinsey 2012 report on manufacturing, manufacturing employment in advanced economies, including the U.S. has declined, while manufacturing productivity kept rising. The long-term trends that shape manufacturing in developed countries are innovation and produ</w:t>
      </w:r>
      <w:r w:rsidR="00217393" w:rsidRPr="008E73D9">
        <w:t>ctivity</w:t>
      </w:r>
      <w:r w:rsidR="00916E46" w:rsidRPr="008E73D9">
        <w:t xml:space="preserve"> as </w:t>
      </w:r>
      <w:r w:rsidR="00E5692D" w:rsidRPr="008E73D9">
        <w:t xml:space="preserve">many </w:t>
      </w:r>
      <w:r w:rsidR="00916E46" w:rsidRPr="008E73D9">
        <w:t>labor-in</w:t>
      </w:r>
      <w:r w:rsidR="00E5692D" w:rsidRPr="008E73D9">
        <w:t xml:space="preserve">tensive manufacturing jobs disappear </w:t>
      </w:r>
      <w:r w:rsidR="00C971BF" w:rsidRPr="008E73D9">
        <w:t xml:space="preserve">thanks to </w:t>
      </w:r>
      <w:r w:rsidR="00E5692D" w:rsidRPr="008E73D9">
        <w:t xml:space="preserve">productive </w:t>
      </w:r>
      <w:r w:rsidR="00916E46" w:rsidRPr="008E73D9">
        <w:t>automation</w:t>
      </w:r>
      <w:r w:rsidR="00E5692D" w:rsidRPr="008E73D9">
        <w:t xml:space="preserve"> and </w:t>
      </w:r>
      <w:r w:rsidR="00916E46" w:rsidRPr="008E73D9">
        <w:t xml:space="preserve">outsourcing to developing countries. </w:t>
      </w:r>
      <w:r w:rsidR="00217393" w:rsidRPr="008E73D9">
        <w:t xml:space="preserve">  </w:t>
      </w:r>
    </w:p>
    <w:p w14:paraId="5342F4EB" w14:textId="77777777" w:rsidR="00803CC8" w:rsidRPr="008E73D9" w:rsidRDefault="00803CC8" w:rsidP="006E1DBA">
      <w:pPr>
        <w:pStyle w:val="ListParagraph"/>
        <w:ind w:left="0" w:firstLine="720"/>
        <w:jc w:val="both"/>
      </w:pPr>
    </w:p>
    <w:p w14:paraId="36D11A16" w14:textId="7DFC3820" w:rsidR="00D61FB3" w:rsidRPr="008E73D9" w:rsidRDefault="00803CC8" w:rsidP="006E1DBA">
      <w:pPr>
        <w:pStyle w:val="ListParagraph"/>
        <w:ind w:left="0" w:firstLine="720"/>
        <w:jc w:val="both"/>
        <w:rPr>
          <w:color w:val="FF0000"/>
        </w:rPr>
      </w:pPr>
      <w:r w:rsidRPr="008E73D9">
        <w:t xml:space="preserve">Table 6 presents the results for </w:t>
      </w:r>
      <w:r w:rsidR="00217393" w:rsidRPr="008E73D9">
        <w:t xml:space="preserve">these </w:t>
      </w:r>
      <w:r w:rsidR="000E5EC8" w:rsidRPr="008E73D9">
        <w:t xml:space="preserve">four </w:t>
      </w:r>
      <w:r w:rsidRPr="008E73D9">
        <w:t>time period</w:t>
      </w:r>
      <w:r w:rsidR="00E97738" w:rsidRPr="008E73D9">
        <w:t>s</w:t>
      </w:r>
      <w:r w:rsidRPr="008E73D9">
        <w:t xml:space="preserve">. </w:t>
      </w:r>
      <w:r w:rsidR="00D61FB3" w:rsidRPr="008E73D9">
        <w:t xml:space="preserve">Panel A shows the Q equation results. </w:t>
      </w:r>
      <w:r w:rsidR="00E97738" w:rsidRPr="008E73D9">
        <w:t>We note that there is strong evidence showing that self-insurance increases firm value over the time period</w:t>
      </w:r>
      <w:r w:rsidR="0025524C" w:rsidRPr="008E73D9">
        <w:t>s</w:t>
      </w:r>
      <w:r w:rsidR="00E97738" w:rsidRPr="008E73D9">
        <w:t xml:space="preserve"> of 1970</w:t>
      </w:r>
      <w:r w:rsidR="00414733" w:rsidRPr="008E73D9">
        <w:t>–</w:t>
      </w:r>
      <w:r w:rsidR="00E97738" w:rsidRPr="008E73D9">
        <w:t>1983 and 1986</w:t>
      </w:r>
      <w:r w:rsidR="00414733" w:rsidRPr="008E73D9">
        <w:t>–</w:t>
      </w:r>
      <w:r w:rsidR="00E97738" w:rsidRPr="008E73D9">
        <w:t>1999, but decreases firm value over the period of 2000</w:t>
      </w:r>
      <w:r w:rsidR="00414733" w:rsidRPr="008E73D9">
        <w:t>–</w:t>
      </w:r>
      <w:r w:rsidR="00E97738" w:rsidRPr="008E73D9">
        <w:t xml:space="preserve">2015. </w:t>
      </w:r>
      <w:r w:rsidR="00D61FB3" w:rsidRPr="008E73D9">
        <w:t xml:space="preserve">The results </w:t>
      </w:r>
      <w:r w:rsidR="00E97738" w:rsidRPr="008E73D9">
        <w:t xml:space="preserve">also </w:t>
      </w:r>
      <w:r w:rsidR="00D61FB3" w:rsidRPr="008E73D9">
        <w:t xml:space="preserve">suggest that self-insurance is negatively related to firm value over the </w:t>
      </w:r>
      <w:r w:rsidR="00E97738" w:rsidRPr="008E73D9">
        <w:t xml:space="preserve">liability crisis </w:t>
      </w:r>
      <w:r w:rsidR="00D61FB3" w:rsidRPr="008E73D9">
        <w:t>period of 1984</w:t>
      </w:r>
      <w:r w:rsidR="0025524C" w:rsidRPr="008E73D9">
        <w:t>–</w:t>
      </w:r>
      <w:r w:rsidR="00802634" w:rsidRPr="008E73D9">
        <w:t xml:space="preserve">1985, although the coefficient is </w:t>
      </w:r>
      <w:r w:rsidR="00D61FB3" w:rsidRPr="008E73D9">
        <w:t xml:space="preserve">not statistically significant. </w:t>
      </w:r>
      <w:r w:rsidR="00BE5ECF" w:rsidRPr="008E73D9">
        <w:t xml:space="preserve">One implication from this conflicting effect of self-insurance on firm value may be due to </w:t>
      </w:r>
      <w:r w:rsidR="00403165" w:rsidRPr="008E73D9">
        <w:lastRenderedPageBreak/>
        <w:t xml:space="preserve">different economic environments </w:t>
      </w:r>
      <w:r w:rsidR="0025524C" w:rsidRPr="008E73D9">
        <w:t xml:space="preserve">facing </w:t>
      </w:r>
      <w:r w:rsidR="00403165" w:rsidRPr="008E73D9">
        <w:t>manufacturers over the years.</w:t>
      </w:r>
      <w:r w:rsidR="00AD6BFC" w:rsidRPr="008E73D9">
        <w:t xml:space="preserve"> </w:t>
      </w:r>
      <w:r w:rsidR="006E1DBA" w:rsidRPr="008E73D9">
        <w:t>The cost-effective benefit of self-in</w:t>
      </w:r>
      <w:r w:rsidR="0025524C" w:rsidRPr="008E73D9">
        <w:t>surance is not sufficient</w:t>
      </w:r>
      <w:r w:rsidR="006E1DBA" w:rsidRPr="008E73D9">
        <w:t xml:space="preserve"> to enhance firm value of self-insured manufacturers in the new millennial period as a result of </w:t>
      </w:r>
      <w:r w:rsidR="005C67CC" w:rsidRPr="008E73D9">
        <w:t>declining</w:t>
      </w:r>
      <w:r w:rsidR="0025524C" w:rsidRPr="008E73D9">
        <w:t xml:space="preserve"> manufacturing employment</w:t>
      </w:r>
      <w:r w:rsidR="006E1DBA" w:rsidRPr="008E73D9">
        <w:t xml:space="preserve">. </w:t>
      </w:r>
      <w:r w:rsidR="00D61FB3" w:rsidRPr="008E73D9">
        <w:t xml:space="preserve">Among the control variables, we find that ROA is positively related to firm value and the results are consistent across all sub-sample periods. In addition, we note that </w:t>
      </w:r>
      <w:r w:rsidR="00107139" w:rsidRPr="008E73D9">
        <w:t xml:space="preserve">size and </w:t>
      </w:r>
      <w:r w:rsidR="00D61FB3" w:rsidRPr="008E73D9">
        <w:t xml:space="preserve">leverage seems to be </w:t>
      </w:r>
      <w:r w:rsidR="00107139" w:rsidRPr="008E73D9">
        <w:t xml:space="preserve">negatively </w:t>
      </w:r>
      <w:r w:rsidR="00D61FB3" w:rsidRPr="008E73D9">
        <w:t xml:space="preserve">related to firm value. </w:t>
      </w:r>
    </w:p>
    <w:p w14:paraId="0EE29DAE" w14:textId="77777777" w:rsidR="00D61FB3" w:rsidRPr="008E73D9" w:rsidRDefault="00D61FB3" w:rsidP="00D61FB3">
      <w:pPr>
        <w:pStyle w:val="ListParagraph"/>
        <w:ind w:left="0" w:firstLine="720"/>
        <w:jc w:val="both"/>
      </w:pPr>
    </w:p>
    <w:p w14:paraId="26C7CDF7" w14:textId="50021870" w:rsidR="00D61FB3" w:rsidRPr="008E73D9" w:rsidRDefault="00D61FB3" w:rsidP="00D61FB3">
      <w:pPr>
        <w:pStyle w:val="ListParagraph"/>
        <w:ind w:left="0" w:firstLine="720"/>
        <w:jc w:val="both"/>
      </w:pPr>
      <w:r w:rsidRPr="008E73D9">
        <w:t xml:space="preserve">Panel B </w:t>
      </w:r>
      <w:r w:rsidR="00217393" w:rsidRPr="008E73D9">
        <w:t xml:space="preserve">of Table 6 </w:t>
      </w:r>
      <w:r w:rsidRPr="008E73D9">
        <w:t xml:space="preserve">shows the self-insurance equation results. Size is positively related to self-insurance, and the effect is consistent and statistically significant across all sub-sample periods. Opacity is negatively related to self-insurance, although the relation is statistically significant only after 1985. </w:t>
      </w:r>
      <w:r w:rsidR="00F46F9D" w:rsidRPr="008E73D9">
        <w:t xml:space="preserve">Slack is negatively related self-insurance, and the relation is statistically significant during 1984-85 and after year 2000. Companies with a higher slack can also be viewed as financially more conservative. This may be due to managers’ risk aversion. Risk-averse managers may choose not to self-insure but rather purchasing insurance instead to transfer the liability risk.  </w:t>
      </w:r>
      <w:r w:rsidRPr="008E73D9">
        <w:t xml:space="preserve">There is also some evidence that after year 2000, firms with headquarters in California are more likely to self-insure. </w:t>
      </w:r>
    </w:p>
    <w:p w14:paraId="5A354795" w14:textId="77777777" w:rsidR="00D61FB3" w:rsidRPr="008E73D9" w:rsidRDefault="00D61FB3" w:rsidP="00D61FB3">
      <w:pPr>
        <w:pStyle w:val="ListParagraph"/>
        <w:ind w:left="0" w:firstLine="720"/>
        <w:jc w:val="both"/>
      </w:pPr>
    </w:p>
    <w:p w14:paraId="49080A93" w14:textId="77777777" w:rsidR="00D61FB3" w:rsidRPr="008E73D9" w:rsidRDefault="00D61FB3" w:rsidP="004A218F">
      <w:pPr>
        <w:pStyle w:val="ListParagraph"/>
        <w:ind w:left="0" w:firstLine="720"/>
        <w:jc w:val="both"/>
      </w:pPr>
    </w:p>
    <w:p w14:paraId="548A9560" w14:textId="77777777" w:rsidR="003C3F80" w:rsidRPr="008E73D9" w:rsidRDefault="003C3F80" w:rsidP="003C3F80">
      <w:pPr>
        <w:numPr>
          <w:ilvl w:val="0"/>
          <w:numId w:val="1"/>
        </w:numPr>
        <w:tabs>
          <w:tab w:val="clear" w:pos="720"/>
        </w:tabs>
        <w:spacing w:line="480" w:lineRule="auto"/>
        <w:ind w:left="180"/>
        <w:jc w:val="center"/>
        <w:rPr>
          <w:b/>
          <w:color w:val="0000FF"/>
        </w:rPr>
      </w:pPr>
      <w:r w:rsidRPr="008E73D9">
        <w:rPr>
          <w:b/>
          <w:color w:val="0000FF"/>
        </w:rPr>
        <w:t>Conclusion</w:t>
      </w:r>
    </w:p>
    <w:p w14:paraId="639153E6" w14:textId="44B3CB43" w:rsidR="003C3F80" w:rsidRPr="008E73D9" w:rsidRDefault="00BF035F" w:rsidP="003C3F80">
      <w:pPr>
        <w:ind w:firstLine="720"/>
        <w:jc w:val="both"/>
      </w:pPr>
      <w:r w:rsidRPr="008E73D9">
        <w:t xml:space="preserve">WC is one of main </w:t>
      </w:r>
      <w:r w:rsidR="003C3F80" w:rsidRPr="008E73D9">
        <w:t>property/casualty loss exposures</w:t>
      </w:r>
      <w:r w:rsidRPr="008E73D9">
        <w:t xml:space="preserve"> that </w:t>
      </w:r>
      <w:r w:rsidR="00B6393E" w:rsidRPr="008E73D9">
        <w:t xml:space="preserve">challenge </w:t>
      </w:r>
      <w:r w:rsidR="003C3F80" w:rsidRPr="008E73D9">
        <w:t xml:space="preserve">employers in </w:t>
      </w:r>
      <w:r w:rsidR="00846A3B" w:rsidRPr="008E73D9">
        <w:t>America</w:t>
      </w:r>
      <w:r w:rsidR="003C3F80" w:rsidRPr="008E73D9">
        <w:t>.</w:t>
      </w:r>
      <w:r w:rsidR="00846A3B" w:rsidRPr="008E73D9">
        <w:t xml:space="preserve"> </w:t>
      </w:r>
      <w:r w:rsidRPr="008E73D9">
        <w:t xml:space="preserve"> </w:t>
      </w:r>
      <w:r w:rsidR="00A648AE" w:rsidRPr="008E73D9">
        <w:t>One way or the other, e</w:t>
      </w:r>
      <w:r w:rsidR="00F37752" w:rsidRPr="008E73D9">
        <w:t xml:space="preserve">mployers have to make a decision on whether to purchase insurance or self-insure. </w:t>
      </w:r>
      <w:r w:rsidR="001640A5" w:rsidRPr="008E73D9">
        <w:t>The traditional risk-financing method is to purchase market insurance and transfer the financial responsibility for WC losses to carriers. Alternative</w:t>
      </w:r>
      <w:r w:rsidR="00B450C3" w:rsidRPr="008E73D9">
        <w:t>ly</w:t>
      </w:r>
      <w:r w:rsidR="001640A5" w:rsidRPr="008E73D9">
        <w:t xml:space="preserve">, the employer may retain WC risk by putting a </w:t>
      </w:r>
      <w:r w:rsidRPr="008E73D9">
        <w:t>s</w:t>
      </w:r>
      <w:r w:rsidR="003C3F80" w:rsidRPr="008E73D9">
        <w:t>elf-insurance</w:t>
      </w:r>
      <w:r w:rsidR="001640A5" w:rsidRPr="008E73D9">
        <w:t xml:space="preserve"> program in place. </w:t>
      </w:r>
      <w:r w:rsidR="00FB2E44" w:rsidRPr="008E73D9">
        <w:t xml:space="preserve">The key belief behind self-insurance is that it will be cheaper in the long run. Cost control is the main benefit of this alternative risk transfer technique. </w:t>
      </w:r>
      <w:r w:rsidR="003C3F80" w:rsidRPr="008E73D9">
        <w:t xml:space="preserve">However, </w:t>
      </w:r>
      <w:r w:rsidR="00675C32" w:rsidRPr="008E73D9">
        <w:t xml:space="preserve">it is not clear whether using self-insurance as an alternative risk financial tool enhances firm value. </w:t>
      </w:r>
      <w:r w:rsidR="003C3F80" w:rsidRPr="008E73D9">
        <w:t xml:space="preserve">This research examines </w:t>
      </w:r>
      <w:r w:rsidR="001640A5" w:rsidRPr="008E73D9">
        <w:t xml:space="preserve">the impact of self-insurance on firm values </w:t>
      </w:r>
      <w:r w:rsidR="003C3F80" w:rsidRPr="008E73D9">
        <w:t xml:space="preserve">among </w:t>
      </w:r>
      <w:r w:rsidR="00675C32" w:rsidRPr="008E73D9">
        <w:t xml:space="preserve">publicly traded </w:t>
      </w:r>
      <w:r w:rsidR="003C3F80" w:rsidRPr="008E73D9">
        <w:t xml:space="preserve">manufacturers with </w:t>
      </w:r>
      <w:r w:rsidR="003F3743" w:rsidRPr="008E73D9">
        <w:t>at least 1,000</w:t>
      </w:r>
      <w:r w:rsidR="003C3F80" w:rsidRPr="008E73D9">
        <w:t xml:space="preserve"> employees</w:t>
      </w:r>
      <w:r w:rsidR="009D50BB" w:rsidRPr="008E73D9">
        <w:t xml:space="preserve"> in CA</w:t>
      </w:r>
      <w:r w:rsidR="003C3F80" w:rsidRPr="008E73D9">
        <w:t xml:space="preserve">. </w:t>
      </w:r>
    </w:p>
    <w:p w14:paraId="594C7818" w14:textId="77777777" w:rsidR="00DB24B9" w:rsidRPr="008E73D9" w:rsidRDefault="00DB24B9" w:rsidP="003C3F80">
      <w:pPr>
        <w:ind w:firstLine="720"/>
        <w:jc w:val="both"/>
      </w:pPr>
    </w:p>
    <w:p w14:paraId="65A80CE1" w14:textId="4EF28254" w:rsidR="00D02DC9" w:rsidRPr="008E73D9" w:rsidRDefault="00D02DC9" w:rsidP="003C3F80">
      <w:pPr>
        <w:ind w:firstLine="720"/>
        <w:jc w:val="both"/>
      </w:pPr>
      <w:r w:rsidRPr="008E73D9">
        <w:t xml:space="preserve">This empirical study employs a maximum-likelihood treatment effects model that jointly estimate the determinants of self-insurance and the effect of self-insurance on firm value. We particularly select publicly traded manufacturers so we are able to calculate Tobin’s Q as a proxy for firm value for each firm in our sample over the years 1970 through </w:t>
      </w:r>
      <w:r w:rsidR="00D80522" w:rsidRPr="008E73D9">
        <w:t>2015</w:t>
      </w:r>
      <w:r w:rsidRPr="008E73D9">
        <w:t xml:space="preserve">. </w:t>
      </w:r>
      <w:r w:rsidR="007657CD" w:rsidRPr="008E73D9">
        <w:t xml:space="preserve">We find a positive relationship between firm value and self-insurance implementation among the manufacturers </w:t>
      </w:r>
      <w:r w:rsidR="007E4A87" w:rsidRPr="008E73D9">
        <w:t xml:space="preserve">during the </w:t>
      </w:r>
      <w:r w:rsidR="00F46F9D" w:rsidRPr="008E73D9">
        <w:t>pre-crisis period of 1970</w:t>
      </w:r>
      <w:r w:rsidR="00897182" w:rsidRPr="008E73D9">
        <w:t>–</w:t>
      </w:r>
      <w:r w:rsidR="00F46F9D" w:rsidRPr="008E73D9">
        <w:t xml:space="preserve">1983 and </w:t>
      </w:r>
      <w:r w:rsidR="00897182" w:rsidRPr="008E73D9">
        <w:t xml:space="preserve">the </w:t>
      </w:r>
      <w:r w:rsidR="007E4A87" w:rsidRPr="008E73D9">
        <w:t xml:space="preserve">post-crisis period </w:t>
      </w:r>
      <w:r w:rsidR="00897182" w:rsidRPr="008E73D9">
        <w:t xml:space="preserve">of </w:t>
      </w:r>
      <w:r w:rsidR="007E4A87" w:rsidRPr="008E73D9">
        <w:t>1986</w:t>
      </w:r>
      <w:r w:rsidR="00897182" w:rsidRPr="008E73D9">
        <w:t>–</w:t>
      </w:r>
      <w:r w:rsidR="007E4A87" w:rsidRPr="008E73D9">
        <w:t xml:space="preserve">1999. However, this result does not hold up in the crisis period </w:t>
      </w:r>
      <w:r w:rsidR="00897182" w:rsidRPr="008E73D9">
        <w:t xml:space="preserve">of </w:t>
      </w:r>
      <w:r w:rsidR="007E4A87" w:rsidRPr="008E73D9">
        <w:t>1984</w:t>
      </w:r>
      <w:r w:rsidR="00897182" w:rsidRPr="008E73D9">
        <w:t>–</w:t>
      </w:r>
      <w:r w:rsidR="007E4A87" w:rsidRPr="008E73D9">
        <w:t xml:space="preserve">1985 and </w:t>
      </w:r>
      <w:r w:rsidR="00897182" w:rsidRPr="008E73D9">
        <w:t xml:space="preserve">the </w:t>
      </w:r>
      <w:r w:rsidR="007E4A87" w:rsidRPr="008E73D9">
        <w:t xml:space="preserve">new millennial period </w:t>
      </w:r>
      <w:r w:rsidR="00897182" w:rsidRPr="008E73D9">
        <w:t xml:space="preserve">of </w:t>
      </w:r>
      <w:r w:rsidR="007E4A87" w:rsidRPr="008E73D9">
        <w:t>2000</w:t>
      </w:r>
      <w:r w:rsidR="00897182" w:rsidRPr="008E73D9">
        <w:t>–2015</w:t>
      </w:r>
      <w:r w:rsidR="007E4A87" w:rsidRPr="008E73D9">
        <w:t xml:space="preserve">. </w:t>
      </w:r>
    </w:p>
    <w:p w14:paraId="7B02FD9C" w14:textId="77777777" w:rsidR="00DB24B9" w:rsidRPr="008E73D9" w:rsidRDefault="00DB24B9" w:rsidP="003C3F80">
      <w:pPr>
        <w:ind w:firstLine="720"/>
        <w:jc w:val="both"/>
      </w:pPr>
    </w:p>
    <w:p w14:paraId="3CC83CC3" w14:textId="41643F25" w:rsidR="002834F1" w:rsidRPr="008E73D9" w:rsidRDefault="00AC3B95" w:rsidP="003C3F80">
      <w:pPr>
        <w:ind w:firstLine="720"/>
        <w:jc w:val="both"/>
      </w:pPr>
      <w:r w:rsidRPr="008E73D9">
        <w:t xml:space="preserve">Our study </w:t>
      </w:r>
      <w:r w:rsidR="00BE609B" w:rsidRPr="008E73D9">
        <w:t xml:space="preserve">breaks new ground </w:t>
      </w:r>
      <w:r w:rsidR="007E4A87" w:rsidRPr="008E73D9">
        <w:t xml:space="preserve">in </w:t>
      </w:r>
      <w:r w:rsidR="00BE609B" w:rsidRPr="008E73D9">
        <w:t xml:space="preserve">whether alternative risk transfer in the form of self-insurance is conducive to higher market valuation among manufacturers in CA. Much of the prior work provides valuable information about the corporate characteristics of self-insurers and economic factors associated with a higher self-insurance level in a state. </w:t>
      </w:r>
      <w:r w:rsidR="00BE66C6" w:rsidRPr="008E73D9">
        <w:t>However, i</w:t>
      </w:r>
      <w:r w:rsidR="00BE609B" w:rsidRPr="008E73D9">
        <w:t xml:space="preserve">t does not </w:t>
      </w:r>
      <w:r w:rsidR="00910B2F" w:rsidRPr="008E73D9">
        <w:t xml:space="preserve">answer the key question of whether there exists a relation between self-insurance and firm value. </w:t>
      </w:r>
      <w:r w:rsidR="00BE66C6" w:rsidRPr="008E73D9">
        <w:t>O</w:t>
      </w:r>
      <w:r w:rsidR="002834F1" w:rsidRPr="008E73D9">
        <w:t xml:space="preserve">ur research is </w:t>
      </w:r>
      <w:r w:rsidR="00BE66C6" w:rsidRPr="008E73D9">
        <w:t xml:space="preserve">essentially </w:t>
      </w:r>
      <w:r w:rsidR="002834F1" w:rsidRPr="008E73D9">
        <w:t>limited by a cou</w:t>
      </w:r>
      <w:r w:rsidR="00897182" w:rsidRPr="008E73D9">
        <w:t>ple of factors: (1) a</w:t>
      </w:r>
      <w:r w:rsidR="002834F1" w:rsidRPr="008E73D9">
        <w:t xml:space="preserve"> small number of </w:t>
      </w:r>
      <w:r w:rsidR="007E4A87" w:rsidRPr="008E73D9">
        <w:t xml:space="preserve">publicly owned manufacturing companies </w:t>
      </w:r>
      <w:r w:rsidR="002834F1" w:rsidRPr="008E73D9">
        <w:t xml:space="preserve">and (2) the manufacturing industry in a single state. These factors may </w:t>
      </w:r>
      <w:r w:rsidR="002834F1" w:rsidRPr="008E73D9">
        <w:lastRenderedPageBreak/>
        <w:t>reduce the extent to which our results address the value implication of self-insurance</w:t>
      </w:r>
      <w:r w:rsidR="00DB24B9" w:rsidRPr="008E73D9">
        <w:t xml:space="preserve"> nationwide</w:t>
      </w:r>
      <w:r w:rsidR="002834F1" w:rsidRPr="008E73D9">
        <w:t xml:space="preserve">. </w:t>
      </w:r>
      <w:r w:rsidR="00DB24B9" w:rsidRPr="008E73D9">
        <w:t xml:space="preserve">Therefore, additional research using aggregate data across all jurisdictions </w:t>
      </w:r>
      <w:r w:rsidR="00FB2E44" w:rsidRPr="008E73D9">
        <w:t>in the U.S</w:t>
      </w:r>
      <w:r w:rsidR="00846A3B" w:rsidRPr="008E73D9">
        <w:t xml:space="preserve">. </w:t>
      </w:r>
      <w:r w:rsidR="00DB24B9" w:rsidRPr="008E73D9">
        <w:t xml:space="preserve">would </w:t>
      </w:r>
      <w:r w:rsidR="00FB2E44" w:rsidRPr="008E73D9">
        <w:t xml:space="preserve">contribute to a better understanding of </w:t>
      </w:r>
      <w:r w:rsidR="00DB24B9" w:rsidRPr="008E73D9">
        <w:t>whether an alternative risk transfer in the form of self-insurance is related to firm value</w:t>
      </w:r>
      <w:r w:rsidR="001958D2" w:rsidRPr="008E73D9">
        <w:t xml:space="preserve"> at the national level</w:t>
      </w:r>
      <w:r w:rsidR="00DB24B9" w:rsidRPr="008E73D9">
        <w:t xml:space="preserve">. </w:t>
      </w:r>
    </w:p>
    <w:p w14:paraId="68CFDEAD" w14:textId="77777777" w:rsidR="002834F1" w:rsidRPr="008E73D9" w:rsidRDefault="002834F1" w:rsidP="003C3F80">
      <w:pPr>
        <w:ind w:firstLine="720"/>
        <w:jc w:val="both"/>
      </w:pPr>
    </w:p>
    <w:p w14:paraId="2C3B5468" w14:textId="77777777" w:rsidR="00F1056D" w:rsidRPr="008E73D9" w:rsidRDefault="00F1056D" w:rsidP="003C3F80">
      <w:pPr>
        <w:ind w:firstLine="720"/>
        <w:jc w:val="both"/>
      </w:pPr>
    </w:p>
    <w:p w14:paraId="099E8AE3" w14:textId="77777777" w:rsidR="003C3F80" w:rsidRPr="008E73D9" w:rsidRDefault="003C3F80" w:rsidP="003C3F80">
      <w:pPr>
        <w:spacing w:line="360" w:lineRule="auto"/>
        <w:rPr>
          <w:b/>
        </w:rPr>
      </w:pPr>
      <w:r w:rsidRPr="008E73D9">
        <w:rPr>
          <w:b/>
        </w:rPr>
        <w:t>References</w:t>
      </w:r>
    </w:p>
    <w:p w14:paraId="2242D97E" w14:textId="55C68FFC" w:rsidR="00721C9B" w:rsidRPr="008E73D9" w:rsidRDefault="00721C9B" w:rsidP="00721C9B">
      <w:pPr>
        <w:ind w:left="360" w:hanging="360"/>
        <w:jc w:val="both"/>
      </w:pPr>
      <w:r w:rsidRPr="008E73D9">
        <w:rPr>
          <w:rFonts w:eastAsiaTheme="minorEastAsia"/>
        </w:rPr>
        <w:t>Allayannis, G., and J. Weston, 2001, The Use of Foreign Currency Derivatives and Firm</w:t>
      </w:r>
      <w:r w:rsidRPr="008E73D9">
        <w:t xml:space="preserve"> </w:t>
      </w:r>
      <w:r w:rsidRPr="008E73D9">
        <w:rPr>
          <w:rFonts w:eastAsiaTheme="minorEastAsia"/>
        </w:rPr>
        <w:t xml:space="preserve">Market Value, </w:t>
      </w:r>
      <w:r w:rsidRPr="008E73D9">
        <w:rPr>
          <w:rFonts w:eastAsiaTheme="minorEastAsia"/>
          <w:i/>
          <w:iCs/>
        </w:rPr>
        <w:t>Review of Financial Studies</w:t>
      </w:r>
      <w:r w:rsidRPr="008E73D9">
        <w:rPr>
          <w:rFonts w:eastAsiaTheme="minorEastAsia"/>
        </w:rPr>
        <w:t>, 14: 243</w:t>
      </w:r>
      <w:r w:rsidR="003230EC" w:rsidRPr="008E73D9">
        <w:t>–</w:t>
      </w:r>
      <w:r w:rsidRPr="008E73D9">
        <w:rPr>
          <w:rFonts w:eastAsiaTheme="minorEastAsia"/>
        </w:rPr>
        <w:t>276.</w:t>
      </w:r>
    </w:p>
    <w:p w14:paraId="799E84FF" w14:textId="21687616" w:rsidR="00721C9B" w:rsidRPr="008E73D9" w:rsidRDefault="00721C9B" w:rsidP="00721C9B">
      <w:pPr>
        <w:ind w:left="360" w:hanging="360"/>
        <w:jc w:val="both"/>
      </w:pPr>
      <w:r w:rsidRPr="008E73D9">
        <w:t>Bartram, S. M., G.W. Brown, and Conrad, J.</w:t>
      </w:r>
      <w:r w:rsidRPr="008E73D9">
        <w:rPr>
          <w:rFonts w:hint="eastAsia"/>
        </w:rPr>
        <w:t>,</w:t>
      </w:r>
      <w:r w:rsidRPr="008E73D9">
        <w:t xml:space="preserve"> 2011, The effects of derivatives on firm risk and value, </w:t>
      </w:r>
      <w:r w:rsidRPr="008E73D9">
        <w:rPr>
          <w:i/>
        </w:rPr>
        <w:t>Journal of Financial and Quantitative Analysis</w:t>
      </w:r>
      <w:r w:rsidRPr="008E73D9">
        <w:rPr>
          <w:iCs/>
        </w:rPr>
        <w:t>, 46: 4, 967</w:t>
      </w:r>
      <w:r w:rsidR="003230EC" w:rsidRPr="008E73D9">
        <w:t>–</w:t>
      </w:r>
      <w:r w:rsidRPr="008E73D9">
        <w:rPr>
          <w:iCs/>
        </w:rPr>
        <w:t>999.</w:t>
      </w:r>
    </w:p>
    <w:p w14:paraId="51611CC0" w14:textId="77777777" w:rsidR="00721C9B" w:rsidRPr="008E73D9" w:rsidRDefault="00721C9B" w:rsidP="00721C9B">
      <w:pPr>
        <w:ind w:left="360" w:hanging="360"/>
        <w:jc w:val="both"/>
      </w:pPr>
      <w:r w:rsidRPr="008E73D9">
        <w:t xml:space="preserve">Bodnar, Gordon M. and Giambona, Erasmo and Graham, John R. and Harvey, Campbell R., A View Inside Corporate Risk Management (July 13, 2015). Available at SSRN: </w:t>
      </w:r>
      <w:hyperlink r:id="rId9" w:tgtFrame="_blank" w:history="1">
        <w:r w:rsidRPr="008E73D9">
          <w:rPr>
            <w:rStyle w:val="Hyperlink"/>
            <w:color w:val="auto"/>
          </w:rPr>
          <w:t>http://ssrn.com/abstract=2438884</w:t>
        </w:r>
      </w:hyperlink>
      <w:r w:rsidRPr="008E73D9">
        <w:t xml:space="preserve"> or </w:t>
      </w:r>
      <w:hyperlink r:id="rId10" w:tgtFrame="_blank" w:history="1">
        <w:r w:rsidRPr="008E73D9">
          <w:rPr>
            <w:rStyle w:val="Hyperlink"/>
            <w:color w:val="auto"/>
          </w:rPr>
          <w:t xml:space="preserve">http://dx.doi.org/10.2139/ssrn.2438884 </w:t>
        </w:r>
      </w:hyperlink>
    </w:p>
    <w:p w14:paraId="1598E42B" w14:textId="77777777" w:rsidR="00721C9B" w:rsidRPr="008E73D9" w:rsidRDefault="00721C9B" w:rsidP="00721C9B">
      <w:pPr>
        <w:ind w:left="360" w:hanging="360"/>
        <w:jc w:val="both"/>
        <w:rPr>
          <w:rStyle w:val="Emphasis"/>
          <w:i w:val="0"/>
          <w:iCs w:val="0"/>
        </w:rPr>
      </w:pPr>
      <w:r w:rsidRPr="008E73D9">
        <w:t xml:space="preserve">Butler, Richard J. and John D. Worrall, 1991, Claims reporting and risk bearing moral hazard in workers’ compensation, </w:t>
      </w:r>
      <w:r w:rsidRPr="008E73D9">
        <w:rPr>
          <w:i/>
        </w:rPr>
        <w:t>Journal of Risk and Insurance</w:t>
      </w:r>
      <w:r w:rsidRPr="008E73D9">
        <w:t>, 58: 191–204.</w:t>
      </w:r>
    </w:p>
    <w:p w14:paraId="2576071C" w14:textId="77777777" w:rsidR="00721C9B" w:rsidRPr="008E73D9" w:rsidRDefault="00721C9B" w:rsidP="00721C9B">
      <w:pPr>
        <w:ind w:left="360" w:hanging="360"/>
        <w:jc w:val="both"/>
        <w:rPr>
          <w:rStyle w:val="Emphasis"/>
          <w:bCs/>
          <w:i w:val="0"/>
        </w:rPr>
      </w:pPr>
      <w:r w:rsidRPr="008E73D9">
        <w:t xml:space="preserve">Butler, Richard J. and John D. Worrall, 1993, Self-insurance in workers’ compensation, </w:t>
      </w:r>
      <w:r w:rsidRPr="008E73D9">
        <w:rPr>
          <w:i/>
        </w:rPr>
        <w:t>Workers’ Compensation Insurance: Claim Costs, Prices, and Regulation</w:t>
      </w:r>
      <w:r w:rsidRPr="008E73D9">
        <w:t>, edited by David Durbin and Philip S. Borba,</w:t>
      </w:r>
      <w:r w:rsidRPr="008E73D9">
        <w:rPr>
          <w:i/>
        </w:rPr>
        <w:t xml:space="preserve"> </w:t>
      </w:r>
      <w:r w:rsidRPr="008E73D9">
        <w:t>Norwell, Mass.: Kluwer Academic Publishers, pp. 129–146.</w:t>
      </w:r>
    </w:p>
    <w:p w14:paraId="3BFB8D92" w14:textId="77777777" w:rsidR="00721C9B" w:rsidRPr="008E73D9" w:rsidRDefault="00721C9B" w:rsidP="00721C9B">
      <w:pPr>
        <w:ind w:left="360" w:hanging="360"/>
        <w:jc w:val="both"/>
      </w:pPr>
      <w:r w:rsidRPr="008E73D9">
        <w:rPr>
          <w:rStyle w:val="Emphasis"/>
          <w:bCs/>
          <w:i w:val="0"/>
        </w:rPr>
        <w:t>Carroll</w:t>
      </w:r>
      <w:r w:rsidRPr="008E73D9">
        <w:rPr>
          <w:rStyle w:val="medium-normal1"/>
          <w:rFonts w:ascii="Times New Roman" w:hAnsi="Times New Roman" w:cs="Times New Roman"/>
          <w:sz w:val="24"/>
          <w:szCs w:val="24"/>
        </w:rPr>
        <w:t xml:space="preserve">, </w:t>
      </w:r>
      <w:r w:rsidRPr="008E73D9">
        <w:rPr>
          <w:rStyle w:val="Emphasis"/>
          <w:bCs/>
          <w:i w:val="0"/>
        </w:rPr>
        <w:t>Anne</w:t>
      </w:r>
      <w:r w:rsidRPr="008E73D9">
        <w:rPr>
          <w:rStyle w:val="medium-normal1"/>
          <w:rFonts w:ascii="Times New Roman" w:hAnsi="Times New Roman" w:cs="Times New Roman"/>
          <w:sz w:val="24"/>
          <w:szCs w:val="24"/>
        </w:rPr>
        <w:t xml:space="preserve"> M., </w:t>
      </w:r>
      <w:r w:rsidRPr="008E73D9">
        <w:t xml:space="preserve">1994, The role of regulation in the demand for workers’ compensation self-insurance, </w:t>
      </w:r>
      <w:r w:rsidRPr="008E73D9">
        <w:rPr>
          <w:i/>
        </w:rPr>
        <w:t>Journal of Insurance Regulation</w:t>
      </w:r>
      <w:r w:rsidRPr="008E73D9">
        <w:t>, 13: 168–184.</w:t>
      </w:r>
    </w:p>
    <w:p w14:paraId="3C72F00F" w14:textId="0C23FC15" w:rsidR="00721C9B" w:rsidRPr="008E73D9" w:rsidRDefault="00721C9B" w:rsidP="00721C9B">
      <w:pPr>
        <w:ind w:left="360" w:hanging="360"/>
        <w:jc w:val="both"/>
      </w:pPr>
      <w:r w:rsidRPr="008E73D9">
        <w:t>Carter, D.A., D.A. R</w:t>
      </w:r>
      <w:r w:rsidR="00C0185C" w:rsidRPr="008E73D9">
        <w:t xml:space="preserve">ogers, and B.J. Simkins, 2006, </w:t>
      </w:r>
      <w:r w:rsidRPr="008E73D9">
        <w:t>Does Hedging Affect Firm Value? Evidence from the U.S. Airline Industry,</w:t>
      </w:r>
      <w:r w:rsidR="00C0185C" w:rsidRPr="008E73D9">
        <w:t xml:space="preserve"> </w:t>
      </w:r>
      <w:r w:rsidRPr="008E73D9">
        <w:rPr>
          <w:i/>
          <w:iCs/>
        </w:rPr>
        <w:t xml:space="preserve">Financial Management </w:t>
      </w:r>
      <w:r w:rsidRPr="008E73D9">
        <w:t>35</w:t>
      </w:r>
      <w:r w:rsidR="00C0185C" w:rsidRPr="008E73D9">
        <w:t>:</w:t>
      </w:r>
      <w:r w:rsidRPr="008E73D9">
        <w:t xml:space="preserve"> 53</w:t>
      </w:r>
      <w:r w:rsidR="003230EC" w:rsidRPr="008E73D9">
        <w:t>–</w:t>
      </w:r>
      <w:r w:rsidRPr="008E73D9">
        <w:t>86.</w:t>
      </w:r>
    </w:p>
    <w:p w14:paraId="20703702" w14:textId="77777777" w:rsidR="00721C9B" w:rsidRPr="008E73D9" w:rsidRDefault="00721C9B" w:rsidP="00721C9B">
      <w:pPr>
        <w:ind w:left="360" w:hanging="360"/>
        <w:jc w:val="both"/>
        <w:rPr>
          <w:rStyle w:val="Emphasis"/>
          <w:i w:val="0"/>
          <w:iCs w:val="0"/>
        </w:rPr>
      </w:pPr>
      <w:r w:rsidRPr="008E73D9">
        <w:t xml:space="preserve">Chidambaran, N. K., Thomas A. Pugel, and Anthony Saunders, 1997, An Investigation of the Performance of the U.S. Property-Liability Insurance Industry, </w:t>
      </w:r>
      <w:r w:rsidRPr="008E73D9">
        <w:rPr>
          <w:i/>
        </w:rPr>
        <w:t>Journal of Risk and Insurance</w:t>
      </w:r>
      <w:r w:rsidRPr="008E73D9">
        <w:t>, 64: 371–382.</w:t>
      </w:r>
    </w:p>
    <w:p w14:paraId="0BFB0D1D" w14:textId="77777777" w:rsidR="00721C9B" w:rsidRPr="008E73D9" w:rsidRDefault="00721C9B" w:rsidP="00721C9B">
      <w:pPr>
        <w:ind w:left="360" w:hanging="360"/>
        <w:jc w:val="both"/>
      </w:pPr>
      <w:r w:rsidRPr="008E73D9">
        <w:t xml:space="preserve">Chang, Mu-Sheng, 2013, Characteristics of self-insurers for workers’ compensation losses: Evidence from manufacturers in Pennsylvania, </w:t>
      </w:r>
      <w:r w:rsidRPr="008E73D9">
        <w:rPr>
          <w:i/>
        </w:rPr>
        <w:t>Journal of Insurance Issues</w:t>
      </w:r>
      <w:r w:rsidRPr="008E73D9">
        <w:t xml:space="preserve"> 36 (2): 175–193.</w:t>
      </w:r>
    </w:p>
    <w:p w14:paraId="3932CCA8" w14:textId="7F69B54F" w:rsidR="00721C9B" w:rsidRPr="008E73D9" w:rsidRDefault="00721C9B" w:rsidP="00721C9B">
      <w:pPr>
        <w:ind w:left="360" w:hanging="360"/>
        <w:jc w:val="both"/>
      </w:pPr>
      <w:r w:rsidRPr="008E73D9">
        <w:t>Chang, Mu-Sheng, 2012, Alternative risk transfer via self-insurance for workers’ compensation losses among nursing homes in Pennsylvania,</w:t>
      </w:r>
      <w:r w:rsidRPr="008E73D9">
        <w:rPr>
          <w:bCs/>
          <w:i/>
        </w:rPr>
        <w:t xml:space="preserve"> Review of Management Innovation and Creativity</w:t>
      </w:r>
      <w:r w:rsidR="00C0185C" w:rsidRPr="008E73D9">
        <w:rPr>
          <w:szCs w:val="22"/>
        </w:rPr>
        <w:t>,</w:t>
      </w:r>
      <w:r w:rsidRPr="008E73D9">
        <w:t xml:space="preserve"> 5 (17): 79–99.</w:t>
      </w:r>
    </w:p>
    <w:p w14:paraId="6CE20891" w14:textId="77777777" w:rsidR="00721C9B" w:rsidRPr="008E73D9" w:rsidRDefault="00721C9B" w:rsidP="00721C9B">
      <w:pPr>
        <w:autoSpaceDE w:val="0"/>
        <w:autoSpaceDN w:val="0"/>
        <w:adjustRightInd w:val="0"/>
        <w:ind w:left="180" w:hanging="180"/>
        <w:jc w:val="both"/>
      </w:pPr>
      <w:r w:rsidRPr="008E73D9">
        <w:t xml:space="preserve">Chang, Mu-Sheng, 2008, Alternative risk transfer: Evidence of self-insurance among hospitals in Pennsylvania for workers’ compensation liability, </w:t>
      </w:r>
      <w:r w:rsidRPr="008E73D9">
        <w:rPr>
          <w:i/>
        </w:rPr>
        <w:t>Journal of Insurance Regulation</w:t>
      </w:r>
      <w:r w:rsidRPr="008E73D9">
        <w:rPr>
          <w:szCs w:val="22"/>
        </w:rPr>
        <w:t>,</w:t>
      </w:r>
      <w:r w:rsidRPr="008E73D9">
        <w:t xml:space="preserve"> 27 (2): 59–94.</w:t>
      </w:r>
    </w:p>
    <w:p w14:paraId="366FA414" w14:textId="77777777" w:rsidR="00497055" w:rsidRPr="008E73D9" w:rsidRDefault="00721C9B" w:rsidP="00497055">
      <w:pPr>
        <w:ind w:left="360" w:hanging="360"/>
        <w:jc w:val="both"/>
        <w:rPr>
          <w:szCs w:val="22"/>
        </w:rPr>
      </w:pPr>
      <w:r w:rsidRPr="008E73D9">
        <w:t xml:space="preserve">Chang, Mu-Sheng and Mary A. Weiss, 2011, </w:t>
      </w:r>
      <w:r w:rsidRPr="008E73D9">
        <w:rPr>
          <w:szCs w:val="28"/>
        </w:rPr>
        <w:t>Characteristics of U.S. self-insurers for workers’ compensation losses</w:t>
      </w:r>
      <w:r w:rsidRPr="008E73D9">
        <w:t xml:space="preserve">, </w:t>
      </w:r>
      <w:r w:rsidRPr="008E73D9">
        <w:rPr>
          <w:i/>
        </w:rPr>
        <w:t>Journal of Insurance Regulation</w:t>
      </w:r>
      <w:r w:rsidRPr="008E73D9">
        <w:t>,</w:t>
      </w:r>
      <w:r w:rsidRPr="008E73D9">
        <w:rPr>
          <w:sz w:val="28"/>
        </w:rPr>
        <w:t xml:space="preserve"> </w:t>
      </w:r>
      <w:r w:rsidRPr="008E73D9">
        <w:rPr>
          <w:szCs w:val="22"/>
        </w:rPr>
        <w:t>30: 139</w:t>
      </w:r>
      <w:r w:rsidRPr="008E73D9">
        <w:t>–</w:t>
      </w:r>
      <w:r w:rsidRPr="008E73D9">
        <w:rPr>
          <w:szCs w:val="22"/>
        </w:rPr>
        <w:t>170.</w:t>
      </w:r>
    </w:p>
    <w:p w14:paraId="73F6616A" w14:textId="05024CBA" w:rsidR="00EF5315" w:rsidRPr="008E73D9" w:rsidRDefault="00497055" w:rsidP="00497055">
      <w:pPr>
        <w:ind w:left="360" w:hanging="360"/>
        <w:jc w:val="both"/>
        <w:rPr>
          <w:szCs w:val="22"/>
        </w:rPr>
      </w:pPr>
      <w:r w:rsidRPr="008E73D9">
        <w:t>Chang, Mu-Sheng, Hsin-Hui Chiu, and Yanbo Jin, 2016</w:t>
      </w:r>
      <w:r w:rsidR="00B371AF" w:rsidRPr="008E73D9">
        <w:t>, Characteristics of California</w:t>
      </w:r>
      <w:r w:rsidRPr="008E73D9">
        <w:t xml:space="preserve"> Manufacturers that Self-Insured for Workers’ Compensation, working paper, California State University, Northridge. </w:t>
      </w:r>
    </w:p>
    <w:p w14:paraId="4E040AA8" w14:textId="77777777" w:rsidR="00721C9B" w:rsidRPr="008E73D9" w:rsidRDefault="00721C9B" w:rsidP="00721C9B">
      <w:pPr>
        <w:ind w:left="360" w:hanging="360"/>
        <w:jc w:val="both"/>
      </w:pPr>
      <w:r w:rsidRPr="008E73D9">
        <w:t xml:space="preserve">Culp, Christopher L., 2006, </w:t>
      </w:r>
      <w:r w:rsidRPr="008E73D9">
        <w:rPr>
          <w:i/>
        </w:rPr>
        <w:t>Structured Finance and Insurance: The ART of Managing Capital and Risk</w:t>
      </w:r>
      <w:r w:rsidRPr="008E73D9">
        <w:t>, New Jersey: John Wiley &amp; Sons, Inc.</w:t>
      </w:r>
    </w:p>
    <w:p w14:paraId="0C199F48" w14:textId="77777777" w:rsidR="00721C9B" w:rsidRPr="008E73D9" w:rsidRDefault="00721C9B" w:rsidP="00721C9B">
      <w:pPr>
        <w:ind w:left="360" w:hanging="360"/>
        <w:jc w:val="both"/>
        <w:rPr>
          <w:rStyle w:val="medium-normal1"/>
          <w:rFonts w:ascii="Times New Roman" w:hAnsi="Times New Roman" w:cs="Times New Roman"/>
          <w:sz w:val="24"/>
          <w:szCs w:val="24"/>
        </w:rPr>
      </w:pPr>
      <w:r w:rsidRPr="008E73D9">
        <w:rPr>
          <w:rStyle w:val="Emphasis"/>
          <w:bCs/>
          <w:i w:val="0"/>
        </w:rPr>
        <w:t>Danzon</w:t>
      </w:r>
      <w:r w:rsidRPr="008E73D9">
        <w:rPr>
          <w:rStyle w:val="medium-normal1"/>
          <w:rFonts w:ascii="Times New Roman" w:hAnsi="Times New Roman" w:cs="Times New Roman"/>
          <w:sz w:val="24"/>
          <w:szCs w:val="24"/>
        </w:rPr>
        <w:t>, Patricia M. and</w:t>
      </w:r>
      <w:r w:rsidRPr="008E73D9">
        <w:rPr>
          <w:rStyle w:val="medium-normal1"/>
          <w:rFonts w:ascii="Times New Roman" w:hAnsi="Times New Roman" w:cs="Times New Roman"/>
          <w:i/>
          <w:sz w:val="24"/>
          <w:szCs w:val="24"/>
        </w:rPr>
        <w:t xml:space="preserve"> </w:t>
      </w:r>
      <w:r w:rsidRPr="008E73D9">
        <w:rPr>
          <w:rStyle w:val="medium-normal1"/>
          <w:rFonts w:ascii="Times New Roman" w:hAnsi="Times New Roman" w:cs="Times New Roman"/>
          <w:sz w:val="24"/>
          <w:szCs w:val="24"/>
        </w:rPr>
        <w:t xml:space="preserve">Scott E. </w:t>
      </w:r>
      <w:r w:rsidRPr="008E73D9">
        <w:rPr>
          <w:rStyle w:val="Emphasis"/>
          <w:bCs/>
          <w:i w:val="0"/>
        </w:rPr>
        <w:t>Harrington,</w:t>
      </w:r>
      <w:r w:rsidRPr="008E73D9">
        <w:rPr>
          <w:rStyle w:val="medium-normal1"/>
          <w:rFonts w:ascii="Times New Roman" w:hAnsi="Times New Roman" w:cs="Times New Roman"/>
          <w:sz w:val="24"/>
          <w:szCs w:val="24"/>
        </w:rPr>
        <w:t xml:space="preserve"> 2001, Workers’ compensation rate regulation: How price controls insurance costs, </w:t>
      </w:r>
      <w:r w:rsidRPr="008E73D9">
        <w:rPr>
          <w:rStyle w:val="medium-normal1"/>
          <w:rFonts w:ascii="Times New Roman" w:hAnsi="Times New Roman" w:cs="Times New Roman"/>
          <w:i/>
          <w:sz w:val="24"/>
          <w:szCs w:val="24"/>
        </w:rPr>
        <w:t>Journal of Law &amp; Economics</w:t>
      </w:r>
      <w:r w:rsidRPr="008E73D9">
        <w:rPr>
          <w:rStyle w:val="medium-normal1"/>
          <w:rFonts w:ascii="Times New Roman" w:hAnsi="Times New Roman" w:cs="Times New Roman"/>
          <w:sz w:val="24"/>
          <w:szCs w:val="24"/>
        </w:rPr>
        <w:t>, 44: 1</w:t>
      </w:r>
      <w:r w:rsidRPr="008E73D9">
        <w:t>–</w:t>
      </w:r>
      <w:r w:rsidRPr="008E73D9">
        <w:rPr>
          <w:rStyle w:val="medium-normal1"/>
          <w:rFonts w:ascii="Times New Roman" w:hAnsi="Times New Roman" w:cs="Times New Roman"/>
          <w:sz w:val="24"/>
          <w:szCs w:val="24"/>
        </w:rPr>
        <w:t>36.</w:t>
      </w:r>
    </w:p>
    <w:p w14:paraId="4E00553D" w14:textId="77777777" w:rsidR="00721C9B" w:rsidRPr="008E73D9" w:rsidRDefault="00721C9B" w:rsidP="00721C9B">
      <w:pPr>
        <w:ind w:left="360" w:hanging="360"/>
        <w:jc w:val="both"/>
      </w:pPr>
      <w:r w:rsidRPr="008E73D9">
        <w:rPr>
          <w:rStyle w:val="Emphasis"/>
          <w:bCs/>
          <w:i w:val="0"/>
        </w:rPr>
        <w:t xml:space="preserve">Feldman, Roger, 2012, Why do employers self-insure? New explanations for the choice of self-insurance vs. purchased health insurance, </w:t>
      </w:r>
      <w:r w:rsidRPr="008E73D9">
        <w:rPr>
          <w:i/>
        </w:rPr>
        <w:t>Geneva Papers on Risk and Insurance Issues and Practice</w:t>
      </w:r>
      <w:r w:rsidRPr="008E73D9">
        <w:t>, 37: 696–711.</w:t>
      </w:r>
    </w:p>
    <w:p w14:paraId="7DD2D4F5" w14:textId="00058B3F" w:rsidR="00721C9B" w:rsidRPr="008E73D9" w:rsidRDefault="00721C9B" w:rsidP="00721C9B">
      <w:pPr>
        <w:ind w:left="360" w:hanging="360"/>
        <w:jc w:val="both"/>
        <w:rPr>
          <w:rStyle w:val="Emphasis"/>
          <w:bCs/>
          <w:i w:val="0"/>
        </w:rPr>
      </w:pPr>
      <w:r w:rsidRPr="008E73D9">
        <w:rPr>
          <w:bCs/>
          <w:iCs/>
        </w:rPr>
        <w:lastRenderedPageBreak/>
        <w:t xml:space="preserve">Froot, Kenneth, David Scharfstein, and Jeremy Stein, 1993, Risk management: Coordinating corporate investment and financing policies, </w:t>
      </w:r>
      <w:r w:rsidRPr="008E73D9">
        <w:rPr>
          <w:bCs/>
          <w:i/>
          <w:iCs/>
        </w:rPr>
        <w:t>Journal of Finance</w:t>
      </w:r>
      <w:r w:rsidR="00C0185C" w:rsidRPr="008E73D9">
        <w:rPr>
          <w:szCs w:val="22"/>
        </w:rPr>
        <w:t>,</w:t>
      </w:r>
      <w:r w:rsidRPr="008E73D9">
        <w:rPr>
          <w:bCs/>
          <w:iCs/>
        </w:rPr>
        <w:t xml:space="preserve"> 48</w:t>
      </w:r>
      <w:r w:rsidR="00C0185C" w:rsidRPr="008E73D9">
        <w:rPr>
          <w:bCs/>
          <w:iCs/>
        </w:rPr>
        <w:t>:</w:t>
      </w:r>
      <w:r w:rsidRPr="008E73D9">
        <w:rPr>
          <w:bCs/>
          <w:iCs/>
        </w:rPr>
        <w:t xml:space="preserve"> 1629-58.</w:t>
      </w:r>
    </w:p>
    <w:p w14:paraId="1C40A601" w14:textId="6FBB969F" w:rsidR="00721C9B" w:rsidRPr="008E73D9" w:rsidRDefault="00721C9B" w:rsidP="00721C9B">
      <w:pPr>
        <w:ind w:left="360" w:hanging="360"/>
        <w:jc w:val="both"/>
        <w:rPr>
          <w:bCs/>
          <w:iCs/>
        </w:rPr>
      </w:pPr>
      <w:r w:rsidRPr="008E73D9">
        <w:rPr>
          <w:bCs/>
          <w:iCs/>
        </w:rPr>
        <w:t xml:space="preserve">Graham, John, and Daniel Rogers, 2002, Do firms hedge in response to tax incentives?  </w:t>
      </w:r>
      <w:r w:rsidRPr="008E73D9">
        <w:rPr>
          <w:bCs/>
          <w:i/>
          <w:iCs/>
        </w:rPr>
        <w:t>Journal of Finance</w:t>
      </w:r>
      <w:r w:rsidR="00C0185C" w:rsidRPr="008E73D9">
        <w:rPr>
          <w:szCs w:val="22"/>
        </w:rPr>
        <w:t>,</w:t>
      </w:r>
      <w:r w:rsidRPr="008E73D9">
        <w:rPr>
          <w:bCs/>
          <w:iCs/>
        </w:rPr>
        <w:t xml:space="preserve"> 57</w:t>
      </w:r>
      <w:r w:rsidR="00C0185C" w:rsidRPr="008E73D9">
        <w:rPr>
          <w:bCs/>
          <w:iCs/>
        </w:rPr>
        <w:t>:</w:t>
      </w:r>
      <w:r w:rsidRPr="008E73D9">
        <w:rPr>
          <w:bCs/>
          <w:iCs/>
        </w:rPr>
        <w:t xml:space="preserve"> 815</w:t>
      </w:r>
      <w:r w:rsidR="003230EC" w:rsidRPr="008E73D9">
        <w:t>–</w:t>
      </w:r>
      <w:r w:rsidRPr="008E73D9">
        <w:rPr>
          <w:bCs/>
          <w:iCs/>
        </w:rPr>
        <w:t>39.</w:t>
      </w:r>
    </w:p>
    <w:p w14:paraId="772D3686" w14:textId="0A8E4E73" w:rsidR="00721C9B" w:rsidRPr="008E73D9" w:rsidRDefault="00721C9B" w:rsidP="00721C9B">
      <w:pPr>
        <w:ind w:left="360" w:hanging="360"/>
        <w:jc w:val="both"/>
        <w:rPr>
          <w:bCs/>
          <w:iCs/>
        </w:rPr>
      </w:pPr>
      <w:r w:rsidRPr="008E73D9">
        <w:rPr>
          <w:bCs/>
          <w:iCs/>
        </w:rPr>
        <w:t xml:space="preserve">Guay, Wayne, and S.P. Kothari, 2003, How much do firms hedge with derivatives?  </w:t>
      </w:r>
      <w:r w:rsidRPr="008E73D9">
        <w:rPr>
          <w:bCs/>
          <w:i/>
          <w:iCs/>
        </w:rPr>
        <w:t>Journal of Financial Economics</w:t>
      </w:r>
      <w:r w:rsidR="00C0185C" w:rsidRPr="008E73D9">
        <w:rPr>
          <w:szCs w:val="22"/>
        </w:rPr>
        <w:t>,</w:t>
      </w:r>
      <w:r w:rsidRPr="008E73D9">
        <w:rPr>
          <w:bCs/>
          <w:iCs/>
        </w:rPr>
        <w:t xml:space="preserve"> 80</w:t>
      </w:r>
      <w:r w:rsidR="00C0185C" w:rsidRPr="008E73D9">
        <w:rPr>
          <w:bCs/>
          <w:iCs/>
        </w:rPr>
        <w:t>:</w:t>
      </w:r>
      <w:r w:rsidRPr="008E73D9">
        <w:rPr>
          <w:bCs/>
          <w:iCs/>
        </w:rPr>
        <w:t xml:space="preserve"> 423</w:t>
      </w:r>
      <w:r w:rsidR="003230EC" w:rsidRPr="008E73D9">
        <w:t>–</w:t>
      </w:r>
      <w:r w:rsidRPr="008E73D9">
        <w:rPr>
          <w:bCs/>
          <w:iCs/>
        </w:rPr>
        <w:t>461.</w:t>
      </w:r>
    </w:p>
    <w:p w14:paraId="1C919B6F" w14:textId="77777777" w:rsidR="00721C9B" w:rsidRPr="008E73D9" w:rsidRDefault="00721C9B" w:rsidP="00721C9B">
      <w:pPr>
        <w:ind w:left="360" w:hanging="360"/>
        <w:jc w:val="both"/>
      </w:pPr>
      <w:r w:rsidRPr="008E73D9">
        <w:rPr>
          <w:rStyle w:val="Emphasis"/>
          <w:bCs/>
          <w:i w:val="0"/>
        </w:rPr>
        <w:t>Harrington,</w:t>
      </w:r>
      <w:r w:rsidRPr="008E73D9">
        <w:rPr>
          <w:rStyle w:val="medium-normal1"/>
          <w:rFonts w:ascii="Times New Roman" w:hAnsi="Times New Roman" w:cs="Times New Roman"/>
          <w:sz w:val="24"/>
          <w:szCs w:val="24"/>
        </w:rPr>
        <w:t xml:space="preserve"> Scott E. and Patricia M. </w:t>
      </w:r>
      <w:r w:rsidRPr="008E73D9">
        <w:rPr>
          <w:rStyle w:val="Emphasis"/>
          <w:bCs/>
          <w:i w:val="0"/>
        </w:rPr>
        <w:t>Danzon</w:t>
      </w:r>
      <w:r w:rsidRPr="008E73D9">
        <w:rPr>
          <w:rStyle w:val="medium-normal1"/>
          <w:rFonts w:ascii="Times New Roman" w:hAnsi="Times New Roman" w:cs="Times New Roman"/>
          <w:sz w:val="24"/>
          <w:szCs w:val="24"/>
        </w:rPr>
        <w:t xml:space="preserve">, 2000, Rate regulation, safety incentives, and loss growth in workers’ compensation insurance, </w:t>
      </w:r>
      <w:r w:rsidRPr="008E73D9">
        <w:rPr>
          <w:rStyle w:val="medium-normal1"/>
          <w:rFonts w:ascii="Times New Roman" w:hAnsi="Times New Roman" w:cs="Times New Roman"/>
          <w:i/>
          <w:sz w:val="24"/>
          <w:szCs w:val="24"/>
        </w:rPr>
        <w:t>Journal of Business</w:t>
      </w:r>
      <w:r w:rsidRPr="008E73D9">
        <w:rPr>
          <w:rStyle w:val="medium-normal1"/>
          <w:rFonts w:ascii="Times New Roman" w:hAnsi="Times New Roman" w:cs="Times New Roman"/>
          <w:sz w:val="24"/>
          <w:szCs w:val="24"/>
        </w:rPr>
        <w:t>, 73: 569</w:t>
      </w:r>
      <w:r w:rsidRPr="008E73D9">
        <w:t>–</w:t>
      </w:r>
      <w:r w:rsidRPr="008E73D9">
        <w:rPr>
          <w:rStyle w:val="medium-normal1"/>
          <w:rFonts w:ascii="Times New Roman" w:hAnsi="Times New Roman" w:cs="Times New Roman"/>
          <w:sz w:val="24"/>
          <w:szCs w:val="24"/>
        </w:rPr>
        <w:t>595.</w:t>
      </w:r>
    </w:p>
    <w:p w14:paraId="1904A268" w14:textId="77777777" w:rsidR="00721C9B" w:rsidRPr="008E73D9" w:rsidRDefault="00721C9B" w:rsidP="00721C9B">
      <w:pPr>
        <w:ind w:left="360" w:hanging="360"/>
        <w:jc w:val="both"/>
      </w:pPr>
      <w:r w:rsidRPr="008E73D9">
        <w:t xml:space="preserve">Holzheu, Thomas, Kurt Karl, and Mayank Raturi, 2003, </w:t>
      </w:r>
      <w:r w:rsidRPr="008E73D9">
        <w:rPr>
          <w:i/>
        </w:rPr>
        <w:t>The picture of alternative risk transfer (ART)</w:t>
      </w:r>
      <w:r w:rsidRPr="008E73D9">
        <w:t>, Swiss Re, Sigma No. 1/2003.</w:t>
      </w:r>
    </w:p>
    <w:p w14:paraId="61D72248" w14:textId="3C82E87A" w:rsidR="00721C9B" w:rsidRPr="008E73D9" w:rsidRDefault="00721C9B" w:rsidP="00721C9B">
      <w:pPr>
        <w:ind w:left="360" w:hanging="360"/>
        <w:jc w:val="both"/>
      </w:pPr>
      <w:r w:rsidRPr="008E73D9">
        <w:t xml:space="preserve">Hoyt R., and A. P. Liebenberg, 2011, The Value of Enterprise Risk Management, </w:t>
      </w:r>
      <w:r w:rsidRPr="008E73D9">
        <w:rPr>
          <w:i/>
        </w:rPr>
        <w:t>Journal of Risk and Insurance</w:t>
      </w:r>
      <w:r w:rsidRPr="008E73D9">
        <w:t>, 78:</w:t>
      </w:r>
      <w:r w:rsidR="00C0185C" w:rsidRPr="008E73D9">
        <w:t xml:space="preserve"> </w:t>
      </w:r>
      <w:r w:rsidRPr="008E73D9">
        <w:t>795</w:t>
      </w:r>
      <w:r w:rsidR="003230EC" w:rsidRPr="008E73D9">
        <w:t>–</w:t>
      </w:r>
      <w:r w:rsidRPr="008E73D9">
        <w:t>822.</w:t>
      </w:r>
    </w:p>
    <w:p w14:paraId="154B0E55" w14:textId="77777777" w:rsidR="00721C9B" w:rsidRPr="008E73D9" w:rsidRDefault="00721C9B" w:rsidP="00721C9B">
      <w:pPr>
        <w:ind w:left="360" w:hanging="360"/>
        <w:jc w:val="both"/>
      </w:pPr>
      <w:r w:rsidRPr="008E73D9">
        <w:t xml:space="preserve">Jin, Y. B., and P. Jorion, 2006, Firm Value and Hedging: Evidence from U.S. Oil and Gas Producers, </w:t>
      </w:r>
      <w:r w:rsidRPr="008E73D9">
        <w:rPr>
          <w:i/>
          <w:iCs/>
        </w:rPr>
        <w:t>Journal of Finance</w:t>
      </w:r>
      <w:r w:rsidRPr="008E73D9">
        <w:t>, 61: 893–919.</w:t>
      </w:r>
    </w:p>
    <w:p w14:paraId="7B71951D" w14:textId="77777777" w:rsidR="00721C9B" w:rsidRPr="008E73D9" w:rsidRDefault="00721C9B" w:rsidP="00721C9B">
      <w:pPr>
        <w:ind w:left="360" w:hanging="360"/>
        <w:jc w:val="both"/>
      </w:pPr>
      <w:r w:rsidRPr="008E73D9">
        <w:t xml:space="preserve">Kwon, Wook Jean and Martin F. Grace, 1996, Examination of cross subsidies in the workers’ compensation market, </w:t>
      </w:r>
      <w:r w:rsidRPr="008E73D9">
        <w:rPr>
          <w:i/>
        </w:rPr>
        <w:t>Journal of Insurance Regulation</w:t>
      </w:r>
      <w:r w:rsidRPr="008E73D9">
        <w:t>, 15: 256–289.</w:t>
      </w:r>
    </w:p>
    <w:p w14:paraId="4F726941" w14:textId="10643645" w:rsidR="00721C9B" w:rsidRPr="008E73D9" w:rsidRDefault="00721C9B" w:rsidP="00721C9B">
      <w:pPr>
        <w:ind w:left="360" w:hanging="360"/>
        <w:jc w:val="both"/>
      </w:pPr>
      <w:r w:rsidRPr="008E73D9">
        <w:t xml:space="preserve">Leland, Hayne, 1998, Agency cost, risk management, and capital structure, </w:t>
      </w:r>
      <w:r w:rsidRPr="008E73D9">
        <w:rPr>
          <w:i/>
          <w:iCs/>
        </w:rPr>
        <w:t>Journal of Finance</w:t>
      </w:r>
      <w:r w:rsidR="00C0185C" w:rsidRPr="008E73D9">
        <w:rPr>
          <w:szCs w:val="22"/>
        </w:rPr>
        <w:t>,</w:t>
      </w:r>
      <w:r w:rsidRPr="008E73D9">
        <w:t xml:space="preserve"> 53</w:t>
      </w:r>
      <w:r w:rsidR="00C0185C" w:rsidRPr="008E73D9">
        <w:t>:</w:t>
      </w:r>
      <w:r w:rsidRPr="008E73D9">
        <w:t xml:space="preserve"> 1213</w:t>
      </w:r>
      <w:r w:rsidR="003230EC" w:rsidRPr="008E73D9">
        <w:t>–</w:t>
      </w:r>
      <w:r w:rsidRPr="008E73D9">
        <w:t>43.</w:t>
      </w:r>
    </w:p>
    <w:p w14:paraId="733CB5DB" w14:textId="120A905E" w:rsidR="001B3CE0" w:rsidRPr="008E73D9" w:rsidRDefault="00721C9B" w:rsidP="001B3CE0">
      <w:pPr>
        <w:ind w:left="360" w:hanging="360"/>
        <w:jc w:val="both"/>
      </w:pPr>
      <w:r w:rsidRPr="008E73D9">
        <w:t xml:space="preserve">McShane M. K., N. Nair, E. Rustambekov, 2011, Does Enterprise Risk Management Increase Firm Value? </w:t>
      </w:r>
      <w:r w:rsidRPr="008E73D9">
        <w:rPr>
          <w:i/>
        </w:rPr>
        <w:t>Journal of Accounting, Auditing &amp; Finance</w:t>
      </w:r>
      <w:r w:rsidRPr="008E73D9">
        <w:t>, 26: 641</w:t>
      </w:r>
      <w:r w:rsidR="003230EC" w:rsidRPr="008E73D9">
        <w:t>–</w:t>
      </w:r>
      <w:r w:rsidRPr="008E73D9">
        <w:t>658.</w:t>
      </w:r>
    </w:p>
    <w:p w14:paraId="7B198B31" w14:textId="04ED59FD" w:rsidR="001B3CE0" w:rsidRPr="008E73D9" w:rsidRDefault="001B3CE0" w:rsidP="00B13CEF">
      <w:pPr>
        <w:ind w:left="360" w:hanging="360"/>
        <w:jc w:val="both"/>
      </w:pPr>
      <w:r w:rsidRPr="008E73D9">
        <w:t xml:space="preserve">Pagach, D., and R. Warr, 2011, The Characteristics of Firms That Hire Chief Risk Officers, </w:t>
      </w:r>
      <w:r w:rsidRPr="008E73D9">
        <w:rPr>
          <w:i/>
        </w:rPr>
        <w:t>Journal of R</w:t>
      </w:r>
      <w:r w:rsidR="00B13CEF" w:rsidRPr="008E73D9">
        <w:rPr>
          <w:i/>
        </w:rPr>
        <w:t>isk and Insurance</w:t>
      </w:r>
      <w:r w:rsidR="00B13CEF" w:rsidRPr="008E73D9">
        <w:t>, 78: 185</w:t>
      </w:r>
      <w:r w:rsidR="003230EC" w:rsidRPr="008E73D9">
        <w:t>–</w:t>
      </w:r>
      <w:r w:rsidR="00B13CEF" w:rsidRPr="008E73D9">
        <w:t>211.</w:t>
      </w:r>
    </w:p>
    <w:p w14:paraId="1DFDC1BA" w14:textId="6F82BA26" w:rsidR="00AD6BFC" w:rsidRPr="008E73D9" w:rsidRDefault="00721C9B" w:rsidP="00AD6BFC">
      <w:pPr>
        <w:ind w:left="360" w:hanging="360"/>
        <w:jc w:val="both"/>
      </w:pPr>
      <w:bookmarkStart w:id="1" w:name="Result_1"/>
      <w:bookmarkStart w:id="2" w:name="OLE_LINK11"/>
      <w:r w:rsidRPr="008E73D9">
        <w:t xml:space="preserve">Mayers, David, and Clifford Smith, 1982, On the corporate demand for insurance, </w:t>
      </w:r>
      <w:r w:rsidRPr="008E73D9">
        <w:rPr>
          <w:i/>
          <w:iCs/>
        </w:rPr>
        <w:t>Journal of Business</w:t>
      </w:r>
      <w:r w:rsidR="00C0185C" w:rsidRPr="008E73D9">
        <w:rPr>
          <w:szCs w:val="22"/>
        </w:rPr>
        <w:t>,</w:t>
      </w:r>
      <w:r w:rsidR="00AD6BFC" w:rsidRPr="008E73D9">
        <w:t xml:space="preserve"> 55</w:t>
      </w:r>
      <w:r w:rsidR="00C0185C" w:rsidRPr="008E73D9">
        <w:t>:</w:t>
      </w:r>
      <w:r w:rsidR="00AD6BFC" w:rsidRPr="008E73D9">
        <w:t xml:space="preserve"> 281</w:t>
      </w:r>
      <w:r w:rsidR="003230EC" w:rsidRPr="008E73D9">
        <w:t>–</w:t>
      </w:r>
      <w:r w:rsidR="00AD6BFC" w:rsidRPr="008E73D9">
        <w:t>296.</w:t>
      </w:r>
    </w:p>
    <w:p w14:paraId="2AFDB7D7" w14:textId="77777777" w:rsidR="00AD6BFC" w:rsidRPr="008E73D9" w:rsidRDefault="00AD6BFC" w:rsidP="00E336B1">
      <w:pPr>
        <w:ind w:left="360" w:hanging="360"/>
        <w:jc w:val="both"/>
      </w:pPr>
      <w:r w:rsidRPr="008E73D9">
        <w:t xml:space="preserve">McKinsey &amp; Company, 2012, </w:t>
      </w:r>
      <w:r w:rsidRPr="008E73D9">
        <w:rPr>
          <w:i/>
        </w:rPr>
        <w:t xml:space="preserve">Manufacturing the </w:t>
      </w:r>
      <w:r w:rsidR="00E336B1" w:rsidRPr="008E73D9">
        <w:rPr>
          <w:i/>
        </w:rPr>
        <w:t>F</w:t>
      </w:r>
      <w:r w:rsidRPr="008E73D9">
        <w:rPr>
          <w:i/>
        </w:rPr>
        <w:t>uture</w:t>
      </w:r>
      <w:r w:rsidR="00E336B1" w:rsidRPr="008E73D9">
        <w:rPr>
          <w:i/>
        </w:rPr>
        <w:t>: the Next Era of Growth and Innovation</w:t>
      </w:r>
      <w:r w:rsidR="00E336B1" w:rsidRPr="008E73D9">
        <w:t xml:space="preserve">, November. </w:t>
      </w:r>
    </w:p>
    <w:p w14:paraId="62828094" w14:textId="24E8ED97" w:rsidR="00721C9B" w:rsidRPr="008E73D9" w:rsidRDefault="00721C9B" w:rsidP="00721C9B">
      <w:pPr>
        <w:ind w:left="360" w:hanging="360"/>
        <w:jc w:val="both"/>
      </w:pPr>
      <w:r w:rsidRPr="008E73D9">
        <w:t>Rajgopal, S</w:t>
      </w:r>
      <w:r w:rsidRPr="008E73D9">
        <w:rPr>
          <w:rFonts w:hint="eastAsia"/>
        </w:rPr>
        <w:t xml:space="preserve">., </w:t>
      </w:r>
      <w:r w:rsidRPr="008E73D9">
        <w:t>and Shevli</w:t>
      </w:r>
      <w:r w:rsidRPr="008E73D9">
        <w:rPr>
          <w:rFonts w:hint="eastAsia"/>
        </w:rPr>
        <w:t xml:space="preserve">n, T., </w:t>
      </w:r>
      <w:r w:rsidRPr="008E73D9">
        <w:t xml:space="preserve">2002. Empirical evidence on the relation between stock option compensation and risk taking. </w:t>
      </w:r>
      <w:r w:rsidRPr="008E73D9">
        <w:rPr>
          <w:i/>
          <w:iCs/>
        </w:rPr>
        <w:t>Journal of Accounting and Economics</w:t>
      </w:r>
      <w:r w:rsidRPr="008E73D9">
        <w:t>, 33</w:t>
      </w:r>
      <w:r w:rsidR="00C0185C" w:rsidRPr="008E73D9">
        <w:t>:</w:t>
      </w:r>
      <w:r w:rsidRPr="008E73D9">
        <w:t xml:space="preserve"> 145</w:t>
      </w:r>
      <w:r w:rsidR="003230EC" w:rsidRPr="008E73D9">
        <w:t>–</w:t>
      </w:r>
      <w:r w:rsidRPr="008E73D9">
        <w:t>71.</w:t>
      </w:r>
    </w:p>
    <w:p w14:paraId="438BA6ED" w14:textId="77777777" w:rsidR="00721C9B" w:rsidRPr="008E73D9" w:rsidRDefault="00721C9B" w:rsidP="00721C9B">
      <w:pPr>
        <w:ind w:left="360" w:hanging="360"/>
        <w:jc w:val="both"/>
      </w:pPr>
      <w:r w:rsidRPr="008E73D9">
        <w:t xml:space="preserve">Sengupta, Ishita and </w:t>
      </w:r>
      <w:r w:rsidRPr="008E73D9">
        <w:rPr>
          <w:rFonts w:ascii="Univers-Bold" w:eastAsiaTheme="minorEastAsia" w:hAnsi="Univers-Bold" w:cs="Univers-Bold"/>
          <w:bCs/>
        </w:rPr>
        <w:t>Marjorie Baldwin,</w:t>
      </w:r>
      <w:r w:rsidRPr="008E73D9">
        <w:t xml:space="preserve"> 2015, </w:t>
      </w:r>
      <w:r w:rsidRPr="008E73D9">
        <w:rPr>
          <w:i/>
        </w:rPr>
        <w:t>Workers’ Compensation: Benefits, Coverage, and Costs, 2013</w:t>
      </w:r>
      <w:r w:rsidRPr="008E73D9">
        <w:t>, Washington, DC: National Academy of Social Insurance.</w:t>
      </w:r>
      <w:bookmarkEnd w:id="1"/>
      <w:bookmarkEnd w:id="2"/>
    </w:p>
    <w:p w14:paraId="5F8FA0EC" w14:textId="750AC79A" w:rsidR="00721C9B" w:rsidRPr="008E73D9" w:rsidRDefault="00721C9B" w:rsidP="00721C9B">
      <w:pPr>
        <w:ind w:left="360" w:hanging="360"/>
        <w:jc w:val="both"/>
      </w:pPr>
      <w:r w:rsidRPr="008E73D9">
        <w:t xml:space="preserve">Smith, Clifford, and René Stulz, 1985, The determinants of firms' hedging policies, </w:t>
      </w:r>
      <w:r w:rsidRPr="008E73D9">
        <w:rPr>
          <w:i/>
          <w:iCs/>
        </w:rPr>
        <w:t>Journal of Financial and Quantitative Analysis</w:t>
      </w:r>
      <w:r w:rsidRPr="008E73D9">
        <w:t xml:space="preserve"> 20</w:t>
      </w:r>
      <w:r w:rsidR="00C0185C" w:rsidRPr="008E73D9">
        <w:t>:</w:t>
      </w:r>
      <w:r w:rsidRPr="008E73D9">
        <w:t xml:space="preserve"> 391</w:t>
      </w:r>
      <w:r w:rsidR="003230EC" w:rsidRPr="008E73D9">
        <w:t>–</w:t>
      </w:r>
      <w:r w:rsidRPr="008E73D9">
        <w:t>405.</w:t>
      </w:r>
    </w:p>
    <w:p w14:paraId="241D5ADF" w14:textId="0F34016E" w:rsidR="00721C9B" w:rsidRPr="008E73D9" w:rsidRDefault="00721C9B" w:rsidP="00721C9B">
      <w:pPr>
        <w:ind w:left="360" w:hanging="360"/>
        <w:jc w:val="both"/>
      </w:pPr>
      <w:r w:rsidRPr="008E73D9">
        <w:t xml:space="preserve">Stulz, René, 1984, Optimal hedging policies, </w:t>
      </w:r>
      <w:r w:rsidRPr="008E73D9">
        <w:rPr>
          <w:i/>
          <w:iCs/>
        </w:rPr>
        <w:t>Journal of Financial and Quantitative Analysis</w:t>
      </w:r>
      <w:r w:rsidR="00C0185C" w:rsidRPr="008E73D9">
        <w:t xml:space="preserve"> 19:</w:t>
      </w:r>
      <w:r w:rsidRPr="008E73D9">
        <w:t xml:space="preserve"> 127</w:t>
      </w:r>
      <w:r w:rsidR="003230EC" w:rsidRPr="008E73D9">
        <w:t>–</w:t>
      </w:r>
      <w:r w:rsidRPr="008E73D9">
        <w:t>40.</w:t>
      </w:r>
    </w:p>
    <w:p w14:paraId="1533EE63" w14:textId="767D77A3" w:rsidR="00721C9B" w:rsidRPr="008E73D9" w:rsidRDefault="00721C9B" w:rsidP="00721C9B">
      <w:pPr>
        <w:ind w:left="360" w:hanging="360"/>
        <w:jc w:val="both"/>
      </w:pPr>
      <w:r w:rsidRPr="008E73D9">
        <w:t xml:space="preserve">Tufano, Peter, 1996, Who manages risk? An empirical examination of risk management practices in the gold mining industry, </w:t>
      </w:r>
      <w:r w:rsidRPr="008E73D9">
        <w:rPr>
          <w:i/>
          <w:iCs/>
        </w:rPr>
        <w:t>Journal of Finance</w:t>
      </w:r>
      <w:r w:rsidRPr="008E73D9">
        <w:t xml:space="preserve"> 51</w:t>
      </w:r>
      <w:r w:rsidR="00C0185C" w:rsidRPr="008E73D9">
        <w:t>:</w:t>
      </w:r>
      <w:r w:rsidRPr="008E73D9">
        <w:t xml:space="preserve"> 1097</w:t>
      </w:r>
      <w:r w:rsidR="003230EC" w:rsidRPr="008E73D9">
        <w:t>–</w:t>
      </w:r>
      <w:r w:rsidRPr="008E73D9">
        <w:t>137.</w:t>
      </w:r>
    </w:p>
    <w:p w14:paraId="044D097C" w14:textId="7B32E459" w:rsidR="00721C9B" w:rsidRPr="008E73D9" w:rsidRDefault="00C0185C" w:rsidP="00721C9B">
      <w:pPr>
        <w:ind w:left="360" w:hanging="360"/>
        <w:jc w:val="both"/>
      </w:pPr>
      <w:r w:rsidRPr="008E73D9">
        <w:t>Tufano, P</w:t>
      </w:r>
      <w:r w:rsidR="006160A7" w:rsidRPr="008E73D9">
        <w:t>eter</w:t>
      </w:r>
      <w:r w:rsidRPr="008E73D9">
        <w:t xml:space="preserve">, 1998, </w:t>
      </w:r>
      <w:r w:rsidR="00721C9B" w:rsidRPr="008E73D9">
        <w:t>Agency Cost</w:t>
      </w:r>
      <w:r w:rsidRPr="008E73D9">
        <w:t>s of Corporate Risk Management,</w:t>
      </w:r>
      <w:r w:rsidR="00721C9B" w:rsidRPr="008E73D9">
        <w:t xml:space="preserve"> </w:t>
      </w:r>
      <w:r w:rsidR="00721C9B" w:rsidRPr="008E73D9">
        <w:rPr>
          <w:i/>
          <w:iCs/>
        </w:rPr>
        <w:t>Financial Management</w:t>
      </w:r>
      <w:r w:rsidRPr="008E73D9">
        <w:rPr>
          <w:szCs w:val="22"/>
        </w:rPr>
        <w:t>,</w:t>
      </w:r>
      <w:r w:rsidR="00721C9B" w:rsidRPr="008E73D9">
        <w:rPr>
          <w:i/>
          <w:iCs/>
        </w:rPr>
        <w:t xml:space="preserve"> </w:t>
      </w:r>
      <w:r w:rsidRPr="008E73D9">
        <w:t>27:</w:t>
      </w:r>
      <w:r w:rsidR="00721C9B" w:rsidRPr="008E73D9">
        <w:t xml:space="preserve"> 67</w:t>
      </w:r>
      <w:r w:rsidRPr="008E73D9">
        <w:t>–</w:t>
      </w:r>
      <w:r w:rsidR="00721C9B" w:rsidRPr="008E73D9">
        <w:t>77.</w:t>
      </w:r>
    </w:p>
    <w:p w14:paraId="1A719265" w14:textId="77777777" w:rsidR="00721C9B" w:rsidRPr="008E73D9" w:rsidRDefault="00721C9B" w:rsidP="00721C9B">
      <w:pPr>
        <w:ind w:left="360" w:hanging="360"/>
        <w:jc w:val="both"/>
      </w:pPr>
      <w:r w:rsidRPr="008E73D9">
        <w:t xml:space="preserve">Vaughan, Emmett J., 1997, </w:t>
      </w:r>
      <w:r w:rsidRPr="008E73D9">
        <w:rPr>
          <w:i/>
        </w:rPr>
        <w:t>Risk Management</w:t>
      </w:r>
      <w:r w:rsidRPr="008E73D9">
        <w:t>, New York: John Wiley &amp; Sons, Inc.</w:t>
      </w:r>
    </w:p>
    <w:p w14:paraId="1209F6F3" w14:textId="09F4E5A6" w:rsidR="00721C9B" w:rsidRPr="00C123B5" w:rsidRDefault="00C0185C" w:rsidP="004B69FF">
      <w:pPr>
        <w:ind w:left="360" w:hanging="360"/>
        <w:jc w:val="both"/>
      </w:pPr>
      <w:r w:rsidRPr="008E73D9">
        <w:t xml:space="preserve">Zou, H., 2010, </w:t>
      </w:r>
      <w:r w:rsidR="00721C9B" w:rsidRPr="008E73D9">
        <w:t>Hedging Affecting Firm Value via Fin</w:t>
      </w:r>
      <w:r w:rsidR="004B69FF" w:rsidRPr="008E73D9">
        <w:t xml:space="preserve">ancing and Investment: Evidence </w:t>
      </w:r>
      <w:r w:rsidRPr="008E73D9">
        <w:t>from Property Insurance Use,</w:t>
      </w:r>
      <w:r w:rsidR="00721C9B" w:rsidRPr="008E73D9">
        <w:t xml:space="preserve"> </w:t>
      </w:r>
      <w:r w:rsidR="00721C9B" w:rsidRPr="008E73D9">
        <w:rPr>
          <w:i/>
          <w:iCs/>
        </w:rPr>
        <w:t>Financial Management</w:t>
      </w:r>
      <w:r w:rsidRPr="008E73D9">
        <w:rPr>
          <w:szCs w:val="22"/>
        </w:rPr>
        <w:t>,</w:t>
      </w:r>
      <w:r w:rsidR="00721C9B" w:rsidRPr="008E73D9">
        <w:t xml:space="preserve"> 39</w:t>
      </w:r>
      <w:r w:rsidRPr="008E73D9">
        <w:t>:</w:t>
      </w:r>
      <w:r w:rsidR="00721C9B" w:rsidRPr="008E73D9">
        <w:t xml:space="preserve"> 965</w:t>
      </w:r>
      <w:r w:rsidR="003230EC" w:rsidRPr="008E73D9">
        <w:t>–</w:t>
      </w:r>
      <w:r w:rsidR="00721C9B" w:rsidRPr="008E73D9">
        <w:t>996.</w:t>
      </w:r>
    </w:p>
    <w:p w14:paraId="23537BFB" w14:textId="77777777" w:rsidR="008D5766" w:rsidRPr="00C123B5" w:rsidRDefault="008D5766" w:rsidP="004B69FF">
      <w:pPr>
        <w:ind w:left="360" w:hanging="360"/>
        <w:jc w:val="both"/>
      </w:pPr>
    </w:p>
    <w:p w14:paraId="6DD1B4E7" w14:textId="77777777" w:rsidR="008D5766" w:rsidRPr="00C123B5" w:rsidRDefault="008D5766" w:rsidP="004B69FF">
      <w:pPr>
        <w:ind w:left="360" w:hanging="360"/>
        <w:jc w:val="both"/>
      </w:pPr>
    </w:p>
    <w:p w14:paraId="2115FD67" w14:textId="77777777" w:rsidR="008D5766" w:rsidRPr="00C123B5" w:rsidRDefault="008D5766" w:rsidP="004B69FF">
      <w:pPr>
        <w:ind w:left="360" w:hanging="360"/>
        <w:jc w:val="both"/>
      </w:pPr>
    </w:p>
    <w:p w14:paraId="63A71914" w14:textId="77777777" w:rsidR="008D5766" w:rsidRPr="00C123B5" w:rsidRDefault="008D5766" w:rsidP="004B69FF">
      <w:pPr>
        <w:ind w:left="360" w:hanging="360"/>
        <w:jc w:val="both"/>
      </w:pPr>
    </w:p>
    <w:p w14:paraId="0DD95D5D" w14:textId="77777777" w:rsidR="00D61FB3" w:rsidRDefault="00D61FB3" w:rsidP="003C3F80">
      <w:pPr>
        <w:autoSpaceDE w:val="0"/>
        <w:autoSpaceDN w:val="0"/>
        <w:adjustRightInd w:val="0"/>
        <w:spacing w:line="360" w:lineRule="auto"/>
        <w:rPr>
          <w:rFonts w:eastAsia="Times New Roman"/>
          <w:b/>
          <w:bCs/>
          <w:color w:val="FF0000"/>
          <w:sz w:val="22"/>
          <w:szCs w:val="22"/>
        </w:rPr>
      </w:pPr>
    </w:p>
    <w:p w14:paraId="5022B931" w14:textId="77777777" w:rsidR="0078226E" w:rsidRDefault="0078226E" w:rsidP="003C3F80">
      <w:pPr>
        <w:autoSpaceDE w:val="0"/>
        <w:autoSpaceDN w:val="0"/>
        <w:adjustRightInd w:val="0"/>
        <w:spacing w:line="360" w:lineRule="auto"/>
        <w:rPr>
          <w:rFonts w:eastAsia="Times New Roman"/>
          <w:b/>
          <w:bCs/>
          <w:color w:val="FF0000"/>
          <w:sz w:val="22"/>
          <w:szCs w:val="22"/>
        </w:rPr>
      </w:pPr>
    </w:p>
    <w:p w14:paraId="5F276657" w14:textId="77777777" w:rsidR="0078226E" w:rsidRDefault="0078226E" w:rsidP="003C3F80">
      <w:pPr>
        <w:autoSpaceDE w:val="0"/>
        <w:autoSpaceDN w:val="0"/>
        <w:adjustRightInd w:val="0"/>
        <w:spacing w:line="360" w:lineRule="auto"/>
        <w:rPr>
          <w:rFonts w:eastAsia="Times New Roman"/>
          <w:b/>
          <w:bCs/>
          <w:color w:val="FF0000"/>
          <w:sz w:val="22"/>
          <w:szCs w:val="22"/>
        </w:rPr>
      </w:pPr>
    </w:p>
    <w:tbl>
      <w:tblPr>
        <w:tblW w:w="9468" w:type="dxa"/>
        <w:tblInd w:w="108" w:type="dxa"/>
        <w:tblLook w:val="04A0" w:firstRow="1" w:lastRow="0" w:firstColumn="1" w:lastColumn="0" w:noHBand="0" w:noVBand="1"/>
      </w:tblPr>
      <w:tblGrid>
        <w:gridCol w:w="1872"/>
        <w:gridCol w:w="4968"/>
        <w:gridCol w:w="88"/>
        <w:gridCol w:w="2540"/>
      </w:tblGrid>
      <w:tr w:rsidR="00F324E0" w:rsidRPr="00F324E0" w14:paraId="2122BF51" w14:textId="77777777" w:rsidTr="00B103CC">
        <w:trPr>
          <w:trHeight w:val="288"/>
        </w:trPr>
        <w:tc>
          <w:tcPr>
            <w:tcW w:w="9468" w:type="dxa"/>
            <w:gridSpan w:val="4"/>
            <w:tcBorders>
              <w:top w:val="nil"/>
              <w:left w:val="nil"/>
              <w:bottom w:val="nil"/>
              <w:right w:val="nil"/>
            </w:tcBorders>
            <w:shd w:val="clear" w:color="auto" w:fill="auto"/>
            <w:noWrap/>
            <w:vAlign w:val="center"/>
            <w:hideMark/>
          </w:tcPr>
          <w:p w14:paraId="2B384C4E" w14:textId="77777777" w:rsidR="00F324E0" w:rsidRPr="00F324E0" w:rsidRDefault="00F324E0" w:rsidP="00F324E0">
            <w:pPr>
              <w:jc w:val="center"/>
              <w:rPr>
                <w:rFonts w:eastAsia="Times New Roman"/>
                <w:b/>
                <w:bCs/>
              </w:rPr>
            </w:pPr>
            <w:r w:rsidRPr="00F324E0">
              <w:rPr>
                <w:rFonts w:eastAsia="Times New Roman"/>
                <w:b/>
                <w:bCs/>
              </w:rPr>
              <w:t>Table 1</w:t>
            </w:r>
          </w:p>
          <w:p w14:paraId="29D40535" w14:textId="77777777" w:rsidR="00F324E0" w:rsidRPr="00F324E0" w:rsidRDefault="00F324E0" w:rsidP="00F324E0">
            <w:pPr>
              <w:jc w:val="center"/>
              <w:rPr>
                <w:rFonts w:eastAsia="Times New Roman"/>
                <w:b/>
                <w:bCs/>
              </w:rPr>
            </w:pPr>
            <w:r w:rsidRPr="00F324E0">
              <w:rPr>
                <w:rFonts w:eastAsia="Times New Roman"/>
                <w:b/>
                <w:bCs/>
              </w:rPr>
              <w:t>Variable Definitions</w:t>
            </w:r>
          </w:p>
          <w:p w14:paraId="45D896EC" w14:textId="77777777" w:rsidR="00F324E0" w:rsidRPr="00F324E0" w:rsidRDefault="00F324E0" w:rsidP="00F324E0">
            <w:pPr>
              <w:jc w:val="center"/>
              <w:rPr>
                <w:rFonts w:eastAsia="Times New Roman"/>
                <w:sz w:val="20"/>
                <w:szCs w:val="20"/>
              </w:rPr>
            </w:pPr>
          </w:p>
        </w:tc>
      </w:tr>
      <w:tr w:rsidR="00F324E0" w:rsidRPr="00F324E0" w14:paraId="46460EAE" w14:textId="77777777" w:rsidTr="00B103CC">
        <w:trPr>
          <w:trHeight w:val="288"/>
        </w:trPr>
        <w:tc>
          <w:tcPr>
            <w:tcW w:w="1872" w:type="dxa"/>
            <w:tcBorders>
              <w:top w:val="single" w:sz="4" w:space="0" w:color="auto"/>
              <w:left w:val="nil"/>
              <w:bottom w:val="single" w:sz="4" w:space="0" w:color="auto"/>
              <w:right w:val="nil"/>
            </w:tcBorders>
            <w:shd w:val="clear" w:color="auto" w:fill="auto"/>
            <w:noWrap/>
            <w:vAlign w:val="center"/>
            <w:hideMark/>
          </w:tcPr>
          <w:p w14:paraId="4D124943" w14:textId="77777777" w:rsidR="00F324E0" w:rsidRPr="00F324E0" w:rsidRDefault="00F324E0" w:rsidP="00F324E0">
            <w:pPr>
              <w:rPr>
                <w:rFonts w:eastAsia="Times New Roman"/>
                <w:sz w:val="20"/>
                <w:szCs w:val="20"/>
              </w:rPr>
            </w:pPr>
            <w:r w:rsidRPr="00F324E0">
              <w:rPr>
                <w:sz w:val="20"/>
                <w:szCs w:val="20"/>
              </w:rPr>
              <w:t>Variable</w:t>
            </w:r>
          </w:p>
        </w:tc>
        <w:tc>
          <w:tcPr>
            <w:tcW w:w="5056" w:type="dxa"/>
            <w:gridSpan w:val="2"/>
            <w:tcBorders>
              <w:top w:val="single" w:sz="4" w:space="0" w:color="auto"/>
              <w:left w:val="nil"/>
              <w:bottom w:val="single" w:sz="4" w:space="0" w:color="auto"/>
              <w:right w:val="nil"/>
            </w:tcBorders>
            <w:shd w:val="clear" w:color="auto" w:fill="auto"/>
            <w:vAlign w:val="center"/>
            <w:hideMark/>
          </w:tcPr>
          <w:p w14:paraId="51916A14" w14:textId="77777777" w:rsidR="00F324E0" w:rsidRPr="00F324E0" w:rsidRDefault="00F324E0" w:rsidP="00F324E0">
            <w:pPr>
              <w:jc w:val="center"/>
              <w:rPr>
                <w:color w:val="000000"/>
                <w:sz w:val="20"/>
                <w:szCs w:val="20"/>
              </w:rPr>
            </w:pPr>
            <w:r w:rsidRPr="00F324E0">
              <w:rPr>
                <w:color w:val="000000"/>
                <w:sz w:val="20"/>
                <w:szCs w:val="20"/>
              </w:rPr>
              <w:t xml:space="preserve">Definition </w:t>
            </w:r>
          </w:p>
        </w:tc>
        <w:tc>
          <w:tcPr>
            <w:tcW w:w="2540" w:type="dxa"/>
            <w:tcBorders>
              <w:top w:val="single" w:sz="4" w:space="0" w:color="auto"/>
              <w:left w:val="nil"/>
              <w:bottom w:val="single" w:sz="4" w:space="0" w:color="auto"/>
              <w:right w:val="nil"/>
            </w:tcBorders>
            <w:shd w:val="clear" w:color="auto" w:fill="auto"/>
            <w:vAlign w:val="center"/>
            <w:hideMark/>
          </w:tcPr>
          <w:p w14:paraId="529F59D4" w14:textId="77777777" w:rsidR="00F324E0" w:rsidRPr="00F324E0" w:rsidRDefault="00F324E0" w:rsidP="00F324E0">
            <w:pPr>
              <w:jc w:val="center"/>
              <w:rPr>
                <w:color w:val="000000"/>
                <w:sz w:val="20"/>
                <w:szCs w:val="20"/>
              </w:rPr>
            </w:pPr>
            <w:r w:rsidRPr="00F324E0">
              <w:rPr>
                <w:color w:val="000000"/>
                <w:sz w:val="20"/>
                <w:szCs w:val="20"/>
              </w:rPr>
              <w:t>Source</w:t>
            </w:r>
          </w:p>
        </w:tc>
      </w:tr>
      <w:tr w:rsidR="00F324E0" w:rsidRPr="00F324E0" w14:paraId="640F1B41" w14:textId="77777777" w:rsidTr="00B103CC">
        <w:trPr>
          <w:trHeight w:val="288"/>
        </w:trPr>
        <w:tc>
          <w:tcPr>
            <w:tcW w:w="1872" w:type="dxa"/>
            <w:tcBorders>
              <w:top w:val="nil"/>
              <w:left w:val="nil"/>
              <w:bottom w:val="nil"/>
              <w:right w:val="nil"/>
            </w:tcBorders>
            <w:shd w:val="clear" w:color="auto" w:fill="auto"/>
            <w:hideMark/>
          </w:tcPr>
          <w:p w14:paraId="08ADFBEF" w14:textId="77777777" w:rsidR="00F324E0" w:rsidRPr="00F324E0" w:rsidRDefault="00F324E0" w:rsidP="00F324E0">
            <w:pPr>
              <w:rPr>
                <w:sz w:val="20"/>
                <w:szCs w:val="20"/>
              </w:rPr>
            </w:pPr>
            <w:r w:rsidRPr="00F324E0">
              <w:rPr>
                <w:sz w:val="20"/>
                <w:szCs w:val="20"/>
              </w:rPr>
              <w:t xml:space="preserve">Tobin's Q </w:t>
            </w:r>
          </w:p>
        </w:tc>
        <w:tc>
          <w:tcPr>
            <w:tcW w:w="4968" w:type="dxa"/>
            <w:tcBorders>
              <w:top w:val="nil"/>
              <w:left w:val="nil"/>
              <w:bottom w:val="nil"/>
              <w:right w:val="nil"/>
            </w:tcBorders>
            <w:shd w:val="clear" w:color="auto" w:fill="auto"/>
            <w:noWrap/>
          </w:tcPr>
          <w:p w14:paraId="15A6C7AF" w14:textId="77777777" w:rsidR="00F324E0" w:rsidRPr="00F324E0" w:rsidRDefault="00F324E0" w:rsidP="00F324E0">
            <w:pPr>
              <w:rPr>
                <w:sz w:val="20"/>
                <w:szCs w:val="20"/>
              </w:rPr>
            </w:pPr>
            <w:r w:rsidRPr="00F324E0">
              <w:rPr>
                <w:rFonts w:eastAsia="BatangChe"/>
                <w:bCs/>
                <w:sz w:val="20"/>
                <w:szCs w:val="20"/>
              </w:rPr>
              <w:t>(Market value of equity + Book value of liabilities)/Book value of assets</w:t>
            </w:r>
          </w:p>
        </w:tc>
        <w:tc>
          <w:tcPr>
            <w:tcW w:w="2628" w:type="dxa"/>
            <w:gridSpan w:val="2"/>
            <w:tcBorders>
              <w:top w:val="nil"/>
              <w:left w:val="nil"/>
              <w:bottom w:val="nil"/>
              <w:right w:val="nil"/>
            </w:tcBorders>
            <w:shd w:val="clear" w:color="auto" w:fill="auto"/>
            <w:noWrap/>
          </w:tcPr>
          <w:p w14:paraId="3A473F78" w14:textId="77777777" w:rsidR="00F324E0" w:rsidRPr="00F324E0" w:rsidRDefault="00F324E0" w:rsidP="00F324E0">
            <w:pPr>
              <w:rPr>
                <w:sz w:val="20"/>
                <w:szCs w:val="20"/>
              </w:rPr>
            </w:pPr>
            <w:r w:rsidRPr="00F324E0">
              <w:rPr>
                <w:sz w:val="20"/>
                <w:szCs w:val="20"/>
              </w:rPr>
              <w:t xml:space="preserve"> Compustat </w:t>
            </w:r>
          </w:p>
          <w:p w14:paraId="5A5AAF97" w14:textId="77777777" w:rsidR="00F324E0" w:rsidRPr="00F324E0" w:rsidRDefault="00F324E0" w:rsidP="00F324E0">
            <w:pPr>
              <w:rPr>
                <w:sz w:val="20"/>
                <w:szCs w:val="20"/>
              </w:rPr>
            </w:pPr>
            <w:r w:rsidRPr="00F324E0">
              <w:rPr>
                <w:sz w:val="20"/>
                <w:szCs w:val="20"/>
              </w:rPr>
              <w:t xml:space="preserve"> ((PRCC_C*CSHO)+LT)/AT</w:t>
            </w:r>
          </w:p>
        </w:tc>
      </w:tr>
      <w:tr w:rsidR="00F324E0" w:rsidRPr="00F324E0" w14:paraId="4E1960CE" w14:textId="77777777" w:rsidTr="00B103CC">
        <w:trPr>
          <w:trHeight w:val="288"/>
        </w:trPr>
        <w:tc>
          <w:tcPr>
            <w:tcW w:w="1872" w:type="dxa"/>
            <w:tcBorders>
              <w:top w:val="nil"/>
              <w:left w:val="nil"/>
              <w:bottom w:val="nil"/>
              <w:right w:val="nil"/>
            </w:tcBorders>
            <w:shd w:val="clear" w:color="auto" w:fill="auto"/>
            <w:noWrap/>
          </w:tcPr>
          <w:p w14:paraId="32957FEE" w14:textId="77777777" w:rsidR="00F324E0" w:rsidRPr="00F324E0" w:rsidRDefault="00F324E0" w:rsidP="00F324E0">
            <w:pPr>
              <w:rPr>
                <w:color w:val="000000"/>
                <w:sz w:val="20"/>
                <w:szCs w:val="20"/>
              </w:rPr>
            </w:pPr>
            <w:r w:rsidRPr="00F324E0">
              <w:rPr>
                <w:color w:val="000000"/>
                <w:sz w:val="20"/>
                <w:szCs w:val="20"/>
              </w:rPr>
              <w:t>Self-insurance</w:t>
            </w:r>
          </w:p>
        </w:tc>
        <w:tc>
          <w:tcPr>
            <w:tcW w:w="5056" w:type="dxa"/>
            <w:gridSpan w:val="2"/>
            <w:tcBorders>
              <w:top w:val="nil"/>
              <w:left w:val="nil"/>
              <w:bottom w:val="nil"/>
              <w:right w:val="nil"/>
            </w:tcBorders>
            <w:shd w:val="clear" w:color="auto" w:fill="auto"/>
            <w:noWrap/>
          </w:tcPr>
          <w:p w14:paraId="2C5995D8" w14:textId="77777777" w:rsidR="00F324E0" w:rsidRPr="00F324E0" w:rsidRDefault="00F324E0" w:rsidP="00F324E0">
            <w:pPr>
              <w:rPr>
                <w:sz w:val="20"/>
                <w:szCs w:val="20"/>
              </w:rPr>
            </w:pPr>
            <w:r w:rsidRPr="00F324E0">
              <w:rPr>
                <w:sz w:val="20"/>
                <w:szCs w:val="20"/>
              </w:rPr>
              <w:t xml:space="preserve">= 1 </w:t>
            </w:r>
            <w:r w:rsidRPr="00F324E0">
              <w:rPr>
                <w:rFonts w:eastAsia="BatangChe"/>
                <w:bCs/>
                <w:sz w:val="20"/>
                <w:szCs w:val="20"/>
              </w:rPr>
              <w:t>if the firm self-insured, 0 otherwise</w:t>
            </w:r>
          </w:p>
        </w:tc>
        <w:tc>
          <w:tcPr>
            <w:tcW w:w="2540" w:type="dxa"/>
            <w:tcBorders>
              <w:top w:val="nil"/>
              <w:left w:val="nil"/>
              <w:bottom w:val="nil"/>
              <w:right w:val="nil"/>
            </w:tcBorders>
            <w:shd w:val="clear" w:color="auto" w:fill="auto"/>
            <w:noWrap/>
          </w:tcPr>
          <w:p w14:paraId="03D644C8" w14:textId="77777777" w:rsidR="00F324E0" w:rsidRPr="00F324E0" w:rsidRDefault="00F324E0" w:rsidP="00F324E0">
            <w:pPr>
              <w:rPr>
                <w:sz w:val="20"/>
                <w:szCs w:val="20"/>
              </w:rPr>
            </w:pPr>
            <w:r w:rsidRPr="00F324E0">
              <w:rPr>
                <w:sz w:val="20"/>
                <w:szCs w:val="20"/>
              </w:rPr>
              <w:t>Office of Self-insurance Plans, the CA Division of WC</w:t>
            </w:r>
          </w:p>
        </w:tc>
      </w:tr>
      <w:tr w:rsidR="00F324E0" w:rsidRPr="00F324E0" w14:paraId="522746A3" w14:textId="77777777" w:rsidTr="00B103CC">
        <w:trPr>
          <w:trHeight w:val="288"/>
        </w:trPr>
        <w:tc>
          <w:tcPr>
            <w:tcW w:w="1872" w:type="dxa"/>
            <w:tcBorders>
              <w:top w:val="nil"/>
              <w:left w:val="nil"/>
              <w:bottom w:val="nil"/>
              <w:right w:val="nil"/>
            </w:tcBorders>
            <w:shd w:val="clear" w:color="auto" w:fill="auto"/>
            <w:noWrap/>
            <w:hideMark/>
          </w:tcPr>
          <w:p w14:paraId="3EA3A8DC" w14:textId="77777777" w:rsidR="00F324E0" w:rsidRPr="00F324E0" w:rsidRDefault="00F324E0" w:rsidP="00F324E0">
            <w:pPr>
              <w:rPr>
                <w:color w:val="000000"/>
                <w:sz w:val="20"/>
                <w:szCs w:val="20"/>
              </w:rPr>
            </w:pPr>
            <w:r w:rsidRPr="00F324E0">
              <w:rPr>
                <w:color w:val="000000"/>
                <w:sz w:val="20"/>
                <w:szCs w:val="20"/>
              </w:rPr>
              <w:t xml:space="preserve">Size </w:t>
            </w:r>
          </w:p>
        </w:tc>
        <w:tc>
          <w:tcPr>
            <w:tcW w:w="5056" w:type="dxa"/>
            <w:gridSpan w:val="2"/>
            <w:tcBorders>
              <w:top w:val="nil"/>
              <w:left w:val="nil"/>
              <w:bottom w:val="nil"/>
              <w:right w:val="nil"/>
            </w:tcBorders>
            <w:shd w:val="clear" w:color="auto" w:fill="auto"/>
            <w:noWrap/>
          </w:tcPr>
          <w:p w14:paraId="2791DA96" w14:textId="77777777" w:rsidR="00F324E0" w:rsidRPr="00F324E0" w:rsidRDefault="00F324E0" w:rsidP="00F324E0">
            <w:pPr>
              <w:rPr>
                <w:sz w:val="20"/>
                <w:szCs w:val="20"/>
              </w:rPr>
            </w:pPr>
            <w:r w:rsidRPr="00F324E0">
              <w:rPr>
                <w:sz w:val="20"/>
                <w:szCs w:val="20"/>
              </w:rPr>
              <w:t>ln (Book value of assets)</w:t>
            </w:r>
          </w:p>
        </w:tc>
        <w:tc>
          <w:tcPr>
            <w:tcW w:w="2540" w:type="dxa"/>
            <w:tcBorders>
              <w:top w:val="nil"/>
              <w:left w:val="nil"/>
              <w:bottom w:val="nil"/>
              <w:right w:val="nil"/>
            </w:tcBorders>
            <w:shd w:val="clear" w:color="auto" w:fill="auto"/>
            <w:noWrap/>
          </w:tcPr>
          <w:p w14:paraId="217B7E17" w14:textId="77777777" w:rsidR="00F324E0" w:rsidRPr="00F324E0" w:rsidRDefault="00F324E0" w:rsidP="00F324E0">
            <w:pPr>
              <w:rPr>
                <w:sz w:val="20"/>
                <w:szCs w:val="20"/>
              </w:rPr>
            </w:pPr>
            <w:r w:rsidRPr="00F324E0">
              <w:rPr>
                <w:sz w:val="20"/>
                <w:szCs w:val="20"/>
              </w:rPr>
              <w:t>Compustat</w:t>
            </w:r>
          </w:p>
          <w:p w14:paraId="19A10AC7" w14:textId="77777777" w:rsidR="00F324E0" w:rsidRPr="00F324E0" w:rsidRDefault="00F324E0" w:rsidP="00F324E0">
            <w:pPr>
              <w:rPr>
                <w:sz w:val="20"/>
                <w:szCs w:val="20"/>
              </w:rPr>
            </w:pPr>
            <w:r w:rsidRPr="00F324E0">
              <w:rPr>
                <w:sz w:val="20"/>
                <w:szCs w:val="20"/>
              </w:rPr>
              <w:t>Ln(AT)</w:t>
            </w:r>
          </w:p>
        </w:tc>
      </w:tr>
      <w:tr w:rsidR="00F324E0" w:rsidRPr="00F324E0" w14:paraId="3E4A1FD6" w14:textId="77777777" w:rsidTr="00B103CC">
        <w:trPr>
          <w:trHeight w:val="288"/>
        </w:trPr>
        <w:tc>
          <w:tcPr>
            <w:tcW w:w="1872" w:type="dxa"/>
            <w:tcBorders>
              <w:top w:val="nil"/>
              <w:left w:val="nil"/>
              <w:bottom w:val="nil"/>
              <w:right w:val="nil"/>
            </w:tcBorders>
            <w:shd w:val="clear" w:color="auto" w:fill="auto"/>
            <w:noWrap/>
          </w:tcPr>
          <w:p w14:paraId="47CDCCF5" w14:textId="77777777" w:rsidR="00F324E0" w:rsidRPr="00F324E0" w:rsidRDefault="00F324E0" w:rsidP="00F324E0">
            <w:pPr>
              <w:rPr>
                <w:sz w:val="20"/>
                <w:szCs w:val="20"/>
              </w:rPr>
            </w:pPr>
            <w:r w:rsidRPr="00F324E0">
              <w:rPr>
                <w:sz w:val="20"/>
                <w:szCs w:val="20"/>
              </w:rPr>
              <w:t>ROA</w:t>
            </w:r>
          </w:p>
        </w:tc>
        <w:tc>
          <w:tcPr>
            <w:tcW w:w="5056" w:type="dxa"/>
            <w:gridSpan w:val="2"/>
            <w:tcBorders>
              <w:top w:val="nil"/>
              <w:left w:val="nil"/>
              <w:bottom w:val="nil"/>
              <w:right w:val="nil"/>
            </w:tcBorders>
            <w:shd w:val="clear" w:color="auto" w:fill="auto"/>
            <w:noWrap/>
          </w:tcPr>
          <w:p w14:paraId="3D3CA281" w14:textId="77777777" w:rsidR="00F324E0" w:rsidRPr="00F324E0" w:rsidRDefault="00F324E0" w:rsidP="00F324E0">
            <w:pPr>
              <w:rPr>
                <w:sz w:val="20"/>
                <w:szCs w:val="20"/>
              </w:rPr>
            </w:pPr>
            <w:r w:rsidRPr="00F324E0">
              <w:rPr>
                <w:sz w:val="20"/>
                <w:szCs w:val="20"/>
              </w:rPr>
              <w:t>Net income/assets</w:t>
            </w:r>
          </w:p>
        </w:tc>
        <w:tc>
          <w:tcPr>
            <w:tcW w:w="2540" w:type="dxa"/>
            <w:tcBorders>
              <w:top w:val="nil"/>
              <w:left w:val="nil"/>
              <w:bottom w:val="nil"/>
              <w:right w:val="nil"/>
            </w:tcBorders>
            <w:shd w:val="clear" w:color="auto" w:fill="auto"/>
            <w:noWrap/>
          </w:tcPr>
          <w:p w14:paraId="5A32FDFC" w14:textId="77777777" w:rsidR="00F324E0" w:rsidRPr="00F324E0" w:rsidRDefault="00F324E0" w:rsidP="00F324E0">
            <w:pPr>
              <w:rPr>
                <w:sz w:val="20"/>
                <w:szCs w:val="20"/>
              </w:rPr>
            </w:pPr>
            <w:r w:rsidRPr="00F324E0">
              <w:rPr>
                <w:sz w:val="20"/>
                <w:szCs w:val="20"/>
              </w:rPr>
              <w:t>Compustat</w:t>
            </w:r>
          </w:p>
          <w:p w14:paraId="7146A58E" w14:textId="77777777" w:rsidR="00F324E0" w:rsidRPr="00F324E0" w:rsidRDefault="00F324E0" w:rsidP="00F324E0">
            <w:pPr>
              <w:rPr>
                <w:sz w:val="20"/>
                <w:szCs w:val="20"/>
              </w:rPr>
            </w:pPr>
            <w:r w:rsidRPr="00F324E0">
              <w:rPr>
                <w:sz w:val="20"/>
                <w:szCs w:val="20"/>
              </w:rPr>
              <w:t>(NI/AT)</w:t>
            </w:r>
          </w:p>
        </w:tc>
      </w:tr>
      <w:tr w:rsidR="00F324E0" w:rsidRPr="00F324E0" w14:paraId="2D666C25" w14:textId="77777777" w:rsidTr="00B103CC">
        <w:trPr>
          <w:trHeight w:val="288"/>
        </w:trPr>
        <w:tc>
          <w:tcPr>
            <w:tcW w:w="1872" w:type="dxa"/>
            <w:tcBorders>
              <w:top w:val="nil"/>
              <w:left w:val="nil"/>
              <w:bottom w:val="nil"/>
              <w:right w:val="nil"/>
            </w:tcBorders>
            <w:shd w:val="clear" w:color="auto" w:fill="auto"/>
            <w:noWrap/>
          </w:tcPr>
          <w:p w14:paraId="3CB43A45" w14:textId="77777777" w:rsidR="00F324E0" w:rsidRPr="00F324E0" w:rsidRDefault="00F324E0" w:rsidP="00F324E0">
            <w:pPr>
              <w:rPr>
                <w:sz w:val="20"/>
                <w:szCs w:val="20"/>
              </w:rPr>
            </w:pPr>
            <w:r w:rsidRPr="00F324E0">
              <w:rPr>
                <w:sz w:val="20"/>
                <w:szCs w:val="20"/>
              </w:rPr>
              <w:t xml:space="preserve">Leverage </w:t>
            </w:r>
          </w:p>
        </w:tc>
        <w:tc>
          <w:tcPr>
            <w:tcW w:w="5056" w:type="dxa"/>
            <w:gridSpan w:val="2"/>
            <w:tcBorders>
              <w:top w:val="nil"/>
              <w:left w:val="nil"/>
              <w:bottom w:val="nil"/>
              <w:right w:val="nil"/>
            </w:tcBorders>
            <w:shd w:val="clear" w:color="auto" w:fill="auto"/>
            <w:noWrap/>
          </w:tcPr>
          <w:p w14:paraId="692C47A0" w14:textId="77777777" w:rsidR="00F324E0" w:rsidRPr="00F324E0" w:rsidRDefault="00F324E0" w:rsidP="00F324E0">
            <w:pPr>
              <w:rPr>
                <w:sz w:val="20"/>
                <w:szCs w:val="20"/>
              </w:rPr>
            </w:pPr>
            <w:r w:rsidRPr="00F324E0">
              <w:rPr>
                <w:sz w:val="20"/>
                <w:szCs w:val="20"/>
              </w:rPr>
              <w:t>Book value of long-term debt/Market value of equity</w:t>
            </w:r>
          </w:p>
        </w:tc>
        <w:tc>
          <w:tcPr>
            <w:tcW w:w="2540" w:type="dxa"/>
            <w:tcBorders>
              <w:top w:val="nil"/>
              <w:left w:val="nil"/>
              <w:bottom w:val="nil"/>
              <w:right w:val="nil"/>
            </w:tcBorders>
            <w:shd w:val="clear" w:color="auto" w:fill="auto"/>
            <w:noWrap/>
          </w:tcPr>
          <w:p w14:paraId="62C4A7CE" w14:textId="77777777" w:rsidR="00F324E0" w:rsidRPr="00F324E0" w:rsidRDefault="00F324E0" w:rsidP="00F324E0">
            <w:pPr>
              <w:rPr>
                <w:sz w:val="20"/>
                <w:szCs w:val="20"/>
              </w:rPr>
            </w:pPr>
            <w:r w:rsidRPr="00F324E0">
              <w:rPr>
                <w:sz w:val="20"/>
                <w:szCs w:val="20"/>
              </w:rPr>
              <w:t>Compustat [DLTT/(PRCC_C*CSHO)]</w:t>
            </w:r>
          </w:p>
        </w:tc>
      </w:tr>
      <w:tr w:rsidR="00F324E0" w:rsidRPr="00F324E0" w14:paraId="3815B08A" w14:textId="77777777" w:rsidTr="00B103CC">
        <w:trPr>
          <w:trHeight w:val="288"/>
        </w:trPr>
        <w:tc>
          <w:tcPr>
            <w:tcW w:w="1872" w:type="dxa"/>
            <w:tcBorders>
              <w:top w:val="nil"/>
              <w:left w:val="nil"/>
              <w:bottom w:val="nil"/>
              <w:right w:val="nil"/>
            </w:tcBorders>
            <w:shd w:val="clear" w:color="auto" w:fill="auto"/>
            <w:noWrap/>
          </w:tcPr>
          <w:p w14:paraId="4D4F86E8" w14:textId="77777777" w:rsidR="00F324E0" w:rsidRPr="00F324E0" w:rsidRDefault="00F324E0" w:rsidP="00F324E0">
            <w:pPr>
              <w:rPr>
                <w:sz w:val="20"/>
                <w:szCs w:val="20"/>
              </w:rPr>
            </w:pPr>
            <w:r w:rsidRPr="00F324E0">
              <w:rPr>
                <w:sz w:val="20"/>
                <w:szCs w:val="20"/>
              </w:rPr>
              <w:t xml:space="preserve">Inv_growth </w:t>
            </w:r>
          </w:p>
        </w:tc>
        <w:tc>
          <w:tcPr>
            <w:tcW w:w="5056" w:type="dxa"/>
            <w:gridSpan w:val="2"/>
            <w:tcBorders>
              <w:top w:val="nil"/>
              <w:left w:val="nil"/>
              <w:bottom w:val="nil"/>
              <w:right w:val="nil"/>
            </w:tcBorders>
            <w:shd w:val="clear" w:color="auto" w:fill="auto"/>
            <w:noWrap/>
          </w:tcPr>
          <w:p w14:paraId="7EF74659" w14:textId="77777777" w:rsidR="00F324E0" w:rsidRPr="00F324E0" w:rsidRDefault="00F324E0" w:rsidP="00F324E0">
            <w:pPr>
              <w:rPr>
                <w:sz w:val="20"/>
                <w:szCs w:val="20"/>
              </w:rPr>
            </w:pPr>
            <w:r w:rsidRPr="00F324E0">
              <w:rPr>
                <w:sz w:val="20"/>
                <w:szCs w:val="20"/>
              </w:rPr>
              <w:t>Capital expenditure/total assets</w:t>
            </w:r>
          </w:p>
        </w:tc>
        <w:tc>
          <w:tcPr>
            <w:tcW w:w="2540" w:type="dxa"/>
            <w:tcBorders>
              <w:top w:val="nil"/>
              <w:left w:val="nil"/>
              <w:bottom w:val="nil"/>
              <w:right w:val="nil"/>
            </w:tcBorders>
            <w:shd w:val="clear" w:color="auto" w:fill="auto"/>
            <w:noWrap/>
          </w:tcPr>
          <w:p w14:paraId="6F52BCE4" w14:textId="77777777" w:rsidR="00F324E0" w:rsidRPr="00F324E0" w:rsidRDefault="00F324E0" w:rsidP="00F324E0">
            <w:pPr>
              <w:rPr>
                <w:sz w:val="20"/>
                <w:szCs w:val="20"/>
              </w:rPr>
            </w:pPr>
            <w:r w:rsidRPr="00F324E0">
              <w:rPr>
                <w:sz w:val="20"/>
                <w:szCs w:val="20"/>
              </w:rPr>
              <w:t xml:space="preserve">Compustat </w:t>
            </w:r>
          </w:p>
          <w:p w14:paraId="54255AB5" w14:textId="77777777" w:rsidR="00F324E0" w:rsidRPr="00F324E0" w:rsidRDefault="00F324E0" w:rsidP="00F324E0">
            <w:pPr>
              <w:rPr>
                <w:sz w:val="20"/>
                <w:szCs w:val="20"/>
              </w:rPr>
            </w:pPr>
            <w:r w:rsidRPr="00F324E0">
              <w:rPr>
                <w:sz w:val="20"/>
                <w:szCs w:val="20"/>
              </w:rPr>
              <w:t>(CAPX/AT)</w:t>
            </w:r>
          </w:p>
        </w:tc>
      </w:tr>
      <w:tr w:rsidR="00F324E0" w:rsidRPr="00F324E0" w14:paraId="171CB08D" w14:textId="77777777" w:rsidTr="00B103CC">
        <w:trPr>
          <w:trHeight w:val="288"/>
        </w:trPr>
        <w:tc>
          <w:tcPr>
            <w:tcW w:w="1872" w:type="dxa"/>
            <w:tcBorders>
              <w:top w:val="nil"/>
              <w:left w:val="nil"/>
              <w:bottom w:val="nil"/>
              <w:right w:val="nil"/>
            </w:tcBorders>
            <w:shd w:val="clear" w:color="auto" w:fill="auto"/>
            <w:noWrap/>
          </w:tcPr>
          <w:p w14:paraId="33226F5B" w14:textId="77777777" w:rsidR="00F324E0" w:rsidRPr="00F324E0" w:rsidRDefault="00F324E0" w:rsidP="00F324E0">
            <w:pPr>
              <w:rPr>
                <w:sz w:val="20"/>
                <w:szCs w:val="20"/>
              </w:rPr>
            </w:pPr>
            <w:r w:rsidRPr="00F324E0">
              <w:rPr>
                <w:sz w:val="20"/>
                <w:szCs w:val="20"/>
              </w:rPr>
              <w:t>Dividends</w:t>
            </w:r>
          </w:p>
        </w:tc>
        <w:tc>
          <w:tcPr>
            <w:tcW w:w="5056" w:type="dxa"/>
            <w:gridSpan w:val="2"/>
            <w:tcBorders>
              <w:top w:val="nil"/>
              <w:left w:val="nil"/>
              <w:bottom w:val="nil"/>
              <w:right w:val="nil"/>
            </w:tcBorders>
            <w:shd w:val="clear" w:color="auto" w:fill="auto"/>
            <w:noWrap/>
          </w:tcPr>
          <w:p w14:paraId="4B16CC00" w14:textId="77777777" w:rsidR="00F324E0" w:rsidRPr="00F324E0" w:rsidRDefault="00F324E0" w:rsidP="00F324E0">
            <w:pPr>
              <w:rPr>
                <w:sz w:val="20"/>
                <w:szCs w:val="20"/>
              </w:rPr>
            </w:pPr>
            <w:r w:rsidRPr="00F324E0">
              <w:rPr>
                <w:sz w:val="20"/>
                <w:szCs w:val="20"/>
              </w:rPr>
              <w:t>= 1 if the firm paid dividends in that year, 0 otherwise</w:t>
            </w:r>
          </w:p>
        </w:tc>
        <w:tc>
          <w:tcPr>
            <w:tcW w:w="2540" w:type="dxa"/>
            <w:tcBorders>
              <w:top w:val="nil"/>
              <w:left w:val="nil"/>
              <w:bottom w:val="nil"/>
              <w:right w:val="nil"/>
            </w:tcBorders>
            <w:shd w:val="clear" w:color="auto" w:fill="auto"/>
            <w:noWrap/>
          </w:tcPr>
          <w:p w14:paraId="449D02F4" w14:textId="77777777" w:rsidR="00F324E0" w:rsidRPr="00F324E0" w:rsidRDefault="00F324E0" w:rsidP="00F324E0">
            <w:pPr>
              <w:rPr>
                <w:sz w:val="20"/>
                <w:szCs w:val="20"/>
              </w:rPr>
            </w:pPr>
            <w:r w:rsidRPr="00F324E0">
              <w:rPr>
                <w:sz w:val="20"/>
                <w:szCs w:val="20"/>
              </w:rPr>
              <w:t xml:space="preserve">Compustat </w:t>
            </w:r>
          </w:p>
          <w:p w14:paraId="56871425" w14:textId="77777777" w:rsidR="00F324E0" w:rsidRPr="00F324E0" w:rsidRDefault="00F324E0" w:rsidP="00F324E0">
            <w:pPr>
              <w:rPr>
                <w:sz w:val="20"/>
                <w:szCs w:val="20"/>
              </w:rPr>
            </w:pPr>
            <w:r w:rsidRPr="00F324E0">
              <w:rPr>
                <w:sz w:val="20"/>
                <w:szCs w:val="20"/>
              </w:rPr>
              <w:t>(DVT)</w:t>
            </w:r>
          </w:p>
        </w:tc>
      </w:tr>
      <w:tr w:rsidR="00F324E0" w:rsidRPr="00F324E0" w14:paraId="16C81546" w14:textId="77777777" w:rsidTr="00B103CC">
        <w:trPr>
          <w:trHeight w:val="288"/>
        </w:trPr>
        <w:tc>
          <w:tcPr>
            <w:tcW w:w="1872" w:type="dxa"/>
            <w:tcBorders>
              <w:top w:val="nil"/>
              <w:left w:val="nil"/>
              <w:bottom w:val="nil"/>
              <w:right w:val="nil"/>
            </w:tcBorders>
            <w:shd w:val="clear" w:color="auto" w:fill="auto"/>
            <w:noWrap/>
          </w:tcPr>
          <w:p w14:paraId="42ADD449" w14:textId="77777777" w:rsidR="00F324E0" w:rsidRPr="00F324E0" w:rsidRDefault="00F324E0" w:rsidP="00F324E0">
            <w:pPr>
              <w:rPr>
                <w:sz w:val="20"/>
                <w:szCs w:val="20"/>
              </w:rPr>
            </w:pPr>
            <w:r w:rsidRPr="00F324E0">
              <w:rPr>
                <w:bCs/>
                <w:color w:val="000000"/>
                <w:sz w:val="20"/>
                <w:szCs w:val="20"/>
              </w:rPr>
              <w:t>Headquarter dummy</w:t>
            </w:r>
          </w:p>
        </w:tc>
        <w:tc>
          <w:tcPr>
            <w:tcW w:w="5056" w:type="dxa"/>
            <w:gridSpan w:val="2"/>
            <w:tcBorders>
              <w:top w:val="nil"/>
              <w:left w:val="nil"/>
              <w:bottom w:val="nil"/>
              <w:right w:val="nil"/>
            </w:tcBorders>
            <w:shd w:val="clear" w:color="auto" w:fill="auto"/>
            <w:noWrap/>
          </w:tcPr>
          <w:p w14:paraId="21B5BDCD" w14:textId="77777777" w:rsidR="00F324E0" w:rsidRPr="00F324E0" w:rsidRDefault="00F324E0" w:rsidP="00F324E0">
            <w:pPr>
              <w:rPr>
                <w:sz w:val="20"/>
                <w:szCs w:val="20"/>
              </w:rPr>
            </w:pPr>
            <w:r w:rsidRPr="00F324E0">
              <w:rPr>
                <w:bCs/>
                <w:color w:val="000000"/>
                <w:sz w:val="20"/>
                <w:szCs w:val="20"/>
              </w:rPr>
              <w:t xml:space="preserve">= 1 if </w:t>
            </w:r>
            <w:r w:rsidRPr="00F324E0">
              <w:rPr>
                <w:color w:val="000000"/>
                <w:sz w:val="20"/>
                <w:szCs w:val="20"/>
              </w:rPr>
              <w:t>the owner of a manufacturer is headquartered in CA</w:t>
            </w:r>
          </w:p>
        </w:tc>
        <w:tc>
          <w:tcPr>
            <w:tcW w:w="2540" w:type="dxa"/>
            <w:tcBorders>
              <w:top w:val="nil"/>
              <w:left w:val="nil"/>
              <w:bottom w:val="nil"/>
              <w:right w:val="nil"/>
            </w:tcBorders>
            <w:shd w:val="clear" w:color="auto" w:fill="auto"/>
            <w:noWrap/>
          </w:tcPr>
          <w:p w14:paraId="543F2DAC" w14:textId="77777777" w:rsidR="00F324E0" w:rsidRPr="00F324E0" w:rsidRDefault="00F324E0" w:rsidP="00F324E0">
            <w:pPr>
              <w:rPr>
                <w:sz w:val="20"/>
                <w:szCs w:val="20"/>
              </w:rPr>
            </w:pPr>
            <w:r w:rsidRPr="00F324E0">
              <w:rPr>
                <w:sz w:val="20"/>
                <w:szCs w:val="20"/>
              </w:rPr>
              <w:t>Compustat</w:t>
            </w:r>
          </w:p>
        </w:tc>
      </w:tr>
      <w:tr w:rsidR="00F324E0" w:rsidRPr="00F324E0" w14:paraId="560036F2" w14:textId="77777777" w:rsidTr="00B103CC">
        <w:trPr>
          <w:trHeight w:val="288"/>
        </w:trPr>
        <w:tc>
          <w:tcPr>
            <w:tcW w:w="1872" w:type="dxa"/>
            <w:tcBorders>
              <w:top w:val="nil"/>
              <w:left w:val="nil"/>
              <w:bottom w:val="nil"/>
              <w:right w:val="nil"/>
            </w:tcBorders>
            <w:shd w:val="clear" w:color="auto" w:fill="auto"/>
            <w:noWrap/>
          </w:tcPr>
          <w:p w14:paraId="14E4E697" w14:textId="77777777" w:rsidR="00F324E0" w:rsidRPr="00F324E0" w:rsidRDefault="00F324E0" w:rsidP="00F324E0">
            <w:pPr>
              <w:rPr>
                <w:sz w:val="20"/>
                <w:szCs w:val="20"/>
              </w:rPr>
            </w:pPr>
            <w:r w:rsidRPr="00F324E0">
              <w:rPr>
                <w:sz w:val="20"/>
                <w:szCs w:val="20"/>
              </w:rPr>
              <w:t>Opacity</w:t>
            </w:r>
          </w:p>
        </w:tc>
        <w:tc>
          <w:tcPr>
            <w:tcW w:w="5056" w:type="dxa"/>
            <w:gridSpan w:val="2"/>
            <w:tcBorders>
              <w:top w:val="nil"/>
              <w:left w:val="nil"/>
              <w:bottom w:val="nil"/>
              <w:right w:val="nil"/>
            </w:tcBorders>
            <w:shd w:val="clear" w:color="auto" w:fill="auto"/>
            <w:noWrap/>
          </w:tcPr>
          <w:p w14:paraId="2C6EDF43" w14:textId="77777777" w:rsidR="00F324E0" w:rsidRPr="00F324E0" w:rsidRDefault="00F324E0" w:rsidP="00F324E0">
            <w:pPr>
              <w:rPr>
                <w:sz w:val="20"/>
                <w:szCs w:val="20"/>
              </w:rPr>
            </w:pPr>
            <w:r w:rsidRPr="00F324E0">
              <w:rPr>
                <w:sz w:val="20"/>
                <w:szCs w:val="20"/>
              </w:rPr>
              <w:t>Intangible assets/total assets</w:t>
            </w:r>
          </w:p>
        </w:tc>
        <w:tc>
          <w:tcPr>
            <w:tcW w:w="2540" w:type="dxa"/>
            <w:tcBorders>
              <w:top w:val="nil"/>
              <w:left w:val="nil"/>
              <w:bottom w:val="nil"/>
              <w:right w:val="nil"/>
            </w:tcBorders>
            <w:shd w:val="clear" w:color="auto" w:fill="auto"/>
            <w:noWrap/>
          </w:tcPr>
          <w:p w14:paraId="3477CDDB" w14:textId="77777777" w:rsidR="00F324E0" w:rsidRPr="00F324E0" w:rsidRDefault="00F324E0" w:rsidP="00F324E0">
            <w:pPr>
              <w:rPr>
                <w:sz w:val="20"/>
                <w:szCs w:val="20"/>
              </w:rPr>
            </w:pPr>
            <w:r w:rsidRPr="00F324E0">
              <w:rPr>
                <w:sz w:val="20"/>
                <w:szCs w:val="20"/>
              </w:rPr>
              <w:t xml:space="preserve">Compustat </w:t>
            </w:r>
          </w:p>
          <w:p w14:paraId="73210D18" w14:textId="77777777" w:rsidR="00F324E0" w:rsidRPr="00F324E0" w:rsidRDefault="00F324E0" w:rsidP="00F324E0">
            <w:pPr>
              <w:rPr>
                <w:sz w:val="20"/>
                <w:szCs w:val="20"/>
              </w:rPr>
            </w:pPr>
            <w:r w:rsidRPr="00F324E0">
              <w:rPr>
                <w:sz w:val="20"/>
                <w:szCs w:val="20"/>
              </w:rPr>
              <w:t>(INTAN/AT)</w:t>
            </w:r>
          </w:p>
        </w:tc>
      </w:tr>
      <w:tr w:rsidR="00F324E0" w:rsidRPr="00F324E0" w14:paraId="090BDD8B" w14:textId="77777777" w:rsidTr="00B103CC">
        <w:trPr>
          <w:trHeight w:val="288"/>
        </w:trPr>
        <w:tc>
          <w:tcPr>
            <w:tcW w:w="1872" w:type="dxa"/>
            <w:tcBorders>
              <w:top w:val="nil"/>
              <w:left w:val="nil"/>
              <w:bottom w:val="nil"/>
              <w:right w:val="nil"/>
            </w:tcBorders>
            <w:shd w:val="clear" w:color="auto" w:fill="auto"/>
            <w:noWrap/>
          </w:tcPr>
          <w:p w14:paraId="6148CB09" w14:textId="77777777" w:rsidR="00F324E0" w:rsidRPr="00F324E0" w:rsidRDefault="00F324E0" w:rsidP="00F324E0">
            <w:pPr>
              <w:rPr>
                <w:sz w:val="20"/>
                <w:szCs w:val="20"/>
              </w:rPr>
            </w:pPr>
            <w:r w:rsidRPr="00F324E0">
              <w:rPr>
                <w:sz w:val="20"/>
                <w:szCs w:val="20"/>
              </w:rPr>
              <w:t xml:space="preserve">Slack </w:t>
            </w:r>
          </w:p>
        </w:tc>
        <w:tc>
          <w:tcPr>
            <w:tcW w:w="5056" w:type="dxa"/>
            <w:gridSpan w:val="2"/>
            <w:tcBorders>
              <w:top w:val="nil"/>
              <w:left w:val="nil"/>
              <w:bottom w:val="nil"/>
              <w:right w:val="nil"/>
            </w:tcBorders>
            <w:shd w:val="clear" w:color="auto" w:fill="auto"/>
            <w:noWrap/>
          </w:tcPr>
          <w:p w14:paraId="40A21267" w14:textId="77777777" w:rsidR="00F324E0" w:rsidRPr="00F324E0" w:rsidRDefault="00F324E0" w:rsidP="00F324E0">
            <w:pPr>
              <w:rPr>
                <w:sz w:val="20"/>
                <w:szCs w:val="20"/>
              </w:rPr>
            </w:pPr>
            <w:r w:rsidRPr="00F324E0">
              <w:rPr>
                <w:sz w:val="20"/>
                <w:szCs w:val="20"/>
              </w:rPr>
              <w:t>Cash and short-term investments/ t</w:t>
            </w:r>
            <w:r w:rsidRPr="00F324E0">
              <w:rPr>
                <w:rFonts w:eastAsiaTheme="minorEastAsia"/>
                <w:sz w:val="20"/>
                <w:szCs w:val="20"/>
              </w:rPr>
              <w:t>otal assets</w:t>
            </w:r>
          </w:p>
        </w:tc>
        <w:tc>
          <w:tcPr>
            <w:tcW w:w="2540" w:type="dxa"/>
            <w:tcBorders>
              <w:top w:val="nil"/>
              <w:left w:val="nil"/>
              <w:bottom w:val="nil"/>
              <w:right w:val="nil"/>
            </w:tcBorders>
            <w:shd w:val="clear" w:color="auto" w:fill="auto"/>
            <w:noWrap/>
          </w:tcPr>
          <w:p w14:paraId="24A8D61B" w14:textId="77777777" w:rsidR="00F324E0" w:rsidRPr="00F324E0" w:rsidRDefault="00F324E0" w:rsidP="00F324E0">
            <w:pPr>
              <w:rPr>
                <w:sz w:val="20"/>
                <w:szCs w:val="20"/>
              </w:rPr>
            </w:pPr>
            <w:r w:rsidRPr="00F324E0">
              <w:rPr>
                <w:sz w:val="20"/>
                <w:szCs w:val="20"/>
              </w:rPr>
              <w:t xml:space="preserve">Compustat </w:t>
            </w:r>
          </w:p>
          <w:p w14:paraId="7C2A97BB" w14:textId="77777777" w:rsidR="00F324E0" w:rsidRPr="00F324E0" w:rsidRDefault="00F324E0" w:rsidP="00F324E0">
            <w:pPr>
              <w:rPr>
                <w:sz w:val="20"/>
                <w:szCs w:val="20"/>
              </w:rPr>
            </w:pPr>
            <w:r w:rsidRPr="00F324E0">
              <w:rPr>
                <w:sz w:val="20"/>
                <w:szCs w:val="20"/>
              </w:rPr>
              <w:t>(</w:t>
            </w:r>
            <w:r w:rsidRPr="00F324E0">
              <w:rPr>
                <w:rFonts w:eastAsiaTheme="minorEastAsia"/>
                <w:color w:val="000000"/>
                <w:sz w:val="20"/>
                <w:szCs w:val="20"/>
                <w:shd w:val="clear" w:color="auto" w:fill="FFFFFF"/>
              </w:rPr>
              <w:t>CHE/AT)</w:t>
            </w:r>
          </w:p>
        </w:tc>
      </w:tr>
      <w:tr w:rsidR="00F324E0" w:rsidRPr="00F324E0" w14:paraId="0DA01FC4" w14:textId="77777777" w:rsidTr="00B103CC">
        <w:trPr>
          <w:trHeight w:val="288"/>
        </w:trPr>
        <w:tc>
          <w:tcPr>
            <w:tcW w:w="1872" w:type="dxa"/>
            <w:tcBorders>
              <w:top w:val="nil"/>
              <w:left w:val="nil"/>
              <w:bottom w:val="nil"/>
              <w:right w:val="nil"/>
            </w:tcBorders>
            <w:shd w:val="clear" w:color="auto" w:fill="auto"/>
            <w:noWrap/>
          </w:tcPr>
          <w:p w14:paraId="273ED3AC" w14:textId="77777777" w:rsidR="00F324E0" w:rsidRPr="00F324E0" w:rsidRDefault="00F324E0" w:rsidP="00F324E0">
            <w:pPr>
              <w:rPr>
                <w:sz w:val="20"/>
                <w:szCs w:val="20"/>
              </w:rPr>
            </w:pPr>
            <w:r w:rsidRPr="00F324E0">
              <w:rPr>
                <w:sz w:val="20"/>
                <w:szCs w:val="20"/>
              </w:rPr>
              <w:t>Subsector dummy</w:t>
            </w:r>
          </w:p>
        </w:tc>
        <w:tc>
          <w:tcPr>
            <w:tcW w:w="5056" w:type="dxa"/>
            <w:gridSpan w:val="2"/>
            <w:tcBorders>
              <w:top w:val="nil"/>
              <w:left w:val="nil"/>
              <w:bottom w:val="nil"/>
              <w:right w:val="nil"/>
            </w:tcBorders>
            <w:shd w:val="clear" w:color="auto" w:fill="auto"/>
            <w:noWrap/>
          </w:tcPr>
          <w:p w14:paraId="304B2D79" w14:textId="77777777" w:rsidR="00F324E0" w:rsidRPr="00F324E0" w:rsidRDefault="00F324E0" w:rsidP="00F324E0">
            <w:pPr>
              <w:rPr>
                <w:sz w:val="20"/>
                <w:szCs w:val="20"/>
              </w:rPr>
            </w:pPr>
            <w:r w:rsidRPr="00F324E0">
              <w:rPr>
                <w:bCs/>
                <w:color w:val="000000"/>
                <w:sz w:val="20"/>
                <w:szCs w:val="20"/>
              </w:rPr>
              <w:t xml:space="preserve">= 1 if </w:t>
            </w:r>
            <w:r w:rsidRPr="00F324E0">
              <w:rPr>
                <w:color w:val="000000"/>
                <w:sz w:val="20"/>
                <w:szCs w:val="20"/>
              </w:rPr>
              <w:t>the firm is affiliated with the production of wood, paper, beverage, and petroleum products</w:t>
            </w:r>
          </w:p>
        </w:tc>
        <w:tc>
          <w:tcPr>
            <w:tcW w:w="2540" w:type="dxa"/>
            <w:tcBorders>
              <w:top w:val="nil"/>
              <w:left w:val="nil"/>
              <w:bottom w:val="nil"/>
              <w:right w:val="nil"/>
            </w:tcBorders>
            <w:shd w:val="clear" w:color="auto" w:fill="auto"/>
            <w:noWrap/>
          </w:tcPr>
          <w:p w14:paraId="4F1C5971" w14:textId="77777777" w:rsidR="00F324E0" w:rsidRPr="00F324E0" w:rsidRDefault="00F324E0" w:rsidP="00F324E0">
            <w:pPr>
              <w:rPr>
                <w:sz w:val="20"/>
                <w:szCs w:val="20"/>
              </w:rPr>
            </w:pPr>
            <w:r w:rsidRPr="00F324E0">
              <w:rPr>
                <w:sz w:val="20"/>
                <w:szCs w:val="20"/>
              </w:rPr>
              <w:t xml:space="preserve">Compustat </w:t>
            </w:r>
          </w:p>
        </w:tc>
      </w:tr>
      <w:tr w:rsidR="00F324E0" w:rsidRPr="00F324E0" w14:paraId="60487A10" w14:textId="77777777" w:rsidTr="00B103CC">
        <w:trPr>
          <w:trHeight w:val="288"/>
        </w:trPr>
        <w:tc>
          <w:tcPr>
            <w:tcW w:w="1872" w:type="dxa"/>
            <w:tcBorders>
              <w:top w:val="nil"/>
              <w:left w:val="nil"/>
              <w:bottom w:val="single" w:sz="4" w:space="0" w:color="auto"/>
              <w:right w:val="nil"/>
            </w:tcBorders>
            <w:shd w:val="clear" w:color="auto" w:fill="auto"/>
            <w:noWrap/>
          </w:tcPr>
          <w:p w14:paraId="52EF6244" w14:textId="77777777" w:rsidR="00F324E0" w:rsidRPr="00F324E0" w:rsidRDefault="00F324E0" w:rsidP="00F324E0">
            <w:pPr>
              <w:rPr>
                <w:sz w:val="20"/>
                <w:szCs w:val="20"/>
              </w:rPr>
            </w:pPr>
            <w:r w:rsidRPr="00F324E0">
              <w:rPr>
                <w:sz w:val="20"/>
                <w:szCs w:val="20"/>
              </w:rPr>
              <w:t>Complexity dummy</w:t>
            </w:r>
          </w:p>
        </w:tc>
        <w:tc>
          <w:tcPr>
            <w:tcW w:w="5056" w:type="dxa"/>
            <w:gridSpan w:val="2"/>
            <w:tcBorders>
              <w:top w:val="nil"/>
              <w:left w:val="nil"/>
              <w:bottom w:val="single" w:sz="4" w:space="0" w:color="auto"/>
              <w:right w:val="nil"/>
            </w:tcBorders>
            <w:shd w:val="clear" w:color="auto" w:fill="auto"/>
            <w:noWrap/>
          </w:tcPr>
          <w:p w14:paraId="4499B028" w14:textId="77777777" w:rsidR="00F324E0" w:rsidRPr="00F324E0" w:rsidRDefault="00F324E0" w:rsidP="00F324E0">
            <w:pPr>
              <w:rPr>
                <w:sz w:val="20"/>
                <w:szCs w:val="20"/>
              </w:rPr>
            </w:pPr>
            <w:r w:rsidRPr="00F324E0">
              <w:rPr>
                <w:sz w:val="20"/>
                <w:szCs w:val="20"/>
              </w:rPr>
              <w:t>=1 if a firm has a SIC or NAICS code beyond manufacturing sector (NAICS 31-33 or SIC 20-39)</w:t>
            </w:r>
          </w:p>
        </w:tc>
        <w:tc>
          <w:tcPr>
            <w:tcW w:w="2540" w:type="dxa"/>
            <w:tcBorders>
              <w:top w:val="nil"/>
              <w:left w:val="nil"/>
              <w:bottom w:val="single" w:sz="4" w:space="0" w:color="auto"/>
              <w:right w:val="nil"/>
            </w:tcBorders>
            <w:shd w:val="clear" w:color="auto" w:fill="auto"/>
            <w:noWrap/>
          </w:tcPr>
          <w:p w14:paraId="5707C61F" w14:textId="77777777" w:rsidR="00F324E0" w:rsidRPr="00F324E0" w:rsidRDefault="00F324E0" w:rsidP="00F324E0">
            <w:pPr>
              <w:rPr>
                <w:sz w:val="20"/>
                <w:szCs w:val="20"/>
              </w:rPr>
            </w:pPr>
            <w:r w:rsidRPr="00F324E0">
              <w:rPr>
                <w:sz w:val="20"/>
                <w:szCs w:val="20"/>
              </w:rPr>
              <w:t>Compustat</w:t>
            </w:r>
          </w:p>
        </w:tc>
      </w:tr>
    </w:tbl>
    <w:p w14:paraId="577F99BE" w14:textId="77777777" w:rsidR="00F324E0" w:rsidRPr="00F324E0" w:rsidRDefault="00F324E0" w:rsidP="00F324E0">
      <w:pPr>
        <w:autoSpaceDE w:val="0"/>
        <w:autoSpaceDN w:val="0"/>
        <w:adjustRightInd w:val="0"/>
        <w:spacing w:line="360" w:lineRule="auto"/>
      </w:pPr>
    </w:p>
    <w:p w14:paraId="5539F75F" w14:textId="77777777" w:rsidR="00F324E0" w:rsidRPr="00F324E0" w:rsidRDefault="00F324E0" w:rsidP="00F324E0">
      <w:pPr>
        <w:autoSpaceDE w:val="0"/>
        <w:autoSpaceDN w:val="0"/>
        <w:adjustRightInd w:val="0"/>
        <w:spacing w:line="360" w:lineRule="auto"/>
      </w:pPr>
    </w:p>
    <w:p w14:paraId="2BD3E030" w14:textId="77777777" w:rsidR="00F324E0" w:rsidRPr="00F324E0" w:rsidRDefault="00F324E0" w:rsidP="00F324E0">
      <w:pPr>
        <w:autoSpaceDE w:val="0"/>
        <w:autoSpaceDN w:val="0"/>
        <w:adjustRightInd w:val="0"/>
        <w:spacing w:line="360" w:lineRule="auto"/>
      </w:pPr>
    </w:p>
    <w:p w14:paraId="7A4C61C2" w14:textId="77777777" w:rsidR="00F324E0" w:rsidRPr="00F324E0" w:rsidRDefault="00F324E0" w:rsidP="00F324E0">
      <w:pPr>
        <w:autoSpaceDE w:val="0"/>
        <w:autoSpaceDN w:val="0"/>
        <w:adjustRightInd w:val="0"/>
        <w:spacing w:line="360" w:lineRule="auto"/>
      </w:pPr>
    </w:p>
    <w:p w14:paraId="5F4F44E3" w14:textId="77777777" w:rsidR="00F324E0" w:rsidRPr="00F324E0" w:rsidRDefault="00F324E0" w:rsidP="00F324E0">
      <w:pPr>
        <w:autoSpaceDE w:val="0"/>
        <w:autoSpaceDN w:val="0"/>
        <w:adjustRightInd w:val="0"/>
        <w:spacing w:line="360" w:lineRule="auto"/>
      </w:pPr>
    </w:p>
    <w:p w14:paraId="7F12AA94" w14:textId="77777777" w:rsidR="00F324E0" w:rsidRPr="00F324E0" w:rsidRDefault="00F324E0" w:rsidP="00F324E0">
      <w:pPr>
        <w:autoSpaceDE w:val="0"/>
        <w:autoSpaceDN w:val="0"/>
        <w:adjustRightInd w:val="0"/>
        <w:spacing w:line="360" w:lineRule="auto"/>
      </w:pPr>
    </w:p>
    <w:p w14:paraId="0A26E21C" w14:textId="77777777" w:rsidR="00F324E0" w:rsidRPr="00F324E0" w:rsidRDefault="00F324E0" w:rsidP="00F324E0">
      <w:pPr>
        <w:autoSpaceDE w:val="0"/>
        <w:autoSpaceDN w:val="0"/>
        <w:adjustRightInd w:val="0"/>
        <w:spacing w:line="360" w:lineRule="auto"/>
      </w:pPr>
    </w:p>
    <w:p w14:paraId="10BD06D8" w14:textId="77777777" w:rsidR="00F324E0" w:rsidRPr="00F324E0" w:rsidRDefault="00F324E0" w:rsidP="00F324E0">
      <w:pPr>
        <w:autoSpaceDE w:val="0"/>
        <w:autoSpaceDN w:val="0"/>
        <w:adjustRightInd w:val="0"/>
        <w:spacing w:line="360" w:lineRule="auto"/>
      </w:pPr>
    </w:p>
    <w:p w14:paraId="3EBC4890" w14:textId="77777777" w:rsidR="00F324E0" w:rsidRPr="00F324E0" w:rsidRDefault="00F324E0" w:rsidP="00F324E0">
      <w:pPr>
        <w:autoSpaceDE w:val="0"/>
        <w:autoSpaceDN w:val="0"/>
        <w:adjustRightInd w:val="0"/>
        <w:spacing w:line="360" w:lineRule="auto"/>
      </w:pPr>
    </w:p>
    <w:p w14:paraId="583889B6" w14:textId="77777777" w:rsidR="00F324E0" w:rsidRPr="00F324E0" w:rsidRDefault="00F324E0" w:rsidP="00F324E0">
      <w:pPr>
        <w:autoSpaceDE w:val="0"/>
        <w:autoSpaceDN w:val="0"/>
        <w:adjustRightInd w:val="0"/>
        <w:spacing w:line="360" w:lineRule="auto"/>
      </w:pPr>
    </w:p>
    <w:p w14:paraId="0C07FD50" w14:textId="77777777" w:rsidR="00F324E0" w:rsidRPr="00F324E0" w:rsidRDefault="00F324E0" w:rsidP="00F324E0">
      <w:pPr>
        <w:autoSpaceDE w:val="0"/>
        <w:autoSpaceDN w:val="0"/>
        <w:adjustRightInd w:val="0"/>
        <w:spacing w:line="360" w:lineRule="auto"/>
      </w:pPr>
    </w:p>
    <w:p w14:paraId="298D92A6" w14:textId="77777777" w:rsidR="00F324E0" w:rsidRPr="00F324E0" w:rsidRDefault="00F324E0" w:rsidP="00F324E0">
      <w:pPr>
        <w:autoSpaceDE w:val="0"/>
        <w:autoSpaceDN w:val="0"/>
        <w:adjustRightInd w:val="0"/>
        <w:spacing w:line="360" w:lineRule="auto"/>
      </w:pPr>
    </w:p>
    <w:p w14:paraId="373FA0B4" w14:textId="77777777" w:rsidR="00F324E0" w:rsidRPr="00F324E0" w:rsidRDefault="00F324E0" w:rsidP="00F324E0">
      <w:pPr>
        <w:autoSpaceDE w:val="0"/>
        <w:autoSpaceDN w:val="0"/>
        <w:adjustRightInd w:val="0"/>
        <w:spacing w:line="360" w:lineRule="auto"/>
      </w:pPr>
    </w:p>
    <w:p w14:paraId="1F04EE49" w14:textId="77777777" w:rsidR="00F324E0" w:rsidRPr="00F324E0" w:rsidRDefault="00F324E0" w:rsidP="00F324E0">
      <w:pPr>
        <w:autoSpaceDE w:val="0"/>
        <w:autoSpaceDN w:val="0"/>
        <w:adjustRightInd w:val="0"/>
        <w:spacing w:line="360" w:lineRule="auto"/>
      </w:pPr>
    </w:p>
    <w:p w14:paraId="1B3638A5" w14:textId="77777777" w:rsidR="00F324E0" w:rsidRPr="00F324E0" w:rsidRDefault="00F324E0" w:rsidP="00F324E0">
      <w:pPr>
        <w:autoSpaceDE w:val="0"/>
        <w:autoSpaceDN w:val="0"/>
        <w:adjustRightInd w:val="0"/>
        <w:spacing w:line="360" w:lineRule="auto"/>
      </w:pPr>
    </w:p>
    <w:tbl>
      <w:tblPr>
        <w:tblW w:w="8857" w:type="dxa"/>
        <w:tblInd w:w="108" w:type="dxa"/>
        <w:tblLook w:val="04A0" w:firstRow="1" w:lastRow="0" w:firstColumn="1" w:lastColumn="0" w:noHBand="0" w:noVBand="1"/>
      </w:tblPr>
      <w:tblGrid>
        <w:gridCol w:w="2142"/>
        <w:gridCol w:w="554"/>
        <w:gridCol w:w="454"/>
        <w:gridCol w:w="257"/>
        <w:gridCol w:w="1235"/>
        <w:gridCol w:w="1332"/>
        <w:gridCol w:w="1278"/>
        <w:gridCol w:w="1605"/>
      </w:tblGrid>
      <w:tr w:rsidR="00F324E0" w:rsidRPr="00F324E0" w14:paraId="3340665F" w14:textId="77777777" w:rsidTr="00B103CC">
        <w:trPr>
          <w:trHeight w:val="285"/>
        </w:trPr>
        <w:tc>
          <w:tcPr>
            <w:tcW w:w="8857" w:type="dxa"/>
            <w:gridSpan w:val="8"/>
            <w:tcBorders>
              <w:top w:val="nil"/>
              <w:left w:val="nil"/>
              <w:bottom w:val="nil"/>
              <w:right w:val="nil"/>
            </w:tcBorders>
            <w:shd w:val="clear" w:color="auto" w:fill="auto"/>
            <w:noWrap/>
            <w:vAlign w:val="center"/>
            <w:hideMark/>
          </w:tcPr>
          <w:p w14:paraId="0A27C86B" w14:textId="77777777" w:rsidR="00F324E0" w:rsidRPr="00F324E0" w:rsidRDefault="00F324E0" w:rsidP="00F324E0">
            <w:pPr>
              <w:jc w:val="center"/>
              <w:rPr>
                <w:rFonts w:eastAsia="Times New Roman"/>
                <w:b/>
                <w:bCs/>
              </w:rPr>
            </w:pPr>
            <w:r w:rsidRPr="00F324E0">
              <w:rPr>
                <w:rFonts w:eastAsia="Times New Roman"/>
                <w:b/>
                <w:bCs/>
              </w:rPr>
              <w:t>Table 2</w:t>
            </w:r>
          </w:p>
        </w:tc>
      </w:tr>
      <w:tr w:rsidR="00F324E0" w:rsidRPr="00F324E0" w14:paraId="5A4D36CD" w14:textId="77777777" w:rsidTr="00B103CC">
        <w:trPr>
          <w:trHeight w:val="285"/>
        </w:trPr>
        <w:tc>
          <w:tcPr>
            <w:tcW w:w="8857" w:type="dxa"/>
            <w:gridSpan w:val="8"/>
            <w:tcBorders>
              <w:top w:val="nil"/>
              <w:left w:val="nil"/>
              <w:bottom w:val="nil"/>
              <w:right w:val="nil"/>
            </w:tcBorders>
            <w:shd w:val="clear" w:color="auto" w:fill="auto"/>
            <w:noWrap/>
            <w:vAlign w:val="center"/>
            <w:hideMark/>
          </w:tcPr>
          <w:p w14:paraId="48A41883" w14:textId="77777777" w:rsidR="00F324E0" w:rsidRPr="00F324E0" w:rsidRDefault="00F324E0" w:rsidP="00F324E0">
            <w:pPr>
              <w:jc w:val="center"/>
              <w:rPr>
                <w:rFonts w:eastAsia="Times New Roman"/>
                <w:b/>
                <w:bCs/>
              </w:rPr>
            </w:pPr>
            <w:r w:rsidRPr="00F324E0">
              <w:rPr>
                <w:rFonts w:eastAsia="Times New Roman"/>
                <w:b/>
                <w:bCs/>
              </w:rPr>
              <w:t>Descriptive Statistics</w:t>
            </w:r>
          </w:p>
        </w:tc>
      </w:tr>
      <w:tr w:rsidR="00F324E0" w:rsidRPr="00F324E0" w14:paraId="1BE5BCF9" w14:textId="77777777" w:rsidTr="00B103CC">
        <w:trPr>
          <w:trHeight w:val="300"/>
        </w:trPr>
        <w:tc>
          <w:tcPr>
            <w:tcW w:w="2696" w:type="dxa"/>
            <w:gridSpan w:val="2"/>
            <w:tcBorders>
              <w:top w:val="nil"/>
              <w:left w:val="nil"/>
              <w:bottom w:val="nil"/>
              <w:right w:val="nil"/>
            </w:tcBorders>
            <w:shd w:val="clear" w:color="auto" w:fill="auto"/>
            <w:noWrap/>
            <w:vAlign w:val="center"/>
            <w:hideMark/>
          </w:tcPr>
          <w:p w14:paraId="5F3C2ED0" w14:textId="77777777" w:rsidR="00F324E0" w:rsidRPr="00F324E0" w:rsidRDefault="00F324E0" w:rsidP="00F324E0">
            <w:pPr>
              <w:rPr>
                <w:rFonts w:eastAsia="Times New Roman"/>
                <w:b/>
                <w:bCs/>
              </w:rPr>
            </w:pPr>
          </w:p>
        </w:tc>
        <w:tc>
          <w:tcPr>
            <w:tcW w:w="711" w:type="dxa"/>
            <w:gridSpan w:val="2"/>
            <w:tcBorders>
              <w:top w:val="nil"/>
              <w:left w:val="nil"/>
              <w:bottom w:val="nil"/>
              <w:right w:val="nil"/>
            </w:tcBorders>
            <w:shd w:val="clear" w:color="auto" w:fill="auto"/>
            <w:noWrap/>
            <w:vAlign w:val="center"/>
            <w:hideMark/>
          </w:tcPr>
          <w:p w14:paraId="22DCC153" w14:textId="77777777" w:rsidR="00F324E0" w:rsidRPr="00F324E0" w:rsidRDefault="00F324E0" w:rsidP="00F324E0">
            <w:pPr>
              <w:jc w:val="center"/>
              <w:rPr>
                <w:rFonts w:eastAsia="Times New Roman"/>
              </w:rPr>
            </w:pPr>
          </w:p>
        </w:tc>
        <w:tc>
          <w:tcPr>
            <w:tcW w:w="1235" w:type="dxa"/>
            <w:tcBorders>
              <w:top w:val="nil"/>
              <w:left w:val="nil"/>
              <w:bottom w:val="nil"/>
              <w:right w:val="nil"/>
            </w:tcBorders>
            <w:shd w:val="clear" w:color="auto" w:fill="auto"/>
            <w:noWrap/>
            <w:vAlign w:val="center"/>
            <w:hideMark/>
          </w:tcPr>
          <w:p w14:paraId="09F145E0" w14:textId="77777777" w:rsidR="00F324E0" w:rsidRPr="00F324E0" w:rsidRDefault="00F324E0" w:rsidP="00F324E0">
            <w:pPr>
              <w:rPr>
                <w:rFonts w:eastAsia="Times New Roman"/>
              </w:rPr>
            </w:pPr>
          </w:p>
        </w:tc>
        <w:tc>
          <w:tcPr>
            <w:tcW w:w="1332" w:type="dxa"/>
            <w:tcBorders>
              <w:top w:val="nil"/>
              <w:left w:val="nil"/>
              <w:bottom w:val="nil"/>
              <w:right w:val="nil"/>
            </w:tcBorders>
            <w:shd w:val="clear" w:color="auto" w:fill="auto"/>
            <w:noWrap/>
            <w:vAlign w:val="center"/>
            <w:hideMark/>
          </w:tcPr>
          <w:p w14:paraId="0812691C" w14:textId="77777777" w:rsidR="00F324E0" w:rsidRPr="00F324E0" w:rsidRDefault="00F324E0" w:rsidP="00F324E0">
            <w:pPr>
              <w:rPr>
                <w:rFonts w:eastAsia="Times New Roman"/>
              </w:rPr>
            </w:pPr>
          </w:p>
        </w:tc>
        <w:tc>
          <w:tcPr>
            <w:tcW w:w="1278" w:type="dxa"/>
            <w:tcBorders>
              <w:top w:val="nil"/>
              <w:left w:val="nil"/>
              <w:bottom w:val="nil"/>
              <w:right w:val="nil"/>
            </w:tcBorders>
            <w:shd w:val="clear" w:color="auto" w:fill="auto"/>
            <w:noWrap/>
            <w:vAlign w:val="center"/>
            <w:hideMark/>
          </w:tcPr>
          <w:p w14:paraId="45571CA1" w14:textId="77777777" w:rsidR="00F324E0" w:rsidRPr="00F324E0" w:rsidRDefault="00F324E0" w:rsidP="00F324E0">
            <w:pPr>
              <w:rPr>
                <w:rFonts w:eastAsia="Times New Roman"/>
              </w:rPr>
            </w:pPr>
          </w:p>
        </w:tc>
        <w:tc>
          <w:tcPr>
            <w:tcW w:w="1605" w:type="dxa"/>
            <w:tcBorders>
              <w:top w:val="nil"/>
              <w:left w:val="nil"/>
              <w:bottom w:val="nil"/>
              <w:right w:val="nil"/>
            </w:tcBorders>
            <w:shd w:val="clear" w:color="auto" w:fill="auto"/>
            <w:noWrap/>
            <w:vAlign w:val="center"/>
            <w:hideMark/>
          </w:tcPr>
          <w:p w14:paraId="39F234F0" w14:textId="77777777" w:rsidR="00F324E0" w:rsidRPr="00F324E0" w:rsidRDefault="00F324E0" w:rsidP="00F324E0">
            <w:pPr>
              <w:rPr>
                <w:rFonts w:eastAsia="Times New Roman"/>
              </w:rPr>
            </w:pPr>
          </w:p>
        </w:tc>
      </w:tr>
      <w:tr w:rsidR="00F324E0" w:rsidRPr="00F324E0" w14:paraId="3DA2C9D4" w14:textId="77777777" w:rsidTr="00B103CC">
        <w:trPr>
          <w:trHeight w:val="300"/>
        </w:trPr>
        <w:tc>
          <w:tcPr>
            <w:tcW w:w="2142" w:type="dxa"/>
            <w:tcBorders>
              <w:top w:val="single" w:sz="4" w:space="0" w:color="auto"/>
              <w:left w:val="nil"/>
              <w:bottom w:val="single" w:sz="4" w:space="0" w:color="auto"/>
              <w:right w:val="nil"/>
            </w:tcBorders>
            <w:shd w:val="clear" w:color="auto" w:fill="auto"/>
            <w:noWrap/>
            <w:vAlign w:val="center"/>
            <w:hideMark/>
          </w:tcPr>
          <w:p w14:paraId="578F5181" w14:textId="77777777" w:rsidR="00F324E0" w:rsidRPr="00F324E0" w:rsidRDefault="00F324E0" w:rsidP="00F324E0">
            <w:pPr>
              <w:rPr>
                <w:rFonts w:eastAsia="Times New Roman"/>
              </w:rPr>
            </w:pPr>
            <w:r w:rsidRPr="00F324E0">
              <w:rPr>
                <w:sz w:val="22"/>
                <w:szCs w:val="22"/>
              </w:rPr>
              <w:t>Variable</w:t>
            </w:r>
          </w:p>
        </w:tc>
        <w:tc>
          <w:tcPr>
            <w:tcW w:w="1008" w:type="dxa"/>
            <w:gridSpan w:val="2"/>
            <w:tcBorders>
              <w:top w:val="single" w:sz="4" w:space="0" w:color="auto"/>
              <w:left w:val="nil"/>
              <w:bottom w:val="single" w:sz="4" w:space="0" w:color="auto"/>
              <w:right w:val="nil"/>
            </w:tcBorders>
            <w:shd w:val="clear" w:color="auto" w:fill="auto"/>
            <w:vAlign w:val="center"/>
            <w:hideMark/>
          </w:tcPr>
          <w:p w14:paraId="3036B2C8" w14:textId="77777777" w:rsidR="00F324E0" w:rsidRPr="00F324E0" w:rsidRDefault="00F324E0" w:rsidP="00F324E0">
            <w:pPr>
              <w:jc w:val="right"/>
              <w:rPr>
                <w:color w:val="000000"/>
              </w:rPr>
            </w:pPr>
            <w:r w:rsidRPr="00F324E0">
              <w:rPr>
                <w:color w:val="000000"/>
                <w:sz w:val="22"/>
                <w:szCs w:val="22"/>
              </w:rPr>
              <w:t>N</w:t>
            </w:r>
          </w:p>
        </w:tc>
        <w:tc>
          <w:tcPr>
            <w:tcW w:w="1492" w:type="dxa"/>
            <w:gridSpan w:val="2"/>
            <w:tcBorders>
              <w:top w:val="single" w:sz="4" w:space="0" w:color="auto"/>
              <w:left w:val="nil"/>
              <w:bottom w:val="single" w:sz="4" w:space="0" w:color="auto"/>
              <w:right w:val="nil"/>
            </w:tcBorders>
            <w:shd w:val="clear" w:color="auto" w:fill="auto"/>
            <w:vAlign w:val="center"/>
            <w:hideMark/>
          </w:tcPr>
          <w:p w14:paraId="3D75723B" w14:textId="77777777" w:rsidR="00F324E0" w:rsidRPr="00F324E0" w:rsidRDefault="00F324E0" w:rsidP="00F324E0">
            <w:pPr>
              <w:jc w:val="right"/>
              <w:rPr>
                <w:color w:val="000000"/>
              </w:rPr>
            </w:pPr>
            <w:r w:rsidRPr="00F324E0">
              <w:rPr>
                <w:color w:val="000000"/>
                <w:sz w:val="22"/>
                <w:szCs w:val="22"/>
              </w:rPr>
              <w:t>Mean</w:t>
            </w:r>
          </w:p>
        </w:tc>
        <w:tc>
          <w:tcPr>
            <w:tcW w:w="1332" w:type="dxa"/>
            <w:tcBorders>
              <w:top w:val="single" w:sz="4" w:space="0" w:color="auto"/>
              <w:left w:val="nil"/>
              <w:bottom w:val="single" w:sz="4" w:space="0" w:color="auto"/>
              <w:right w:val="nil"/>
            </w:tcBorders>
            <w:shd w:val="clear" w:color="auto" w:fill="auto"/>
            <w:vAlign w:val="center"/>
            <w:hideMark/>
          </w:tcPr>
          <w:p w14:paraId="5DAC1786" w14:textId="77777777" w:rsidR="00F324E0" w:rsidRPr="00F324E0" w:rsidRDefault="00F324E0" w:rsidP="00F324E0">
            <w:pPr>
              <w:jc w:val="right"/>
              <w:rPr>
                <w:color w:val="000000"/>
              </w:rPr>
            </w:pPr>
            <w:r w:rsidRPr="00F324E0">
              <w:rPr>
                <w:color w:val="000000"/>
                <w:sz w:val="22"/>
                <w:szCs w:val="22"/>
              </w:rPr>
              <w:t>Std. Deviation</w:t>
            </w:r>
          </w:p>
        </w:tc>
        <w:tc>
          <w:tcPr>
            <w:tcW w:w="1278" w:type="dxa"/>
            <w:tcBorders>
              <w:top w:val="single" w:sz="4" w:space="0" w:color="auto"/>
              <w:left w:val="nil"/>
              <w:bottom w:val="single" w:sz="4" w:space="0" w:color="auto"/>
              <w:right w:val="nil"/>
            </w:tcBorders>
            <w:shd w:val="clear" w:color="auto" w:fill="auto"/>
            <w:vAlign w:val="center"/>
            <w:hideMark/>
          </w:tcPr>
          <w:p w14:paraId="2E0F6492" w14:textId="77777777" w:rsidR="00F324E0" w:rsidRPr="00F324E0" w:rsidRDefault="00F324E0" w:rsidP="00F324E0">
            <w:pPr>
              <w:jc w:val="right"/>
              <w:rPr>
                <w:color w:val="000000"/>
              </w:rPr>
            </w:pPr>
            <w:r w:rsidRPr="00F324E0">
              <w:rPr>
                <w:color w:val="000000"/>
                <w:sz w:val="22"/>
                <w:szCs w:val="22"/>
              </w:rPr>
              <w:t>Minimum</w:t>
            </w:r>
          </w:p>
        </w:tc>
        <w:tc>
          <w:tcPr>
            <w:tcW w:w="1605" w:type="dxa"/>
            <w:tcBorders>
              <w:top w:val="single" w:sz="4" w:space="0" w:color="auto"/>
              <w:left w:val="nil"/>
              <w:bottom w:val="single" w:sz="4" w:space="0" w:color="auto"/>
              <w:right w:val="nil"/>
            </w:tcBorders>
            <w:shd w:val="clear" w:color="auto" w:fill="auto"/>
            <w:vAlign w:val="center"/>
            <w:hideMark/>
          </w:tcPr>
          <w:p w14:paraId="1F91F64E" w14:textId="77777777" w:rsidR="00F324E0" w:rsidRPr="00F324E0" w:rsidRDefault="00F324E0" w:rsidP="00F324E0">
            <w:pPr>
              <w:jc w:val="right"/>
              <w:rPr>
                <w:color w:val="000000"/>
              </w:rPr>
            </w:pPr>
            <w:r w:rsidRPr="00F324E0">
              <w:rPr>
                <w:color w:val="000000"/>
                <w:sz w:val="22"/>
                <w:szCs w:val="22"/>
              </w:rPr>
              <w:t>Maximum</w:t>
            </w:r>
          </w:p>
        </w:tc>
      </w:tr>
      <w:tr w:rsidR="00F324E0" w:rsidRPr="00F324E0" w14:paraId="39A68A3E" w14:textId="77777777" w:rsidTr="00B103CC">
        <w:trPr>
          <w:trHeight w:val="300"/>
        </w:trPr>
        <w:tc>
          <w:tcPr>
            <w:tcW w:w="2142" w:type="dxa"/>
            <w:tcBorders>
              <w:top w:val="nil"/>
              <w:left w:val="nil"/>
              <w:bottom w:val="nil"/>
              <w:right w:val="nil"/>
            </w:tcBorders>
            <w:shd w:val="clear" w:color="auto" w:fill="auto"/>
            <w:vAlign w:val="bottom"/>
            <w:hideMark/>
          </w:tcPr>
          <w:p w14:paraId="2925AC66" w14:textId="77777777" w:rsidR="00F324E0" w:rsidRPr="00F324E0" w:rsidRDefault="00F324E0" w:rsidP="00F324E0">
            <w:r w:rsidRPr="00F324E0">
              <w:rPr>
                <w:sz w:val="22"/>
                <w:szCs w:val="22"/>
              </w:rPr>
              <w:t xml:space="preserve">Tobin's Q </w:t>
            </w:r>
          </w:p>
        </w:tc>
        <w:tc>
          <w:tcPr>
            <w:tcW w:w="1008" w:type="dxa"/>
            <w:gridSpan w:val="2"/>
            <w:tcBorders>
              <w:top w:val="nil"/>
              <w:left w:val="nil"/>
              <w:bottom w:val="nil"/>
              <w:right w:val="nil"/>
            </w:tcBorders>
            <w:shd w:val="clear" w:color="auto" w:fill="auto"/>
            <w:noWrap/>
            <w:vAlign w:val="bottom"/>
            <w:hideMark/>
          </w:tcPr>
          <w:p w14:paraId="25538B7D" w14:textId="77777777" w:rsidR="00F324E0" w:rsidRPr="00F324E0" w:rsidRDefault="00F324E0" w:rsidP="00F324E0">
            <w:pPr>
              <w:jc w:val="right"/>
            </w:pPr>
            <w:r w:rsidRPr="00F324E0">
              <w:rPr>
                <w:sz w:val="22"/>
                <w:szCs w:val="22"/>
              </w:rPr>
              <w:t xml:space="preserve">     2,300 </w:t>
            </w:r>
          </w:p>
        </w:tc>
        <w:tc>
          <w:tcPr>
            <w:tcW w:w="1492" w:type="dxa"/>
            <w:gridSpan w:val="2"/>
            <w:tcBorders>
              <w:top w:val="nil"/>
              <w:left w:val="nil"/>
              <w:bottom w:val="nil"/>
              <w:right w:val="nil"/>
            </w:tcBorders>
            <w:shd w:val="clear" w:color="auto" w:fill="auto"/>
            <w:noWrap/>
            <w:vAlign w:val="center"/>
            <w:hideMark/>
          </w:tcPr>
          <w:p w14:paraId="111B0A5D" w14:textId="77777777" w:rsidR="00F324E0" w:rsidRPr="00F324E0" w:rsidRDefault="00F324E0" w:rsidP="00F324E0">
            <w:pPr>
              <w:jc w:val="right"/>
            </w:pPr>
            <w:r w:rsidRPr="00F324E0">
              <w:rPr>
                <w:sz w:val="22"/>
                <w:szCs w:val="22"/>
              </w:rPr>
              <w:t>2.35</w:t>
            </w:r>
          </w:p>
        </w:tc>
        <w:tc>
          <w:tcPr>
            <w:tcW w:w="1332" w:type="dxa"/>
            <w:tcBorders>
              <w:top w:val="nil"/>
              <w:left w:val="nil"/>
              <w:bottom w:val="nil"/>
              <w:right w:val="nil"/>
            </w:tcBorders>
            <w:shd w:val="clear" w:color="auto" w:fill="auto"/>
            <w:noWrap/>
            <w:vAlign w:val="center"/>
            <w:hideMark/>
          </w:tcPr>
          <w:p w14:paraId="55693DFE" w14:textId="77777777" w:rsidR="00F324E0" w:rsidRPr="00F324E0" w:rsidRDefault="00F324E0" w:rsidP="00F324E0">
            <w:pPr>
              <w:jc w:val="right"/>
            </w:pPr>
            <w:r w:rsidRPr="00F324E0">
              <w:rPr>
                <w:sz w:val="22"/>
                <w:szCs w:val="22"/>
              </w:rPr>
              <w:t xml:space="preserve">2.50 </w:t>
            </w:r>
          </w:p>
        </w:tc>
        <w:tc>
          <w:tcPr>
            <w:tcW w:w="1278" w:type="dxa"/>
            <w:tcBorders>
              <w:top w:val="nil"/>
              <w:left w:val="nil"/>
              <w:bottom w:val="nil"/>
              <w:right w:val="nil"/>
            </w:tcBorders>
            <w:shd w:val="clear" w:color="auto" w:fill="auto"/>
            <w:noWrap/>
            <w:vAlign w:val="center"/>
            <w:hideMark/>
          </w:tcPr>
          <w:p w14:paraId="417C198E" w14:textId="77777777" w:rsidR="00F324E0" w:rsidRPr="00F324E0" w:rsidRDefault="00F324E0" w:rsidP="00F324E0">
            <w:pPr>
              <w:jc w:val="right"/>
            </w:pPr>
            <w:r w:rsidRPr="00F324E0">
              <w:rPr>
                <w:sz w:val="22"/>
                <w:szCs w:val="22"/>
              </w:rPr>
              <w:t xml:space="preserve">           0.58 </w:t>
            </w:r>
          </w:p>
        </w:tc>
        <w:tc>
          <w:tcPr>
            <w:tcW w:w="1605" w:type="dxa"/>
            <w:tcBorders>
              <w:top w:val="nil"/>
              <w:left w:val="nil"/>
              <w:bottom w:val="nil"/>
              <w:right w:val="nil"/>
            </w:tcBorders>
            <w:shd w:val="clear" w:color="auto" w:fill="auto"/>
            <w:noWrap/>
            <w:vAlign w:val="center"/>
            <w:hideMark/>
          </w:tcPr>
          <w:p w14:paraId="50ED4616" w14:textId="77777777" w:rsidR="00F324E0" w:rsidRPr="00F324E0" w:rsidRDefault="00F324E0" w:rsidP="00F324E0">
            <w:pPr>
              <w:jc w:val="right"/>
            </w:pPr>
            <w:r w:rsidRPr="00F324E0">
              <w:rPr>
                <w:sz w:val="22"/>
                <w:szCs w:val="22"/>
              </w:rPr>
              <w:t xml:space="preserve">             48.84 </w:t>
            </w:r>
          </w:p>
        </w:tc>
      </w:tr>
      <w:tr w:rsidR="00F324E0" w:rsidRPr="00F324E0" w14:paraId="7BE292CB" w14:textId="77777777" w:rsidTr="00B103CC">
        <w:trPr>
          <w:trHeight w:val="300"/>
        </w:trPr>
        <w:tc>
          <w:tcPr>
            <w:tcW w:w="2142" w:type="dxa"/>
            <w:tcBorders>
              <w:top w:val="nil"/>
              <w:left w:val="nil"/>
              <w:bottom w:val="nil"/>
              <w:right w:val="nil"/>
            </w:tcBorders>
            <w:shd w:val="clear" w:color="auto" w:fill="auto"/>
            <w:noWrap/>
            <w:vAlign w:val="center"/>
            <w:hideMark/>
          </w:tcPr>
          <w:p w14:paraId="4512349B" w14:textId="77777777" w:rsidR="00F324E0" w:rsidRPr="00F324E0" w:rsidRDefault="00F324E0" w:rsidP="00F324E0">
            <w:r w:rsidRPr="00F324E0">
              <w:rPr>
                <w:sz w:val="22"/>
                <w:szCs w:val="22"/>
              </w:rPr>
              <w:t>Self-insurance</w:t>
            </w:r>
          </w:p>
        </w:tc>
        <w:tc>
          <w:tcPr>
            <w:tcW w:w="1008" w:type="dxa"/>
            <w:gridSpan w:val="2"/>
            <w:tcBorders>
              <w:top w:val="nil"/>
              <w:left w:val="nil"/>
              <w:bottom w:val="nil"/>
              <w:right w:val="nil"/>
            </w:tcBorders>
            <w:shd w:val="clear" w:color="auto" w:fill="auto"/>
            <w:noWrap/>
            <w:vAlign w:val="bottom"/>
            <w:hideMark/>
          </w:tcPr>
          <w:p w14:paraId="6678EE1B" w14:textId="77777777" w:rsidR="00F324E0" w:rsidRPr="00F324E0" w:rsidRDefault="00F324E0" w:rsidP="00F324E0">
            <w:pPr>
              <w:jc w:val="right"/>
            </w:pPr>
            <w:r w:rsidRPr="00F324E0">
              <w:rPr>
                <w:sz w:val="22"/>
                <w:szCs w:val="22"/>
              </w:rPr>
              <w:t>2,300</w:t>
            </w:r>
          </w:p>
        </w:tc>
        <w:tc>
          <w:tcPr>
            <w:tcW w:w="1492" w:type="dxa"/>
            <w:gridSpan w:val="2"/>
            <w:tcBorders>
              <w:top w:val="nil"/>
              <w:left w:val="nil"/>
              <w:bottom w:val="nil"/>
              <w:right w:val="nil"/>
            </w:tcBorders>
            <w:shd w:val="clear" w:color="auto" w:fill="auto"/>
            <w:noWrap/>
            <w:vAlign w:val="center"/>
            <w:hideMark/>
          </w:tcPr>
          <w:p w14:paraId="48536CCE" w14:textId="77777777" w:rsidR="00F324E0" w:rsidRPr="00F324E0" w:rsidRDefault="00F324E0" w:rsidP="00F324E0">
            <w:pPr>
              <w:jc w:val="right"/>
            </w:pPr>
            <w:r w:rsidRPr="00F324E0">
              <w:rPr>
                <w:sz w:val="22"/>
                <w:szCs w:val="22"/>
              </w:rPr>
              <w:t>0.25</w:t>
            </w:r>
          </w:p>
        </w:tc>
        <w:tc>
          <w:tcPr>
            <w:tcW w:w="1332" w:type="dxa"/>
            <w:tcBorders>
              <w:top w:val="nil"/>
              <w:left w:val="nil"/>
              <w:bottom w:val="nil"/>
              <w:right w:val="nil"/>
            </w:tcBorders>
            <w:shd w:val="clear" w:color="auto" w:fill="auto"/>
            <w:noWrap/>
            <w:vAlign w:val="center"/>
            <w:hideMark/>
          </w:tcPr>
          <w:p w14:paraId="4382035C" w14:textId="77777777" w:rsidR="00F324E0" w:rsidRPr="00F324E0" w:rsidRDefault="00F324E0" w:rsidP="00F324E0">
            <w:pPr>
              <w:jc w:val="right"/>
            </w:pPr>
            <w:r w:rsidRPr="00F324E0">
              <w:rPr>
                <w:sz w:val="22"/>
                <w:szCs w:val="22"/>
              </w:rPr>
              <w:t>0.43</w:t>
            </w:r>
          </w:p>
        </w:tc>
        <w:tc>
          <w:tcPr>
            <w:tcW w:w="1278" w:type="dxa"/>
            <w:tcBorders>
              <w:top w:val="nil"/>
              <w:left w:val="nil"/>
              <w:bottom w:val="nil"/>
              <w:right w:val="nil"/>
            </w:tcBorders>
            <w:shd w:val="clear" w:color="auto" w:fill="auto"/>
            <w:noWrap/>
            <w:vAlign w:val="center"/>
            <w:hideMark/>
          </w:tcPr>
          <w:p w14:paraId="6DC7C92B" w14:textId="77777777" w:rsidR="00F324E0" w:rsidRPr="00F324E0" w:rsidRDefault="00F324E0" w:rsidP="00F324E0">
            <w:pPr>
              <w:jc w:val="right"/>
            </w:pPr>
            <w:r w:rsidRPr="00F324E0">
              <w:rPr>
                <w:sz w:val="22"/>
                <w:szCs w:val="22"/>
              </w:rPr>
              <w:t>0.00</w:t>
            </w:r>
          </w:p>
        </w:tc>
        <w:tc>
          <w:tcPr>
            <w:tcW w:w="1605" w:type="dxa"/>
            <w:tcBorders>
              <w:top w:val="nil"/>
              <w:left w:val="nil"/>
              <w:bottom w:val="nil"/>
              <w:right w:val="nil"/>
            </w:tcBorders>
            <w:shd w:val="clear" w:color="auto" w:fill="auto"/>
            <w:noWrap/>
            <w:vAlign w:val="center"/>
            <w:hideMark/>
          </w:tcPr>
          <w:p w14:paraId="247D7447" w14:textId="77777777" w:rsidR="00F324E0" w:rsidRPr="00F324E0" w:rsidRDefault="00F324E0" w:rsidP="00F324E0">
            <w:pPr>
              <w:jc w:val="right"/>
            </w:pPr>
            <w:r w:rsidRPr="00F324E0">
              <w:rPr>
                <w:sz w:val="22"/>
                <w:szCs w:val="22"/>
              </w:rPr>
              <w:t>1.00</w:t>
            </w:r>
          </w:p>
        </w:tc>
      </w:tr>
      <w:tr w:rsidR="00F324E0" w:rsidRPr="00F324E0" w14:paraId="2848AEFF" w14:textId="77777777" w:rsidTr="00B103CC">
        <w:trPr>
          <w:trHeight w:val="300"/>
        </w:trPr>
        <w:tc>
          <w:tcPr>
            <w:tcW w:w="2142" w:type="dxa"/>
            <w:tcBorders>
              <w:top w:val="nil"/>
              <w:left w:val="nil"/>
              <w:bottom w:val="nil"/>
              <w:right w:val="nil"/>
            </w:tcBorders>
            <w:shd w:val="clear" w:color="auto" w:fill="auto"/>
            <w:noWrap/>
            <w:vAlign w:val="center"/>
            <w:hideMark/>
          </w:tcPr>
          <w:p w14:paraId="3E266F21" w14:textId="77777777" w:rsidR="00F324E0" w:rsidRPr="00F324E0" w:rsidRDefault="00F324E0" w:rsidP="00F324E0">
            <w:r w:rsidRPr="00F324E0">
              <w:rPr>
                <w:sz w:val="22"/>
                <w:szCs w:val="22"/>
              </w:rPr>
              <w:t xml:space="preserve">Total assets </w:t>
            </w:r>
          </w:p>
        </w:tc>
        <w:tc>
          <w:tcPr>
            <w:tcW w:w="1008" w:type="dxa"/>
            <w:gridSpan w:val="2"/>
            <w:tcBorders>
              <w:top w:val="nil"/>
              <w:left w:val="nil"/>
              <w:bottom w:val="nil"/>
              <w:right w:val="nil"/>
            </w:tcBorders>
            <w:shd w:val="clear" w:color="auto" w:fill="auto"/>
            <w:noWrap/>
            <w:vAlign w:val="bottom"/>
            <w:hideMark/>
          </w:tcPr>
          <w:p w14:paraId="638228B7" w14:textId="77777777" w:rsidR="00F324E0" w:rsidRPr="00F324E0" w:rsidRDefault="00F324E0" w:rsidP="00F324E0">
            <w:pPr>
              <w:jc w:val="right"/>
            </w:pPr>
            <w:r w:rsidRPr="00F324E0">
              <w:rPr>
                <w:sz w:val="22"/>
                <w:szCs w:val="22"/>
              </w:rPr>
              <w:t xml:space="preserve">     2,300 </w:t>
            </w:r>
          </w:p>
        </w:tc>
        <w:tc>
          <w:tcPr>
            <w:tcW w:w="1492" w:type="dxa"/>
            <w:gridSpan w:val="2"/>
            <w:tcBorders>
              <w:top w:val="nil"/>
              <w:left w:val="nil"/>
              <w:bottom w:val="nil"/>
              <w:right w:val="nil"/>
            </w:tcBorders>
            <w:shd w:val="clear" w:color="auto" w:fill="auto"/>
            <w:noWrap/>
            <w:vAlign w:val="center"/>
            <w:hideMark/>
          </w:tcPr>
          <w:p w14:paraId="1360EB9F" w14:textId="77777777" w:rsidR="00F324E0" w:rsidRPr="00F324E0" w:rsidRDefault="00F324E0" w:rsidP="00F324E0">
            <w:pPr>
              <w:jc w:val="right"/>
            </w:pPr>
            <w:r w:rsidRPr="00F324E0">
              <w:rPr>
                <w:sz w:val="22"/>
                <w:szCs w:val="22"/>
              </w:rPr>
              <w:t>17,324</w:t>
            </w:r>
          </w:p>
        </w:tc>
        <w:tc>
          <w:tcPr>
            <w:tcW w:w="1332" w:type="dxa"/>
            <w:tcBorders>
              <w:top w:val="nil"/>
              <w:left w:val="nil"/>
              <w:bottom w:val="nil"/>
              <w:right w:val="nil"/>
            </w:tcBorders>
            <w:shd w:val="clear" w:color="auto" w:fill="auto"/>
            <w:noWrap/>
            <w:vAlign w:val="center"/>
            <w:hideMark/>
          </w:tcPr>
          <w:p w14:paraId="083BDEE6" w14:textId="77777777" w:rsidR="00F324E0" w:rsidRPr="00F324E0" w:rsidRDefault="00F324E0" w:rsidP="00F324E0">
            <w:pPr>
              <w:jc w:val="right"/>
            </w:pPr>
            <w:r w:rsidRPr="00F324E0">
              <w:rPr>
                <w:sz w:val="22"/>
                <w:szCs w:val="22"/>
              </w:rPr>
              <w:t xml:space="preserve">36,869 </w:t>
            </w:r>
          </w:p>
        </w:tc>
        <w:tc>
          <w:tcPr>
            <w:tcW w:w="1278" w:type="dxa"/>
            <w:tcBorders>
              <w:top w:val="nil"/>
              <w:left w:val="nil"/>
              <w:bottom w:val="nil"/>
              <w:right w:val="nil"/>
            </w:tcBorders>
            <w:shd w:val="clear" w:color="auto" w:fill="auto"/>
            <w:noWrap/>
            <w:vAlign w:val="center"/>
            <w:hideMark/>
          </w:tcPr>
          <w:p w14:paraId="7BE2D081" w14:textId="77777777" w:rsidR="00F324E0" w:rsidRPr="00F324E0" w:rsidRDefault="00F324E0" w:rsidP="00F324E0">
            <w:pPr>
              <w:jc w:val="right"/>
            </w:pPr>
            <w:r w:rsidRPr="00F324E0">
              <w:rPr>
                <w:sz w:val="22"/>
                <w:szCs w:val="22"/>
              </w:rPr>
              <w:t xml:space="preserve">           1.78 </w:t>
            </w:r>
          </w:p>
        </w:tc>
        <w:tc>
          <w:tcPr>
            <w:tcW w:w="1605" w:type="dxa"/>
            <w:tcBorders>
              <w:top w:val="nil"/>
              <w:left w:val="nil"/>
              <w:bottom w:val="nil"/>
              <w:right w:val="nil"/>
            </w:tcBorders>
            <w:shd w:val="clear" w:color="auto" w:fill="auto"/>
            <w:noWrap/>
            <w:vAlign w:val="center"/>
            <w:hideMark/>
          </w:tcPr>
          <w:p w14:paraId="4765D27C" w14:textId="77777777" w:rsidR="00F324E0" w:rsidRPr="00F324E0" w:rsidRDefault="00F324E0" w:rsidP="00F324E0">
            <w:pPr>
              <w:jc w:val="right"/>
            </w:pPr>
            <w:r w:rsidRPr="00F324E0">
              <w:rPr>
                <w:sz w:val="22"/>
                <w:szCs w:val="22"/>
              </w:rPr>
              <w:t xml:space="preserve">       402,384 </w:t>
            </w:r>
          </w:p>
        </w:tc>
      </w:tr>
      <w:tr w:rsidR="00F324E0" w:rsidRPr="00F324E0" w14:paraId="31603B2E" w14:textId="77777777" w:rsidTr="00B103CC">
        <w:trPr>
          <w:trHeight w:val="300"/>
        </w:trPr>
        <w:tc>
          <w:tcPr>
            <w:tcW w:w="2142" w:type="dxa"/>
            <w:tcBorders>
              <w:top w:val="nil"/>
              <w:left w:val="nil"/>
              <w:bottom w:val="nil"/>
              <w:right w:val="nil"/>
            </w:tcBorders>
            <w:shd w:val="clear" w:color="auto" w:fill="auto"/>
            <w:noWrap/>
            <w:vAlign w:val="center"/>
            <w:hideMark/>
          </w:tcPr>
          <w:p w14:paraId="076E3F36" w14:textId="77777777" w:rsidR="00F324E0" w:rsidRPr="00F324E0" w:rsidRDefault="00F324E0" w:rsidP="00F324E0">
            <w:r w:rsidRPr="00F324E0">
              <w:rPr>
                <w:sz w:val="22"/>
                <w:szCs w:val="22"/>
              </w:rPr>
              <w:t>Size</w:t>
            </w:r>
          </w:p>
        </w:tc>
        <w:tc>
          <w:tcPr>
            <w:tcW w:w="1008" w:type="dxa"/>
            <w:gridSpan w:val="2"/>
            <w:tcBorders>
              <w:top w:val="nil"/>
              <w:left w:val="nil"/>
              <w:bottom w:val="nil"/>
              <w:right w:val="nil"/>
            </w:tcBorders>
            <w:shd w:val="clear" w:color="auto" w:fill="auto"/>
            <w:noWrap/>
            <w:vAlign w:val="bottom"/>
            <w:hideMark/>
          </w:tcPr>
          <w:p w14:paraId="2B7BB48A" w14:textId="77777777" w:rsidR="00F324E0" w:rsidRPr="00F324E0" w:rsidRDefault="00F324E0" w:rsidP="00F324E0">
            <w:pPr>
              <w:jc w:val="right"/>
            </w:pPr>
            <w:r w:rsidRPr="00F324E0">
              <w:rPr>
                <w:sz w:val="22"/>
                <w:szCs w:val="22"/>
              </w:rPr>
              <w:t>2,300</w:t>
            </w:r>
          </w:p>
        </w:tc>
        <w:tc>
          <w:tcPr>
            <w:tcW w:w="1492" w:type="dxa"/>
            <w:gridSpan w:val="2"/>
            <w:tcBorders>
              <w:top w:val="nil"/>
              <w:left w:val="nil"/>
              <w:bottom w:val="nil"/>
              <w:right w:val="nil"/>
            </w:tcBorders>
            <w:shd w:val="clear" w:color="auto" w:fill="auto"/>
            <w:noWrap/>
            <w:vAlign w:val="center"/>
            <w:hideMark/>
          </w:tcPr>
          <w:p w14:paraId="43C9D545" w14:textId="77777777" w:rsidR="00F324E0" w:rsidRPr="00F324E0" w:rsidRDefault="00F324E0" w:rsidP="00F324E0">
            <w:pPr>
              <w:jc w:val="right"/>
            </w:pPr>
            <w:r w:rsidRPr="00F324E0">
              <w:rPr>
                <w:sz w:val="22"/>
                <w:szCs w:val="22"/>
              </w:rPr>
              <w:t>8.21</w:t>
            </w:r>
          </w:p>
        </w:tc>
        <w:tc>
          <w:tcPr>
            <w:tcW w:w="1332" w:type="dxa"/>
            <w:tcBorders>
              <w:top w:val="nil"/>
              <w:left w:val="nil"/>
              <w:bottom w:val="nil"/>
              <w:right w:val="nil"/>
            </w:tcBorders>
            <w:shd w:val="clear" w:color="auto" w:fill="auto"/>
            <w:noWrap/>
            <w:vAlign w:val="center"/>
            <w:hideMark/>
          </w:tcPr>
          <w:p w14:paraId="31078851" w14:textId="77777777" w:rsidR="00F324E0" w:rsidRPr="00F324E0" w:rsidRDefault="00F324E0" w:rsidP="00F324E0">
            <w:pPr>
              <w:jc w:val="right"/>
            </w:pPr>
            <w:r w:rsidRPr="00F324E0">
              <w:rPr>
                <w:sz w:val="22"/>
                <w:szCs w:val="22"/>
              </w:rPr>
              <w:t>2.05</w:t>
            </w:r>
          </w:p>
        </w:tc>
        <w:tc>
          <w:tcPr>
            <w:tcW w:w="1278" w:type="dxa"/>
            <w:tcBorders>
              <w:top w:val="nil"/>
              <w:left w:val="nil"/>
              <w:bottom w:val="nil"/>
              <w:right w:val="nil"/>
            </w:tcBorders>
            <w:shd w:val="clear" w:color="auto" w:fill="auto"/>
            <w:noWrap/>
            <w:vAlign w:val="center"/>
            <w:hideMark/>
          </w:tcPr>
          <w:p w14:paraId="09055383" w14:textId="77777777" w:rsidR="00F324E0" w:rsidRPr="00F324E0" w:rsidRDefault="00F324E0" w:rsidP="00F324E0">
            <w:pPr>
              <w:jc w:val="right"/>
            </w:pPr>
            <w:r w:rsidRPr="00F324E0">
              <w:rPr>
                <w:sz w:val="22"/>
                <w:szCs w:val="22"/>
              </w:rPr>
              <w:t>0.58</w:t>
            </w:r>
          </w:p>
        </w:tc>
        <w:tc>
          <w:tcPr>
            <w:tcW w:w="1605" w:type="dxa"/>
            <w:tcBorders>
              <w:top w:val="nil"/>
              <w:left w:val="nil"/>
              <w:bottom w:val="nil"/>
              <w:right w:val="nil"/>
            </w:tcBorders>
            <w:shd w:val="clear" w:color="auto" w:fill="auto"/>
            <w:noWrap/>
            <w:vAlign w:val="center"/>
            <w:hideMark/>
          </w:tcPr>
          <w:p w14:paraId="2C617207" w14:textId="77777777" w:rsidR="00F324E0" w:rsidRPr="00F324E0" w:rsidRDefault="00F324E0" w:rsidP="00F324E0">
            <w:pPr>
              <w:jc w:val="right"/>
            </w:pPr>
            <w:r w:rsidRPr="00F324E0">
              <w:rPr>
                <w:sz w:val="22"/>
                <w:szCs w:val="22"/>
              </w:rPr>
              <w:t>12.91</w:t>
            </w:r>
          </w:p>
        </w:tc>
      </w:tr>
      <w:tr w:rsidR="00F324E0" w:rsidRPr="00F324E0" w14:paraId="0850DA36" w14:textId="77777777" w:rsidTr="00B103CC">
        <w:trPr>
          <w:trHeight w:val="300"/>
        </w:trPr>
        <w:tc>
          <w:tcPr>
            <w:tcW w:w="2142" w:type="dxa"/>
            <w:tcBorders>
              <w:top w:val="nil"/>
              <w:left w:val="nil"/>
              <w:bottom w:val="nil"/>
              <w:right w:val="nil"/>
            </w:tcBorders>
            <w:shd w:val="clear" w:color="auto" w:fill="auto"/>
            <w:noWrap/>
            <w:vAlign w:val="center"/>
            <w:hideMark/>
          </w:tcPr>
          <w:p w14:paraId="53CB15DF" w14:textId="77777777" w:rsidR="00F324E0" w:rsidRPr="00F324E0" w:rsidRDefault="00F324E0" w:rsidP="00F324E0">
            <w:r w:rsidRPr="00F324E0">
              <w:rPr>
                <w:sz w:val="22"/>
                <w:szCs w:val="22"/>
              </w:rPr>
              <w:t xml:space="preserve">Net income </w:t>
            </w:r>
          </w:p>
        </w:tc>
        <w:tc>
          <w:tcPr>
            <w:tcW w:w="1008" w:type="dxa"/>
            <w:gridSpan w:val="2"/>
            <w:tcBorders>
              <w:top w:val="nil"/>
              <w:left w:val="nil"/>
              <w:bottom w:val="nil"/>
              <w:right w:val="nil"/>
            </w:tcBorders>
            <w:shd w:val="clear" w:color="auto" w:fill="auto"/>
            <w:noWrap/>
            <w:vAlign w:val="bottom"/>
            <w:hideMark/>
          </w:tcPr>
          <w:p w14:paraId="3112F4C3" w14:textId="77777777" w:rsidR="00F324E0" w:rsidRPr="00F324E0" w:rsidRDefault="00F324E0" w:rsidP="00F324E0">
            <w:pPr>
              <w:jc w:val="right"/>
            </w:pPr>
            <w:r w:rsidRPr="00F324E0">
              <w:rPr>
                <w:sz w:val="22"/>
                <w:szCs w:val="22"/>
              </w:rPr>
              <w:t xml:space="preserve">     2,300</w:t>
            </w:r>
          </w:p>
        </w:tc>
        <w:tc>
          <w:tcPr>
            <w:tcW w:w="1492" w:type="dxa"/>
            <w:gridSpan w:val="2"/>
            <w:tcBorders>
              <w:top w:val="nil"/>
              <w:left w:val="nil"/>
              <w:bottom w:val="nil"/>
              <w:right w:val="nil"/>
            </w:tcBorders>
            <w:shd w:val="clear" w:color="auto" w:fill="auto"/>
            <w:noWrap/>
            <w:vAlign w:val="center"/>
            <w:hideMark/>
          </w:tcPr>
          <w:p w14:paraId="3F44B422" w14:textId="77777777" w:rsidR="00F324E0" w:rsidRPr="00F324E0" w:rsidRDefault="00F324E0" w:rsidP="00F324E0">
            <w:pPr>
              <w:jc w:val="right"/>
            </w:pPr>
            <w:r w:rsidRPr="00F324E0">
              <w:rPr>
                <w:sz w:val="22"/>
                <w:szCs w:val="22"/>
              </w:rPr>
              <w:t>1,152</w:t>
            </w:r>
          </w:p>
        </w:tc>
        <w:tc>
          <w:tcPr>
            <w:tcW w:w="1332" w:type="dxa"/>
            <w:tcBorders>
              <w:top w:val="nil"/>
              <w:left w:val="nil"/>
              <w:bottom w:val="nil"/>
              <w:right w:val="nil"/>
            </w:tcBorders>
            <w:shd w:val="clear" w:color="auto" w:fill="auto"/>
            <w:noWrap/>
            <w:vAlign w:val="center"/>
            <w:hideMark/>
          </w:tcPr>
          <w:p w14:paraId="49BF4748" w14:textId="77777777" w:rsidR="00F324E0" w:rsidRPr="00F324E0" w:rsidRDefault="00F324E0" w:rsidP="00F324E0">
            <w:pPr>
              <w:jc w:val="right"/>
            </w:pPr>
            <w:r w:rsidRPr="00F324E0">
              <w:rPr>
                <w:sz w:val="22"/>
                <w:szCs w:val="22"/>
              </w:rPr>
              <w:t xml:space="preserve">3,102 </w:t>
            </w:r>
          </w:p>
        </w:tc>
        <w:tc>
          <w:tcPr>
            <w:tcW w:w="1278" w:type="dxa"/>
            <w:tcBorders>
              <w:top w:val="nil"/>
              <w:left w:val="nil"/>
              <w:bottom w:val="nil"/>
              <w:right w:val="nil"/>
            </w:tcBorders>
            <w:shd w:val="clear" w:color="auto" w:fill="auto"/>
            <w:noWrap/>
            <w:vAlign w:val="center"/>
            <w:hideMark/>
          </w:tcPr>
          <w:p w14:paraId="4A1E6135" w14:textId="77777777" w:rsidR="00F324E0" w:rsidRPr="00F324E0" w:rsidRDefault="00F324E0" w:rsidP="00F324E0">
            <w:pPr>
              <w:jc w:val="right"/>
            </w:pPr>
            <w:r w:rsidRPr="00F324E0">
              <w:rPr>
                <w:sz w:val="22"/>
                <w:szCs w:val="22"/>
              </w:rPr>
              <w:t>-12,650</w:t>
            </w:r>
          </w:p>
        </w:tc>
        <w:tc>
          <w:tcPr>
            <w:tcW w:w="1605" w:type="dxa"/>
            <w:tcBorders>
              <w:top w:val="nil"/>
              <w:left w:val="nil"/>
              <w:bottom w:val="nil"/>
              <w:right w:val="nil"/>
            </w:tcBorders>
            <w:shd w:val="clear" w:color="auto" w:fill="auto"/>
            <w:noWrap/>
            <w:vAlign w:val="center"/>
            <w:hideMark/>
          </w:tcPr>
          <w:p w14:paraId="0A84161C" w14:textId="77777777" w:rsidR="00F324E0" w:rsidRPr="00F324E0" w:rsidRDefault="00F324E0" w:rsidP="00F324E0">
            <w:pPr>
              <w:jc w:val="right"/>
            </w:pPr>
            <w:r w:rsidRPr="00F324E0">
              <w:rPr>
                <w:sz w:val="22"/>
                <w:szCs w:val="22"/>
              </w:rPr>
              <w:t xml:space="preserve">        53,394 </w:t>
            </w:r>
          </w:p>
        </w:tc>
      </w:tr>
      <w:tr w:rsidR="00F324E0" w:rsidRPr="00F324E0" w14:paraId="6462619A" w14:textId="77777777" w:rsidTr="00B103CC">
        <w:trPr>
          <w:trHeight w:val="300"/>
        </w:trPr>
        <w:tc>
          <w:tcPr>
            <w:tcW w:w="2142" w:type="dxa"/>
            <w:tcBorders>
              <w:top w:val="nil"/>
              <w:left w:val="nil"/>
              <w:bottom w:val="nil"/>
              <w:right w:val="nil"/>
            </w:tcBorders>
            <w:shd w:val="clear" w:color="auto" w:fill="auto"/>
            <w:noWrap/>
            <w:vAlign w:val="center"/>
          </w:tcPr>
          <w:p w14:paraId="20CFF946" w14:textId="77777777" w:rsidR="00F324E0" w:rsidRPr="00F324E0" w:rsidRDefault="00F324E0" w:rsidP="00F324E0">
            <w:r w:rsidRPr="00F324E0">
              <w:rPr>
                <w:sz w:val="22"/>
                <w:szCs w:val="22"/>
              </w:rPr>
              <w:t xml:space="preserve">Sales </w:t>
            </w:r>
          </w:p>
        </w:tc>
        <w:tc>
          <w:tcPr>
            <w:tcW w:w="1008" w:type="dxa"/>
            <w:gridSpan w:val="2"/>
            <w:tcBorders>
              <w:top w:val="nil"/>
              <w:left w:val="nil"/>
              <w:bottom w:val="nil"/>
              <w:right w:val="nil"/>
            </w:tcBorders>
            <w:shd w:val="clear" w:color="auto" w:fill="auto"/>
            <w:noWrap/>
            <w:vAlign w:val="bottom"/>
          </w:tcPr>
          <w:p w14:paraId="659AB9FC" w14:textId="77777777" w:rsidR="00F324E0" w:rsidRPr="00F324E0" w:rsidRDefault="00F324E0" w:rsidP="00F324E0">
            <w:pPr>
              <w:jc w:val="right"/>
            </w:pPr>
            <w:r w:rsidRPr="00F324E0">
              <w:rPr>
                <w:sz w:val="22"/>
                <w:szCs w:val="22"/>
              </w:rPr>
              <w:t xml:space="preserve">     2,300</w:t>
            </w:r>
          </w:p>
        </w:tc>
        <w:tc>
          <w:tcPr>
            <w:tcW w:w="1492" w:type="dxa"/>
            <w:gridSpan w:val="2"/>
            <w:tcBorders>
              <w:top w:val="nil"/>
              <w:left w:val="nil"/>
              <w:bottom w:val="nil"/>
              <w:right w:val="nil"/>
            </w:tcBorders>
            <w:shd w:val="clear" w:color="auto" w:fill="auto"/>
            <w:noWrap/>
            <w:vAlign w:val="center"/>
          </w:tcPr>
          <w:p w14:paraId="7BDDE44A" w14:textId="77777777" w:rsidR="00F324E0" w:rsidRPr="00F324E0" w:rsidRDefault="00F324E0" w:rsidP="00F324E0">
            <w:pPr>
              <w:jc w:val="right"/>
            </w:pPr>
            <w:r w:rsidRPr="00F324E0">
              <w:rPr>
                <w:sz w:val="22"/>
                <w:szCs w:val="22"/>
              </w:rPr>
              <w:t>14,405</w:t>
            </w:r>
          </w:p>
        </w:tc>
        <w:tc>
          <w:tcPr>
            <w:tcW w:w="1332" w:type="dxa"/>
            <w:tcBorders>
              <w:top w:val="nil"/>
              <w:left w:val="nil"/>
              <w:bottom w:val="nil"/>
              <w:right w:val="nil"/>
            </w:tcBorders>
            <w:shd w:val="clear" w:color="auto" w:fill="auto"/>
            <w:noWrap/>
            <w:vAlign w:val="center"/>
          </w:tcPr>
          <w:p w14:paraId="0A8BF2BB" w14:textId="77777777" w:rsidR="00F324E0" w:rsidRPr="00F324E0" w:rsidRDefault="00F324E0" w:rsidP="00F324E0">
            <w:pPr>
              <w:jc w:val="right"/>
            </w:pPr>
            <w:r w:rsidRPr="00F324E0">
              <w:rPr>
                <w:sz w:val="22"/>
                <w:szCs w:val="22"/>
              </w:rPr>
              <w:t xml:space="preserve">28,295 </w:t>
            </w:r>
          </w:p>
        </w:tc>
        <w:tc>
          <w:tcPr>
            <w:tcW w:w="1278" w:type="dxa"/>
            <w:tcBorders>
              <w:top w:val="nil"/>
              <w:left w:val="nil"/>
              <w:bottom w:val="nil"/>
              <w:right w:val="nil"/>
            </w:tcBorders>
            <w:shd w:val="clear" w:color="auto" w:fill="auto"/>
            <w:noWrap/>
            <w:vAlign w:val="center"/>
          </w:tcPr>
          <w:p w14:paraId="35EBAF8C" w14:textId="77777777" w:rsidR="00F324E0" w:rsidRPr="00F324E0" w:rsidRDefault="00F324E0" w:rsidP="00F324E0">
            <w:pPr>
              <w:jc w:val="right"/>
            </w:pPr>
            <w:r w:rsidRPr="00F324E0">
              <w:rPr>
                <w:sz w:val="22"/>
                <w:szCs w:val="22"/>
              </w:rPr>
              <w:t>0.00</w:t>
            </w:r>
          </w:p>
        </w:tc>
        <w:tc>
          <w:tcPr>
            <w:tcW w:w="1605" w:type="dxa"/>
            <w:tcBorders>
              <w:top w:val="nil"/>
              <w:left w:val="nil"/>
              <w:bottom w:val="nil"/>
              <w:right w:val="nil"/>
            </w:tcBorders>
            <w:shd w:val="clear" w:color="auto" w:fill="auto"/>
            <w:noWrap/>
            <w:vAlign w:val="center"/>
          </w:tcPr>
          <w:p w14:paraId="2DBA6FDE" w14:textId="77777777" w:rsidR="00F324E0" w:rsidRPr="00F324E0" w:rsidRDefault="00F324E0" w:rsidP="00F324E0">
            <w:pPr>
              <w:jc w:val="right"/>
            </w:pPr>
            <w:r w:rsidRPr="00F324E0">
              <w:rPr>
                <w:sz w:val="22"/>
                <w:szCs w:val="22"/>
              </w:rPr>
              <w:t xml:space="preserve">       262,394</w:t>
            </w:r>
          </w:p>
        </w:tc>
      </w:tr>
      <w:tr w:rsidR="00F324E0" w:rsidRPr="00F324E0" w14:paraId="118DDBF8" w14:textId="77777777" w:rsidTr="00B103CC">
        <w:trPr>
          <w:trHeight w:val="300"/>
        </w:trPr>
        <w:tc>
          <w:tcPr>
            <w:tcW w:w="2142" w:type="dxa"/>
            <w:tcBorders>
              <w:top w:val="nil"/>
              <w:left w:val="nil"/>
              <w:bottom w:val="nil"/>
              <w:right w:val="nil"/>
            </w:tcBorders>
            <w:shd w:val="clear" w:color="auto" w:fill="auto"/>
            <w:noWrap/>
            <w:vAlign w:val="center"/>
          </w:tcPr>
          <w:p w14:paraId="2D473580" w14:textId="77777777" w:rsidR="00F324E0" w:rsidRPr="00F324E0" w:rsidRDefault="00F324E0" w:rsidP="00F324E0">
            <w:r w:rsidRPr="00F324E0">
              <w:rPr>
                <w:sz w:val="22"/>
                <w:szCs w:val="22"/>
              </w:rPr>
              <w:t xml:space="preserve">ROA </w:t>
            </w:r>
          </w:p>
        </w:tc>
        <w:tc>
          <w:tcPr>
            <w:tcW w:w="1008" w:type="dxa"/>
            <w:gridSpan w:val="2"/>
            <w:tcBorders>
              <w:top w:val="nil"/>
              <w:left w:val="nil"/>
              <w:bottom w:val="nil"/>
              <w:right w:val="nil"/>
            </w:tcBorders>
            <w:shd w:val="clear" w:color="auto" w:fill="auto"/>
            <w:noWrap/>
            <w:vAlign w:val="bottom"/>
          </w:tcPr>
          <w:p w14:paraId="1FDC4033" w14:textId="77777777" w:rsidR="00F324E0" w:rsidRPr="00F324E0" w:rsidRDefault="00F324E0" w:rsidP="00F324E0">
            <w:pPr>
              <w:jc w:val="right"/>
            </w:pPr>
            <w:r w:rsidRPr="00F324E0">
              <w:rPr>
                <w:sz w:val="22"/>
                <w:szCs w:val="22"/>
              </w:rPr>
              <w:t xml:space="preserve">     2,300</w:t>
            </w:r>
          </w:p>
        </w:tc>
        <w:tc>
          <w:tcPr>
            <w:tcW w:w="1492" w:type="dxa"/>
            <w:gridSpan w:val="2"/>
            <w:tcBorders>
              <w:top w:val="nil"/>
              <w:left w:val="nil"/>
              <w:bottom w:val="nil"/>
              <w:right w:val="nil"/>
            </w:tcBorders>
            <w:shd w:val="clear" w:color="auto" w:fill="auto"/>
            <w:noWrap/>
            <w:vAlign w:val="center"/>
          </w:tcPr>
          <w:p w14:paraId="5F97B00E" w14:textId="77777777" w:rsidR="00F324E0" w:rsidRPr="00F324E0" w:rsidRDefault="00F324E0" w:rsidP="00F324E0">
            <w:pPr>
              <w:jc w:val="right"/>
            </w:pPr>
            <w:r w:rsidRPr="00F324E0">
              <w:rPr>
                <w:sz w:val="22"/>
                <w:szCs w:val="22"/>
              </w:rPr>
              <w:t>0.07</w:t>
            </w:r>
          </w:p>
        </w:tc>
        <w:tc>
          <w:tcPr>
            <w:tcW w:w="1332" w:type="dxa"/>
            <w:tcBorders>
              <w:top w:val="nil"/>
              <w:left w:val="nil"/>
              <w:bottom w:val="nil"/>
              <w:right w:val="nil"/>
            </w:tcBorders>
            <w:shd w:val="clear" w:color="auto" w:fill="auto"/>
            <w:noWrap/>
            <w:vAlign w:val="center"/>
          </w:tcPr>
          <w:p w14:paraId="5949E685" w14:textId="77777777" w:rsidR="00F324E0" w:rsidRPr="00F324E0" w:rsidRDefault="00F324E0" w:rsidP="00F324E0">
            <w:pPr>
              <w:jc w:val="right"/>
            </w:pPr>
            <w:r w:rsidRPr="00F324E0">
              <w:rPr>
                <w:sz w:val="22"/>
                <w:szCs w:val="22"/>
              </w:rPr>
              <w:t xml:space="preserve">0.09 </w:t>
            </w:r>
          </w:p>
        </w:tc>
        <w:tc>
          <w:tcPr>
            <w:tcW w:w="1278" w:type="dxa"/>
            <w:tcBorders>
              <w:top w:val="nil"/>
              <w:left w:val="nil"/>
              <w:bottom w:val="nil"/>
              <w:right w:val="nil"/>
            </w:tcBorders>
            <w:shd w:val="clear" w:color="auto" w:fill="auto"/>
            <w:noWrap/>
            <w:vAlign w:val="center"/>
          </w:tcPr>
          <w:p w14:paraId="031D6991" w14:textId="77777777" w:rsidR="00F324E0" w:rsidRPr="00F324E0" w:rsidRDefault="00F324E0" w:rsidP="00F324E0">
            <w:pPr>
              <w:jc w:val="right"/>
            </w:pPr>
            <w:r w:rsidRPr="00F324E0">
              <w:rPr>
                <w:sz w:val="22"/>
                <w:szCs w:val="22"/>
              </w:rPr>
              <w:t>-1.01</w:t>
            </w:r>
          </w:p>
        </w:tc>
        <w:tc>
          <w:tcPr>
            <w:tcW w:w="1605" w:type="dxa"/>
            <w:tcBorders>
              <w:top w:val="nil"/>
              <w:left w:val="nil"/>
              <w:bottom w:val="nil"/>
              <w:right w:val="nil"/>
            </w:tcBorders>
            <w:shd w:val="clear" w:color="auto" w:fill="auto"/>
            <w:noWrap/>
            <w:vAlign w:val="center"/>
          </w:tcPr>
          <w:p w14:paraId="1A678CB6" w14:textId="77777777" w:rsidR="00F324E0" w:rsidRPr="00F324E0" w:rsidRDefault="00F324E0" w:rsidP="00F324E0">
            <w:pPr>
              <w:jc w:val="right"/>
            </w:pPr>
            <w:r w:rsidRPr="00F324E0">
              <w:rPr>
                <w:sz w:val="22"/>
                <w:szCs w:val="22"/>
              </w:rPr>
              <w:t xml:space="preserve">                1.11 </w:t>
            </w:r>
          </w:p>
        </w:tc>
      </w:tr>
      <w:tr w:rsidR="00F324E0" w:rsidRPr="00F324E0" w14:paraId="27DCBE85" w14:textId="77777777" w:rsidTr="00B103CC">
        <w:trPr>
          <w:trHeight w:val="300"/>
        </w:trPr>
        <w:tc>
          <w:tcPr>
            <w:tcW w:w="2142" w:type="dxa"/>
            <w:tcBorders>
              <w:top w:val="nil"/>
              <w:left w:val="nil"/>
              <w:bottom w:val="nil"/>
              <w:right w:val="nil"/>
            </w:tcBorders>
            <w:shd w:val="clear" w:color="auto" w:fill="auto"/>
            <w:noWrap/>
            <w:vAlign w:val="center"/>
          </w:tcPr>
          <w:p w14:paraId="0A3C65E8" w14:textId="77777777" w:rsidR="00F324E0" w:rsidRPr="00F324E0" w:rsidRDefault="00F324E0" w:rsidP="00F324E0">
            <w:r w:rsidRPr="00F324E0">
              <w:rPr>
                <w:sz w:val="22"/>
                <w:szCs w:val="22"/>
              </w:rPr>
              <w:t xml:space="preserve">Leverage </w:t>
            </w:r>
          </w:p>
        </w:tc>
        <w:tc>
          <w:tcPr>
            <w:tcW w:w="1008" w:type="dxa"/>
            <w:gridSpan w:val="2"/>
            <w:tcBorders>
              <w:top w:val="nil"/>
              <w:left w:val="nil"/>
              <w:bottom w:val="nil"/>
              <w:right w:val="nil"/>
            </w:tcBorders>
            <w:shd w:val="clear" w:color="auto" w:fill="auto"/>
            <w:noWrap/>
            <w:vAlign w:val="bottom"/>
          </w:tcPr>
          <w:p w14:paraId="4A1E1A38" w14:textId="77777777" w:rsidR="00F324E0" w:rsidRPr="00F324E0" w:rsidRDefault="00F324E0" w:rsidP="00F324E0">
            <w:pPr>
              <w:jc w:val="right"/>
            </w:pPr>
            <w:r w:rsidRPr="00F324E0">
              <w:rPr>
                <w:sz w:val="22"/>
                <w:szCs w:val="22"/>
              </w:rPr>
              <w:t xml:space="preserve">     2,299 </w:t>
            </w:r>
          </w:p>
        </w:tc>
        <w:tc>
          <w:tcPr>
            <w:tcW w:w="1492" w:type="dxa"/>
            <w:gridSpan w:val="2"/>
            <w:tcBorders>
              <w:top w:val="nil"/>
              <w:left w:val="nil"/>
              <w:bottom w:val="nil"/>
              <w:right w:val="nil"/>
            </w:tcBorders>
            <w:shd w:val="clear" w:color="auto" w:fill="auto"/>
            <w:noWrap/>
            <w:vAlign w:val="center"/>
          </w:tcPr>
          <w:p w14:paraId="7FE0C53C" w14:textId="77777777" w:rsidR="00F324E0" w:rsidRPr="00F324E0" w:rsidRDefault="00F324E0" w:rsidP="00F324E0">
            <w:pPr>
              <w:jc w:val="right"/>
            </w:pPr>
            <w:r w:rsidRPr="00F324E0">
              <w:rPr>
                <w:sz w:val="22"/>
                <w:szCs w:val="22"/>
              </w:rPr>
              <w:t>0.27</w:t>
            </w:r>
          </w:p>
        </w:tc>
        <w:tc>
          <w:tcPr>
            <w:tcW w:w="1332" w:type="dxa"/>
            <w:tcBorders>
              <w:top w:val="nil"/>
              <w:left w:val="nil"/>
              <w:bottom w:val="nil"/>
              <w:right w:val="nil"/>
            </w:tcBorders>
            <w:shd w:val="clear" w:color="auto" w:fill="auto"/>
            <w:noWrap/>
            <w:vAlign w:val="center"/>
          </w:tcPr>
          <w:p w14:paraId="6CFB8867" w14:textId="77777777" w:rsidR="00F324E0" w:rsidRPr="00F324E0" w:rsidRDefault="00F324E0" w:rsidP="00F324E0">
            <w:pPr>
              <w:jc w:val="right"/>
            </w:pPr>
            <w:r w:rsidRPr="00F324E0">
              <w:rPr>
                <w:sz w:val="22"/>
                <w:szCs w:val="22"/>
              </w:rPr>
              <w:t xml:space="preserve">1.09 </w:t>
            </w:r>
          </w:p>
        </w:tc>
        <w:tc>
          <w:tcPr>
            <w:tcW w:w="1278" w:type="dxa"/>
            <w:tcBorders>
              <w:top w:val="nil"/>
              <w:left w:val="nil"/>
              <w:bottom w:val="nil"/>
              <w:right w:val="nil"/>
            </w:tcBorders>
            <w:shd w:val="clear" w:color="auto" w:fill="auto"/>
            <w:noWrap/>
            <w:vAlign w:val="center"/>
          </w:tcPr>
          <w:p w14:paraId="08ACD022" w14:textId="77777777" w:rsidR="00F324E0" w:rsidRPr="00F324E0" w:rsidRDefault="00F324E0" w:rsidP="00F324E0">
            <w:pPr>
              <w:jc w:val="right"/>
            </w:pPr>
            <w:r w:rsidRPr="00F324E0">
              <w:rPr>
                <w:sz w:val="22"/>
                <w:szCs w:val="22"/>
              </w:rPr>
              <w:t>0.00</w:t>
            </w:r>
          </w:p>
        </w:tc>
        <w:tc>
          <w:tcPr>
            <w:tcW w:w="1605" w:type="dxa"/>
            <w:tcBorders>
              <w:top w:val="nil"/>
              <w:left w:val="nil"/>
              <w:bottom w:val="nil"/>
              <w:right w:val="nil"/>
            </w:tcBorders>
            <w:shd w:val="clear" w:color="auto" w:fill="auto"/>
            <w:noWrap/>
            <w:vAlign w:val="center"/>
          </w:tcPr>
          <w:p w14:paraId="68B94D70" w14:textId="77777777" w:rsidR="00F324E0" w:rsidRPr="00F324E0" w:rsidRDefault="00F324E0" w:rsidP="00F324E0">
            <w:pPr>
              <w:jc w:val="right"/>
            </w:pPr>
            <w:r w:rsidRPr="00F324E0">
              <w:rPr>
                <w:sz w:val="22"/>
                <w:szCs w:val="22"/>
              </w:rPr>
              <w:t xml:space="preserve">             30.04 </w:t>
            </w:r>
          </w:p>
        </w:tc>
      </w:tr>
      <w:tr w:rsidR="00F324E0" w:rsidRPr="00F324E0" w14:paraId="5FACDF59" w14:textId="77777777" w:rsidTr="00B103CC">
        <w:trPr>
          <w:trHeight w:val="300"/>
        </w:trPr>
        <w:tc>
          <w:tcPr>
            <w:tcW w:w="2142" w:type="dxa"/>
            <w:tcBorders>
              <w:top w:val="nil"/>
              <w:left w:val="nil"/>
              <w:bottom w:val="nil"/>
              <w:right w:val="nil"/>
            </w:tcBorders>
            <w:shd w:val="clear" w:color="auto" w:fill="auto"/>
            <w:noWrap/>
            <w:vAlign w:val="center"/>
          </w:tcPr>
          <w:p w14:paraId="5A85BF51" w14:textId="77777777" w:rsidR="00F324E0" w:rsidRPr="00F324E0" w:rsidRDefault="00F324E0" w:rsidP="00F324E0">
            <w:r w:rsidRPr="00F324E0">
              <w:rPr>
                <w:sz w:val="22"/>
                <w:szCs w:val="22"/>
              </w:rPr>
              <w:t>Inv_growth</w:t>
            </w:r>
          </w:p>
        </w:tc>
        <w:tc>
          <w:tcPr>
            <w:tcW w:w="1008" w:type="dxa"/>
            <w:gridSpan w:val="2"/>
            <w:tcBorders>
              <w:top w:val="nil"/>
              <w:left w:val="nil"/>
              <w:bottom w:val="nil"/>
              <w:right w:val="nil"/>
            </w:tcBorders>
            <w:shd w:val="clear" w:color="auto" w:fill="auto"/>
            <w:noWrap/>
            <w:vAlign w:val="bottom"/>
          </w:tcPr>
          <w:p w14:paraId="58097FCF" w14:textId="77777777" w:rsidR="00F324E0" w:rsidRPr="00F324E0" w:rsidRDefault="00F324E0" w:rsidP="00F324E0">
            <w:pPr>
              <w:jc w:val="right"/>
            </w:pPr>
            <w:r w:rsidRPr="00F324E0">
              <w:rPr>
                <w:sz w:val="22"/>
                <w:szCs w:val="22"/>
              </w:rPr>
              <w:t xml:space="preserve">     2,289 </w:t>
            </w:r>
          </w:p>
        </w:tc>
        <w:tc>
          <w:tcPr>
            <w:tcW w:w="1492" w:type="dxa"/>
            <w:gridSpan w:val="2"/>
            <w:tcBorders>
              <w:top w:val="nil"/>
              <w:left w:val="nil"/>
              <w:bottom w:val="nil"/>
              <w:right w:val="nil"/>
            </w:tcBorders>
            <w:shd w:val="clear" w:color="auto" w:fill="auto"/>
            <w:noWrap/>
            <w:vAlign w:val="center"/>
          </w:tcPr>
          <w:p w14:paraId="7F790BED" w14:textId="77777777" w:rsidR="00F324E0" w:rsidRPr="00F324E0" w:rsidRDefault="00F324E0" w:rsidP="00F324E0">
            <w:pPr>
              <w:jc w:val="right"/>
            </w:pPr>
            <w:r w:rsidRPr="00F324E0">
              <w:rPr>
                <w:sz w:val="22"/>
                <w:szCs w:val="22"/>
              </w:rPr>
              <w:t>0.06</w:t>
            </w:r>
          </w:p>
        </w:tc>
        <w:tc>
          <w:tcPr>
            <w:tcW w:w="1332" w:type="dxa"/>
            <w:tcBorders>
              <w:top w:val="nil"/>
              <w:left w:val="nil"/>
              <w:bottom w:val="nil"/>
              <w:right w:val="nil"/>
            </w:tcBorders>
            <w:shd w:val="clear" w:color="auto" w:fill="auto"/>
            <w:noWrap/>
            <w:vAlign w:val="center"/>
          </w:tcPr>
          <w:p w14:paraId="61CB7A3B" w14:textId="77777777" w:rsidR="00F324E0" w:rsidRPr="00F324E0" w:rsidRDefault="00F324E0" w:rsidP="00F324E0">
            <w:pPr>
              <w:jc w:val="right"/>
            </w:pPr>
            <w:r w:rsidRPr="00F324E0">
              <w:rPr>
                <w:sz w:val="22"/>
                <w:szCs w:val="22"/>
              </w:rPr>
              <w:t xml:space="preserve">0.05 </w:t>
            </w:r>
          </w:p>
        </w:tc>
        <w:tc>
          <w:tcPr>
            <w:tcW w:w="1278" w:type="dxa"/>
            <w:tcBorders>
              <w:top w:val="nil"/>
              <w:left w:val="nil"/>
              <w:bottom w:val="nil"/>
              <w:right w:val="nil"/>
            </w:tcBorders>
            <w:shd w:val="clear" w:color="auto" w:fill="auto"/>
            <w:noWrap/>
            <w:vAlign w:val="center"/>
          </w:tcPr>
          <w:p w14:paraId="561D2271" w14:textId="77777777" w:rsidR="00F324E0" w:rsidRPr="00F324E0" w:rsidRDefault="00F324E0" w:rsidP="00F324E0">
            <w:pPr>
              <w:jc w:val="right"/>
            </w:pPr>
            <w:r w:rsidRPr="00F324E0">
              <w:rPr>
                <w:sz w:val="22"/>
                <w:szCs w:val="22"/>
              </w:rPr>
              <w:t xml:space="preserve">0.00 </w:t>
            </w:r>
          </w:p>
        </w:tc>
        <w:tc>
          <w:tcPr>
            <w:tcW w:w="1605" w:type="dxa"/>
            <w:tcBorders>
              <w:top w:val="nil"/>
              <w:left w:val="nil"/>
              <w:bottom w:val="nil"/>
              <w:right w:val="nil"/>
            </w:tcBorders>
            <w:shd w:val="clear" w:color="auto" w:fill="auto"/>
            <w:noWrap/>
            <w:vAlign w:val="center"/>
          </w:tcPr>
          <w:p w14:paraId="36BF304E" w14:textId="77777777" w:rsidR="00F324E0" w:rsidRPr="00F324E0" w:rsidRDefault="00F324E0" w:rsidP="00F324E0">
            <w:pPr>
              <w:jc w:val="right"/>
            </w:pPr>
            <w:r w:rsidRPr="00F324E0">
              <w:rPr>
                <w:sz w:val="22"/>
                <w:szCs w:val="22"/>
              </w:rPr>
              <w:t xml:space="preserve">                0.54 </w:t>
            </w:r>
          </w:p>
        </w:tc>
      </w:tr>
      <w:tr w:rsidR="00F324E0" w:rsidRPr="00F324E0" w14:paraId="6E816407" w14:textId="77777777" w:rsidTr="00B103CC">
        <w:trPr>
          <w:trHeight w:val="300"/>
        </w:trPr>
        <w:tc>
          <w:tcPr>
            <w:tcW w:w="2142" w:type="dxa"/>
            <w:tcBorders>
              <w:top w:val="nil"/>
              <w:left w:val="nil"/>
              <w:bottom w:val="nil"/>
              <w:right w:val="nil"/>
            </w:tcBorders>
            <w:shd w:val="clear" w:color="auto" w:fill="auto"/>
            <w:noWrap/>
            <w:vAlign w:val="center"/>
          </w:tcPr>
          <w:p w14:paraId="06015052" w14:textId="77777777" w:rsidR="00F324E0" w:rsidRPr="00F324E0" w:rsidRDefault="00F324E0" w:rsidP="00F324E0">
            <w:r w:rsidRPr="00F324E0">
              <w:rPr>
                <w:sz w:val="22"/>
                <w:szCs w:val="22"/>
              </w:rPr>
              <w:t>Dividend dummy</w:t>
            </w:r>
          </w:p>
        </w:tc>
        <w:tc>
          <w:tcPr>
            <w:tcW w:w="1008" w:type="dxa"/>
            <w:gridSpan w:val="2"/>
            <w:tcBorders>
              <w:top w:val="nil"/>
              <w:left w:val="nil"/>
              <w:bottom w:val="nil"/>
              <w:right w:val="nil"/>
            </w:tcBorders>
            <w:shd w:val="clear" w:color="auto" w:fill="auto"/>
            <w:noWrap/>
            <w:vAlign w:val="bottom"/>
          </w:tcPr>
          <w:p w14:paraId="7B731E58" w14:textId="77777777" w:rsidR="00F324E0" w:rsidRPr="00F324E0" w:rsidRDefault="00F324E0" w:rsidP="00F324E0">
            <w:pPr>
              <w:jc w:val="right"/>
            </w:pPr>
            <w:r w:rsidRPr="00F324E0">
              <w:rPr>
                <w:sz w:val="22"/>
                <w:szCs w:val="22"/>
              </w:rPr>
              <w:t xml:space="preserve">     2,287 </w:t>
            </w:r>
          </w:p>
        </w:tc>
        <w:tc>
          <w:tcPr>
            <w:tcW w:w="1492" w:type="dxa"/>
            <w:gridSpan w:val="2"/>
            <w:tcBorders>
              <w:top w:val="nil"/>
              <w:left w:val="nil"/>
              <w:bottom w:val="nil"/>
              <w:right w:val="nil"/>
            </w:tcBorders>
            <w:shd w:val="clear" w:color="auto" w:fill="auto"/>
            <w:noWrap/>
            <w:vAlign w:val="center"/>
          </w:tcPr>
          <w:p w14:paraId="0A601DE4" w14:textId="77777777" w:rsidR="00F324E0" w:rsidRPr="00F324E0" w:rsidRDefault="00F324E0" w:rsidP="00F324E0">
            <w:pPr>
              <w:jc w:val="right"/>
            </w:pPr>
            <w:r w:rsidRPr="00F324E0">
              <w:rPr>
                <w:sz w:val="22"/>
                <w:szCs w:val="22"/>
              </w:rPr>
              <w:t>0.99</w:t>
            </w:r>
          </w:p>
        </w:tc>
        <w:tc>
          <w:tcPr>
            <w:tcW w:w="1332" w:type="dxa"/>
            <w:tcBorders>
              <w:top w:val="nil"/>
              <w:left w:val="nil"/>
              <w:bottom w:val="nil"/>
              <w:right w:val="nil"/>
            </w:tcBorders>
            <w:shd w:val="clear" w:color="auto" w:fill="auto"/>
            <w:noWrap/>
            <w:vAlign w:val="center"/>
          </w:tcPr>
          <w:p w14:paraId="24677A7D" w14:textId="77777777" w:rsidR="00F324E0" w:rsidRPr="00F324E0" w:rsidRDefault="00F324E0" w:rsidP="00F324E0">
            <w:pPr>
              <w:jc w:val="right"/>
            </w:pPr>
            <w:r w:rsidRPr="00F324E0">
              <w:rPr>
                <w:sz w:val="22"/>
                <w:szCs w:val="22"/>
              </w:rPr>
              <w:t xml:space="preserve">0.10 </w:t>
            </w:r>
          </w:p>
        </w:tc>
        <w:tc>
          <w:tcPr>
            <w:tcW w:w="1278" w:type="dxa"/>
            <w:tcBorders>
              <w:top w:val="nil"/>
              <w:left w:val="nil"/>
              <w:bottom w:val="nil"/>
              <w:right w:val="nil"/>
            </w:tcBorders>
            <w:shd w:val="clear" w:color="auto" w:fill="auto"/>
            <w:noWrap/>
            <w:vAlign w:val="center"/>
          </w:tcPr>
          <w:p w14:paraId="30D2CBE7" w14:textId="77777777" w:rsidR="00F324E0" w:rsidRPr="00F324E0" w:rsidRDefault="00F324E0" w:rsidP="00F324E0">
            <w:pPr>
              <w:jc w:val="right"/>
            </w:pPr>
            <w:r w:rsidRPr="00F324E0">
              <w:rPr>
                <w:sz w:val="22"/>
                <w:szCs w:val="22"/>
              </w:rPr>
              <w:t xml:space="preserve">0.00 </w:t>
            </w:r>
          </w:p>
        </w:tc>
        <w:tc>
          <w:tcPr>
            <w:tcW w:w="1605" w:type="dxa"/>
            <w:tcBorders>
              <w:top w:val="nil"/>
              <w:left w:val="nil"/>
              <w:bottom w:val="nil"/>
              <w:right w:val="nil"/>
            </w:tcBorders>
            <w:shd w:val="clear" w:color="auto" w:fill="auto"/>
            <w:noWrap/>
            <w:vAlign w:val="center"/>
          </w:tcPr>
          <w:p w14:paraId="21E52321" w14:textId="77777777" w:rsidR="00F324E0" w:rsidRPr="00F324E0" w:rsidRDefault="00F324E0" w:rsidP="00F324E0">
            <w:pPr>
              <w:jc w:val="right"/>
            </w:pPr>
            <w:r w:rsidRPr="00F324E0">
              <w:rPr>
                <w:sz w:val="22"/>
                <w:szCs w:val="22"/>
              </w:rPr>
              <w:t>1.00</w:t>
            </w:r>
          </w:p>
        </w:tc>
      </w:tr>
      <w:tr w:rsidR="00F324E0" w:rsidRPr="00F324E0" w14:paraId="10181FE2" w14:textId="77777777" w:rsidTr="00B103CC">
        <w:trPr>
          <w:trHeight w:val="300"/>
        </w:trPr>
        <w:tc>
          <w:tcPr>
            <w:tcW w:w="2142" w:type="dxa"/>
            <w:tcBorders>
              <w:top w:val="nil"/>
              <w:left w:val="nil"/>
              <w:right w:val="nil"/>
            </w:tcBorders>
            <w:shd w:val="clear" w:color="auto" w:fill="auto"/>
            <w:noWrap/>
            <w:vAlign w:val="center"/>
          </w:tcPr>
          <w:p w14:paraId="74E765D6" w14:textId="77777777" w:rsidR="00F324E0" w:rsidRPr="00F324E0" w:rsidRDefault="00F324E0" w:rsidP="00F324E0">
            <w:pPr>
              <w:rPr>
                <w:rFonts w:eastAsia="Times New Roman"/>
              </w:rPr>
            </w:pPr>
            <w:r w:rsidRPr="00F324E0">
              <w:rPr>
                <w:rFonts w:eastAsia="Times New Roman"/>
                <w:sz w:val="22"/>
                <w:szCs w:val="22"/>
              </w:rPr>
              <w:t>Headquarter dummy</w:t>
            </w:r>
          </w:p>
        </w:tc>
        <w:tc>
          <w:tcPr>
            <w:tcW w:w="1008" w:type="dxa"/>
            <w:gridSpan w:val="2"/>
            <w:tcBorders>
              <w:top w:val="nil"/>
              <w:left w:val="nil"/>
              <w:right w:val="nil"/>
            </w:tcBorders>
            <w:shd w:val="clear" w:color="auto" w:fill="auto"/>
            <w:noWrap/>
            <w:vAlign w:val="bottom"/>
          </w:tcPr>
          <w:p w14:paraId="6C3AC856" w14:textId="77777777" w:rsidR="00F324E0" w:rsidRPr="00F324E0" w:rsidRDefault="00F324E0" w:rsidP="00F324E0">
            <w:pPr>
              <w:jc w:val="right"/>
            </w:pPr>
            <w:r w:rsidRPr="00F324E0">
              <w:rPr>
                <w:sz w:val="22"/>
                <w:szCs w:val="22"/>
              </w:rPr>
              <w:t xml:space="preserve">     2,300</w:t>
            </w:r>
          </w:p>
        </w:tc>
        <w:tc>
          <w:tcPr>
            <w:tcW w:w="1492" w:type="dxa"/>
            <w:gridSpan w:val="2"/>
            <w:tcBorders>
              <w:top w:val="nil"/>
              <w:left w:val="nil"/>
              <w:right w:val="nil"/>
            </w:tcBorders>
            <w:shd w:val="clear" w:color="auto" w:fill="auto"/>
            <w:noWrap/>
            <w:vAlign w:val="center"/>
          </w:tcPr>
          <w:p w14:paraId="2624865A" w14:textId="77777777" w:rsidR="00F324E0" w:rsidRPr="00F324E0" w:rsidRDefault="00F324E0" w:rsidP="00F324E0">
            <w:pPr>
              <w:jc w:val="right"/>
            </w:pPr>
            <w:r w:rsidRPr="00F324E0">
              <w:rPr>
                <w:sz w:val="22"/>
                <w:szCs w:val="22"/>
              </w:rPr>
              <w:t>0.39</w:t>
            </w:r>
          </w:p>
        </w:tc>
        <w:tc>
          <w:tcPr>
            <w:tcW w:w="1332" w:type="dxa"/>
            <w:tcBorders>
              <w:top w:val="nil"/>
              <w:left w:val="nil"/>
              <w:right w:val="nil"/>
            </w:tcBorders>
            <w:shd w:val="clear" w:color="auto" w:fill="auto"/>
            <w:noWrap/>
            <w:vAlign w:val="center"/>
          </w:tcPr>
          <w:p w14:paraId="6242EEF4" w14:textId="77777777" w:rsidR="00F324E0" w:rsidRPr="00F324E0" w:rsidRDefault="00F324E0" w:rsidP="00F324E0">
            <w:pPr>
              <w:jc w:val="right"/>
            </w:pPr>
            <w:r w:rsidRPr="00F324E0">
              <w:rPr>
                <w:sz w:val="22"/>
                <w:szCs w:val="22"/>
              </w:rPr>
              <w:t>0.49</w:t>
            </w:r>
          </w:p>
        </w:tc>
        <w:tc>
          <w:tcPr>
            <w:tcW w:w="1278" w:type="dxa"/>
            <w:tcBorders>
              <w:top w:val="nil"/>
              <w:left w:val="nil"/>
              <w:right w:val="nil"/>
            </w:tcBorders>
            <w:shd w:val="clear" w:color="auto" w:fill="auto"/>
            <w:noWrap/>
            <w:vAlign w:val="center"/>
          </w:tcPr>
          <w:p w14:paraId="3CD5F2B0" w14:textId="77777777" w:rsidR="00F324E0" w:rsidRPr="00F324E0" w:rsidRDefault="00F324E0" w:rsidP="00F324E0">
            <w:pPr>
              <w:jc w:val="right"/>
            </w:pPr>
            <w:r w:rsidRPr="00F324E0">
              <w:rPr>
                <w:sz w:val="22"/>
                <w:szCs w:val="22"/>
              </w:rPr>
              <w:t>0.00</w:t>
            </w:r>
          </w:p>
        </w:tc>
        <w:tc>
          <w:tcPr>
            <w:tcW w:w="1605" w:type="dxa"/>
            <w:tcBorders>
              <w:top w:val="nil"/>
              <w:left w:val="nil"/>
              <w:right w:val="nil"/>
            </w:tcBorders>
            <w:shd w:val="clear" w:color="auto" w:fill="auto"/>
            <w:noWrap/>
            <w:vAlign w:val="center"/>
          </w:tcPr>
          <w:p w14:paraId="76CC20ED" w14:textId="77777777" w:rsidR="00F324E0" w:rsidRPr="00F324E0" w:rsidRDefault="00F324E0" w:rsidP="00F324E0">
            <w:pPr>
              <w:jc w:val="right"/>
            </w:pPr>
            <w:r w:rsidRPr="00F324E0">
              <w:rPr>
                <w:sz w:val="22"/>
                <w:szCs w:val="22"/>
              </w:rPr>
              <w:t>1.00</w:t>
            </w:r>
          </w:p>
        </w:tc>
      </w:tr>
      <w:tr w:rsidR="00F324E0" w:rsidRPr="00F324E0" w14:paraId="514E6076" w14:textId="77777777" w:rsidTr="00B103CC">
        <w:trPr>
          <w:trHeight w:val="300"/>
        </w:trPr>
        <w:tc>
          <w:tcPr>
            <w:tcW w:w="2142" w:type="dxa"/>
            <w:tcBorders>
              <w:top w:val="nil"/>
              <w:left w:val="nil"/>
              <w:right w:val="nil"/>
            </w:tcBorders>
            <w:shd w:val="clear" w:color="auto" w:fill="auto"/>
            <w:noWrap/>
            <w:vAlign w:val="center"/>
            <w:hideMark/>
          </w:tcPr>
          <w:p w14:paraId="088BD747" w14:textId="77777777" w:rsidR="00F324E0" w:rsidRPr="00F324E0" w:rsidRDefault="00F324E0" w:rsidP="00F324E0">
            <w:pPr>
              <w:rPr>
                <w:rFonts w:eastAsia="Times New Roman"/>
              </w:rPr>
            </w:pPr>
            <w:r w:rsidRPr="00F324E0">
              <w:rPr>
                <w:rFonts w:eastAsia="Times New Roman"/>
                <w:sz w:val="22"/>
                <w:szCs w:val="22"/>
              </w:rPr>
              <w:t>Opacity</w:t>
            </w:r>
          </w:p>
        </w:tc>
        <w:tc>
          <w:tcPr>
            <w:tcW w:w="1008" w:type="dxa"/>
            <w:gridSpan w:val="2"/>
            <w:tcBorders>
              <w:top w:val="nil"/>
              <w:left w:val="nil"/>
              <w:right w:val="nil"/>
            </w:tcBorders>
            <w:shd w:val="clear" w:color="auto" w:fill="auto"/>
            <w:noWrap/>
            <w:vAlign w:val="bottom"/>
          </w:tcPr>
          <w:p w14:paraId="77CE7EC7" w14:textId="77777777" w:rsidR="00F324E0" w:rsidRPr="00F324E0" w:rsidRDefault="00F324E0" w:rsidP="00F324E0">
            <w:pPr>
              <w:jc w:val="right"/>
            </w:pPr>
            <w:r w:rsidRPr="00F324E0">
              <w:rPr>
                <w:sz w:val="22"/>
                <w:szCs w:val="22"/>
              </w:rPr>
              <w:t xml:space="preserve">     2,040</w:t>
            </w:r>
          </w:p>
        </w:tc>
        <w:tc>
          <w:tcPr>
            <w:tcW w:w="1492" w:type="dxa"/>
            <w:gridSpan w:val="2"/>
            <w:tcBorders>
              <w:top w:val="nil"/>
              <w:left w:val="nil"/>
              <w:right w:val="nil"/>
            </w:tcBorders>
            <w:shd w:val="clear" w:color="auto" w:fill="auto"/>
            <w:noWrap/>
            <w:vAlign w:val="center"/>
          </w:tcPr>
          <w:p w14:paraId="47E29D24" w14:textId="77777777" w:rsidR="00F324E0" w:rsidRPr="00F324E0" w:rsidRDefault="00F324E0" w:rsidP="00F324E0">
            <w:pPr>
              <w:jc w:val="right"/>
            </w:pPr>
            <w:r w:rsidRPr="00F324E0">
              <w:rPr>
                <w:sz w:val="22"/>
                <w:szCs w:val="22"/>
              </w:rPr>
              <w:t>0.14</w:t>
            </w:r>
          </w:p>
        </w:tc>
        <w:tc>
          <w:tcPr>
            <w:tcW w:w="1332" w:type="dxa"/>
            <w:tcBorders>
              <w:top w:val="nil"/>
              <w:left w:val="nil"/>
              <w:right w:val="nil"/>
            </w:tcBorders>
            <w:shd w:val="clear" w:color="auto" w:fill="auto"/>
            <w:noWrap/>
            <w:vAlign w:val="center"/>
          </w:tcPr>
          <w:p w14:paraId="5BB349DD" w14:textId="77777777" w:rsidR="00F324E0" w:rsidRPr="00F324E0" w:rsidRDefault="00F324E0" w:rsidP="00F324E0">
            <w:pPr>
              <w:jc w:val="right"/>
            </w:pPr>
            <w:r w:rsidRPr="00F324E0">
              <w:rPr>
                <w:sz w:val="22"/>
                <w:szCs w:val="22"/>
              </w:rPr>
              <w:t>0.18</w:t>
            </w:r>
          </w:p>
        </w:tc>
        <w:tc>
          <w:tcPr>
            <w:tcW w:w="1278" w:type="dxa"/>
            <w:tcBorders>
              <w:top w:val="nil"/>
              <w:left w:val="nil"/>
              <w:right w:val="nil"/>
            </w:tcBorders>
            <w:shd w:val="clear" w:color="auto" w:fill="auto"/>
            <w:noWrap/>
            <w:vAlign w:val="center"/>
          </w:tcPr>
          <w:p w14:paraId="082590AF" w14:textId="77777777" w:rsidR="00F324E0" w:rsidRPr="00F324E0" w:rsidRDefault="00F324E0" w:rsidP="00F324E0">
            <w:pPr>
              <w:jc w:val="right"/>
            </w:pPr>
            <w:r w:rsidRPr="00F324E0">
              <w:rPr>
                <w:sz w:val="22"/>
                <w:szCs w:val="22"/>
              </w:rPr>
              <w:t>0.00</w:t>
            </w:r>
          </w:p>
        </w:tc>
        <w:tc>
          <w:tcPr>
            <w:tcW w:w="1605" w:type="dxa"/>
            <w:tcBorders>
              <w:top w:val="nil"/>
              <w:left w:val="nil"/>
              <w:right w:val="nil"/>
            </w:tcBorders>
            <w:shd w:val="clear" w:color="auto" w:fill="auto"/>
            <w:noWrap/>
            <w:vAlign w:val="center"/>
          </w:tcPr>
          <w:p w14:paraId="242C448B" w14:textId="77777777" w:rsidR="00F324E0" w:rsidRPr="00F324E0" w:rsidRDefault="00F324E0" w:rsidP="00F324E0">
            <w:pPr>
              <w:jc w:val="right"/>
            </w:pPr>
            <w:r w:rsidRPr="00F324E0">
              <w:rPr>
                <w:sz w:val="22"/>
                <w:szCs w:val="22"/>
              </w:rPr>
              <w:t>0.87</w:t>
            </w:r>
          </w:p>
        </w:tc>
      </w:tr>
      <w:tr w:rsidR="00F324E0" w:rsidRPr="00F324E0" w14:paraId="2EBE9909" w14:textId="77777777" w:rsidTr="00B103CC">
        <w:trPr>
          <w:trHeight w:val="300"/>
        </w:trPr>
        <w:tc>
          <w:tcPr>
            <w:tcW w:w="2142" w:type="dxa"/>
            <w:tcBorders>
              <w:top w:val="nil"/>
              <w:left w:val="nil"/>
              <w:bottom w:val="nil"/>
              <w:right w:val="nil"/>
            </w:tcBorders>
            <w:shd w:val="clear" w:color="auto" w:fill="auto"/>
            <w:noWrap/>
            <w:vAlign w:val="center"/>
            <w:hideMark/>
          </w:tcPr>
          <w:p w14:paraId="46D77226" w14:textId="77777777" w:rsidR="00F324E0" w:rsidRPr="00F324E0" w:rsidRDefault="00F324E0" w:rsidP="00F324E0">
            <w:r w:rsidRPr="00F324E0">
              <w:rPr>
                <w:rFonts w:eastAsia="Times New Roman"/>
                <w:sz w:val="22"/>
                <w:szCs w:val="22"/>
              </w:rPr>
              <w:t>Slack</w:t>
            </w:r>
          </w:p>
        </w:tc>
        <w:tc>
          <w:tcPr>
            <w:tcW w:w="1008" w:type="dxa"/>
            <w:gridSpan w:val="2"/>
            <w:tcBorders>
              <w:top w:val="nil"/>
              <w:left w:val="nil"/>
              <w:bottom w:val="nil"/>
              <w:right w:val="nil"/>
            </w:tcBorders>
            <w:shd w:val="clear" w:color="auto" w:fill="auto"/>
            <w:noWrap/>
            <w:vAlign w:val="bottom"/>
          </w:tcPr>
          <w:p w14:paraId="5242E921" w14:textId="77777777" w:rsidR="00F324E0" w:rsidRPr="00F324E0" w:rsidRDefault="00F324E0" w:rsidP="00F324E0">
            <w:pPr>
              <w:jc w:val="right"/>
            </w:pPr>
            <w:r w:rsidRPr="00F324E0">
              <w:rPr>
                <w:sz w:val="22"/>
                <w:szCs w:val="22"/>
              </w:rPr>
              <w:t xml:space="preserve">     2,300</w:t>
            </w:r>
          </w:p>
        </w:tc>
        <w:tc>
          <w:tcPr>
            <w:tcW w:w="1492" w:type="dxa"/>
            <w:gridSpan w:val="2"/>
            <w:tcBorders>
              <w:top w:val="nil"/>
              <w:left w:val="nil"/>
              <w:bottom w:val="nil"/>
              <w:right w:val="nil"/>
            </w:tcBorders>
            <w:shd w:val="clear" w:color="auto" w:fill="auto"/>
            <w:noWrap/>
            <w:vAlign w:val="center"/>
          </w:tcPr>
          <w:p w14:paraId="6BF68235" w14:textId="77777777" w:rsidR="00F324E0" w:rsidRPr="00F324E0" w:rsidRDefault="00F324E0" w:rsidP="00F324E0">
            <w:pPr>
              <w:jc w:val="right"/>
            </w:pPr>
            <w:r w:rsidRPr="00F324E0">
              <w:rPr>
                <w:sz w:val="22"/>
                <w:szCs w:val="22"/>
              </w:rPr>
              <w:t>0.17</w:t>
            </w:r>
          </w:p>
        </w:tc>
        <w:tc>
          <w:tcPr>
            <w:tcW w:w="1332" w:type="dxa"/>
            <w:tcBorders>
              <w:top w:val="nil"/>
              <w:left w:val="nil"/>
              <w:bottom w:val="nil"/>
              <w:right w:val="nil"/>
            </w:tcBorders>
            <w:shd w:val="clear" w:color="auto" w:fill="auto"/>
            <w:noWrap/>
            <w:vAlign w:val="center"/>
          </w:tcPr>
          <w:p w14:paraId="6AEE28AE" w14:textId="77777777" w:rsidR="00F324E0" w:rsidRPr="00F324E0" w:rsidRDefault="00F324E0" w:rsidP="00F324E0">
            <w:pPr>
              <w:jc w:val="right"/>
            </w:pPr>
            <w:r w:rsidRPr="00F324E0">
              <w:rPr>
                <w:sz w:val="22"/>
                <w:szCs w:val="22"/>
              </w:rPr>
              <w:t>0.17</w:t>
            </w:r>
          </w:p>
        </w:tc>
        <w:tc>
          <w:tcPr>
            <w:tcW w:w="1278" w:type="dxa"/>
            <w:tcBorders>
              <w:top w:val="nil"/>
              <w:left w:val="nil"/>
              <w:bottom w:val="nil"/>
              <w:right w:val="nil"/>
            </w:tcBorders>
            <w:shd w:val="clear" w:color="auto" w:fill="auto"/>
            <w:noWrap/>
            <w:vAlign w:val="center"/>
          </w:tcPr>
          <w:p w14:paraId="4D9B9E1C" w14:textId="77777777" w:rsidR="00F324E0" w:rsidRPr="00F324E0" w:rsidRDefault="00F324E0" w:rsidP="00F324E0">
            <w:pPr>
              <w:jc w:val="right"/>
            </w:pPr>
            <w:r w:rsidRPr="00F324E0">
              <w:rPr>
                <w:sz w:val="22"/>
                <w:szCs w:val="22"/>
              </w:rPr>
              <w:t>0.00</w:t>
            </w:r>
          </w:p>
        </w:tc>
        <w:tc>
          <w:tcPr>
            <w:tcW w:w="1605" w:type="dxa"/>
            <w:tcBorders>
              <w:top w:val="nil"/>
              <w:left w:val="nil"/>
              <w:bottom w:val="nil"/>
              <w:right w:val="nil"/>
            </w:tcBorders>
            <w:shd w:val="clear" w:color="auto" w:fill="auto"/>
            <w:noWrap/>
            <w:vAlign w:val="center"/>
          </w:tcPr>
          <w:p w14:paraId="660D7E99" w14:textId="77777777" w:rsidR="00F324E0" w:rsidRPr="00F324E0" w:rsidRDefault="00F324E0" w:rsidP="00F324E0">
            <w:pPr>
              <w:jc w:val="right"/>
            </w:pPr>
            <w:r w:rsidRPr="00F324E0">
              <w:rPr>
                <w:sz w:val="22"/>
                <w:szCs w:val="22"/>
              </w:rPr>
              <w:t>0.95</w:t>
            </w:r>
          </w:p>
        </w:tc>
      </w:tr>
      <w:tr w:rsidR="00F324E0" w:rsidRPr="00F324E0" w14:paraId="71B6AE4A" w14:textId="77777777" w:rsidTr="00B103CC">
        <w:trPr>
          <w:trHeight w:val="300"/>
        </w:trPr>
        <w:tc>
          <w:tcPr>
            <w:tcW w:w="2142" w:type="dxa"/>
            <w:tcBorders>
              <w:top w:val="nil"/>
              <w:left w:val="nil"/>
              <w:bottom w:val="nil"/>
              <w:right w:val="nil"/>
            </w:tcBorders>
            <w:shd w:val="clear" w:color="auto" w:fill="auto"/>
            <w:noWrap/>
            <w:vAlign w:val="center"/>
          </w:tcPr>
          <w:p w14:paraId="6101C5DC" w14:textId="77777777" w:rsidR="00F324E0" w:rsidRPr="00F324E0" w:rsidRDefault="00F324E0" w:rsidP="00F324E0">
            <w:pPr>
              <w:rPr>
                <w:rFonts w:eastAsia="Times New Roman"/>
              </w:rPr>
            </w:pPr>
            <w:r w:rsidRPr="00F324E0">
              <w:rPr>
                <w:rFonts w:eastAsia="Times New Roman"/>
                <w:sz w:val="22"/>
                <w:szCs w:val="22"/>
              </w:rPr>
              <w:t>Subsector dummy</w:t>
            </w:r>
          </w:p>
        </w:tc>
        <w:tc>
          <w:tcPr>
            <w:tcW w:w="1008" w:type="dxa"/>
            <w:gridSpan w:val="2"/>
            <w:tcBorders>
              <w:top w:val="nil"/>
              <w:left w:val="nil"/>
              <w:bottom w:val="nil"/>
              <w:right w:val="nil"/>
            </w:tcBorders>
            <w:shd w:val="clear" w:color="auto" w:fill="auto"/>
            <w:noWrap/>
            <w:vAlign w:val="bottom"/>
          </w:tcPr>
          <w:p w14:paraId="1C106FBA" w14:textId="77777777" w:rsidR="00F324E0" w:rsidRPr="00F324E0" w:rsidRDefault="00F324E0" w:rsidP="00F324E0">
            <w:pPr>
              <w:jc w:val="right"/>
            </w:pPr>
            <w:r w:rsidRPr="00F324E0">
              <w:rPr>
                <w:sz w:val="22"/>
                <w:szCs w:val="22"/>
              </w:rPr>
              <w:t>2,300</w:t>
            </w:r>
          </w:p>
        </w:tc>
        <w:tc>
          <w:tcPr>
            <w:tcW w:w="1492" w:type="dxa"/>
            <w:gridSpan w:val="2"/>
            <w:tcBorders>
              <w:top w:val="nil"/>
              <w:left w:val="nil"/>
              <w:bottom w:val="nil"/>
              <w:right w:val="nil"/>
            </w:tcBorders>
            <w:shd w:val="clear" w:color="auto" w:fill="auto"/>
            <w:noWrap/>
            <w:vAlign w:val="center"/>
          </w:tcPr>
          <w:p w14:paraId="3D9AEE24" w14:textId="77777777" w:rsidR="00F324E0" w:rsidRPr="00F324E0" w:rsidRDefault="00F324E0" w:rsidP="00F324E0">
            <w:pPr>
              <w:jc w:val="right"/>
            </w:pPr>
            <w:r w:rsidRPr="00F324E0">
              <w:rPr>
                <w:sz w:val="22"/>
                <w:szCs w:val="22"/>
              </w:rPr>
              <w:t>0.08</w:t>
            </w:r>
          </w:p>
        </w:tc>
        <w:tc>
          <w:tcPr>
            <w:tcW w:w="1332" w:type="dxa"/>
            <w:tcBorders>
              <w:top w:val="nil"/>
              <w:left w:val="nil"/>
              <w:bottom w:val="nil"/>
              <w:right w:val="nil"/>
            </w:tcBorders>
            <w:shd w:val="clear" w:color="auto" w:fill="auto"/>
            <w:noWrap/>
            <w:vAlign w:val="center"/>
          </w:tcPr>
          <w:p w14:paraId="7BAE9E10" w14:textId="77777777" w:rsidR="00F324E0" w:rsidRPr="00F324E0" w:rsidRDefault="00F324E0" w:rsidP="00F324E0">
            <w:pPr>
              <w:jc w:val="right"/>
            </w:pPr>
            <w:r w:rsidRPr="00F324E0">
              <w:rPr>
                <w:sz w:val="22"/>
                <w:szCs w:val="22"/>
              </w:rPr>
              <w:t>0.27</w:t>
            </w:r>
          </w:p>
        </w:tc>
        <w:tc>
          <w:tcPr>
            <w:tcW w:w="1278" w:type="dxa"/>
            <w:tcBorders>
              <w:top w:val="nil"/>
              <w:left w:val="nil"/>
              <w:bottom w:val="nil"/>
              <w:right w:val="nil"/>
            </w:tcBorders>
            <w:shd w:val="clear" w:color="auto" w:fill="auto"/>
            <w:noWrap/>
            <w:vAlign w:val="center"/>
          </w:tcPr>
          <w:p w14:paraId="74F2B47C" w14:textId="77777777" w:rsidR="00F324E0" w:rsidRPr="00F324E0" w:rsidRDefault="00F324E0" w:rsidP="00F324E0">
            <w:pPr>
              <w:jc w:val="right"/>
            </w:pPr>
            <w:r w:rsidRPr="00F324E0">
              <w:rPr>
                <w:sz w:val="22"/>
                <w:szCs w:val="22"/>
              </w:rPr>
              <w:t>0.00</w:t>
            </w:r>
          </w:p>
        </w:tc>
        <w:tc>
          <w:tcPr>
            <w:tcW w:w="1605" w:type="dxa"/>
            <w:tcBorders>
              <w:top w:val="nil"/>
              <w:left w:val="nil"/>
              <w:bottom w:val="nil"/>
              <w:right w:val="nil"/>
            </w:tcBorders>
            <w:shd w:val="clear" w:color="auto" w:fill="auto"/>
            <w:noWrap/>
            <w:vAlign w:val="center"/>
          </w:tcPr>
          <w:p w14:paraId="1E02EFD0" w14:textId="77777777" w:rsidR="00F324E0" w:rsidRPr="00F324E0" w:rsidRDefault="00F324E0" w:rsidP="00F324E0">
            <w:pPr>
              <w:jc w:val="right"/>
            </w:pPr>
            <w:r w:rsidRPr="00F324E0">
              <w:rPr>
                <w:sz w:val="22"/>
                <w:szCs w:val="22"/>
              </w:rPr>
              <w:t>1.00</w:t>
            </w:r>
          </w:p>
        </w:tc>
      </w:tr>
      <w:tr w:rsidR="00F324E0" w:rsidRPr="00F324E0" w14:paraId="0B66B87B" w14:textId="77777777" w:rsidTr="00B103CC">
        <w:trPr>
          <w:trHeight w:val="300"/>
        </w:trPr>
        <w:tc>
          <w:tcPr>
            <w:tcW w:w="2142" w:type="dxa"/>
            <w:tcBorders>
              <w:top w:val="nil"/>
              <w:left w:val="nil"/>
              <w:bottom w:val="single" w:sz="4" w:space="0" w:color="auto"/>
              <w:right w:val="nil"/>
            </w:tcBorders>
            <w:shd w:val="clear" w:color="auto" w:fill="auto"/>
            <w:noWrap/>
            <w:vAlign w:val="center"/>
          </w:tcPr>
          <w:p w14:paraId="084941C6" w14:textId="77777777" w:rsidR="00F324E0" w:rsidRPr="00F324E0" w:rsidRDefault="00F324E0" w:rsidP="00F324E0">
            <w:pPr>
              <w:rPr>
                <w:rFonts w:eastAsia="Times New Roman"/>
              </w:rPr>
            </w:pPr>
            <w:r w:rsidRPr="00F324E0">
              <w:rPr>
                <w:rFonts w:eastAsia="Times New Roman"/>
                <w:sz w:val="22"/>
                <w:szCs w:val="22"/>
              </w:rPr>
              <w:t>Complexity dummy</w:t>
            </w:r>
          </w:p>
        </w:tc>
        <w:tc>
          <w:tcPr>
            <w:tcW w:w="1008" w:type="dxa"/>
            <w:gridSpan w:val="2"/>
            <w:tcBorders>
              <w:top w:val="nil"/>
              <w:left w:val="nil"/>
              <w:bottom w:val="single" w:sz="4" w:space="0" w:color="auto"/>
              <w:right w:val="nil"/>
            </w:tcBorders>
            <w:shd w:val="clear" w:color="auto" w:fill="auto"/>
            <w:noWrap/>
            <w:vAlign w:val="bottom"/>
          </w:tcPr>
          <w:p w14:paraId="7D6D0A30" w14:textId="77777777" w:rsidR="00F324E0" w:rsidRPr="00F324E0" w:rsidRDefault="00F324E0" w:rsidP="00F324E0">
            <w:pPr>
              <w:jc w:val="right"/>
            </w:pPr>
            <w:r w:rsidRPr="00F324E0">
              <w:rPr>
                <w:sz w:val="22"/>
                <w:szCs w:val="22"/>
              </w:rPr>
              <w:t>2,300</w:t>
            </w:r>
          </w:p>
        </w:tc>
        <w:tc>
          <w:tcPr>
            <w:tcW w:w="1492" w:type="dxa"/>
            <w:gridSpan w:val="2"/>
            <w:tcBorders>
              <w:top w:val="nil"/>
              <w:left w:val="nil"/>
              <w:bottom w:val="single" w:sz="4" w:space="0" w:color="auto"/>
              <w:right w:val="nil"/>
            </w:tcBorders>
            <w:shd w:val="clear" w:color="auto" w:fill="auto"/>
            <w:noWrap/>
            <w:vAlign w:val="center"/>
          </w:tcPr>
          <w:p w14:paraId="5B2CDBA8" w14:textId="77777777" w:rsidR="00F324E0" w:rsidRPr="00F324E0" w:rsidRDefault="00F324E0" w:rsidP="00F324E0">
            <w:pPr>
              <w:jc w:val="right"/>
            </w:pPr>
            <w:r w:rsidRPr="00F324E0">
              <w:rPr>
                <w:sz w:val="22"/>
                <w:szCs w:val="22"/>
              </w:rPr>
              <w:t>0.02</w:t>
            </w:r>
          </w:p>
        </w:tc>
        <w:tc>
          <w:tcPr>
            <w:tcW w:w="1332" w:type="dxa"/>
            <w:tcBorders>
              <w:top w:val="nil"/>
              <w:left w:val="nil"/>
              <w:bottom w:val="single" w:sz="4" w:space="0" w:color="auto"/>
              <w:right w:val="nil"/>
            </w:tcBorders>
            <w:shd w:val="clear" w:color="auto" w:fill="auto"/>
            <w:noWrap/>
            <w:vAlign w:val="center"/>
          </w:tcPr>
          <w:p w14:paraId="62F39E8F" w14:textId="77777777" w:rsidR="00F324E0" w:rsidRPr="00F324E0" w:rsidRDefault="00F324E0" w:rsidP="00F324E0">
            <w:pPr>
              <w:jc w:val="right"/>
            </w:pPr>
            <w:r w:rsidRPr="00F324E0">
              <w:rPr>
                <w:sz w:val="22"/>
                <w:szCs w:val="22"/>
              </w:rPr>
              <w:t>0.14</w:t>
            </w:r>
          </w:p>
        </w:tc>
        <w:tc>
          <w:tcPr>
            <w:tcW w:w="1278" w:type="dxa"/>
            <w:tcBorders>
              <w:top w:val="nil"/>
              <w:left w:val="nil"/>
              <w:bottom w:val="single" w:sz="4" w:space="0" w:color="auto"/>
              <w:right w:val="nil"/>
            </w:tcBorders>
            <w:shd w:val="clear" w:color="auto" w:fill="auto"/>
            <w:noWrap/>
            <w:vAlign w:val="center"/>
          </w:tcPr>
          <w:p w14:paraId="3716CEAF" w14:textId="77777777" w:rsidR="00F324E0" w:rsidRPr="00F324E0" w:rsidRDefault="00F324E0" w:rsidP="00F324E0">
            <w:pPr>
              <w:jc w:val="right"/>
            </w:pPr>
            <w:r w:rsidRPr="00F324E0">
              <w:rPr>
                <w:sz w:val="22"/>
                <w:szCs w:val="22"/>
              </w:rPr>
              <w:t>0.00</w:t>
            </w:r>
          </w:p>
        </w:tc>
        <w:tc>
          <w:tcPr>
            <w:tcW w:w="1605" w:type="dxa"/>
            <w:tcBorders>
              <w:top w:val="nil"/>
              <w:left w:val="nil"/>
              <w:bottom w:val="single" w:sz="4" w:space="0" w:color="auto"/>
              <w:right w:val="nil"/>
            </w:tcBorders>
            <w:shd w:val="clear" w:color="auto" w:fill="auto"/>
            <w:noWrap/>
            <w:vAlign w:val="center"/>
          </w:tcPr>
          <w:p w14:paraId="0103D749" w14:textId="77777777" w:rsidR="00F324E0" w:rsidRPr="00F324E0" w:rsidRDefault="00F324E0" w:rsidP="00F324E0">
            <w:pPr>
              <w:jc w:val="right"/>
            </w:pPr>
            <w:r w:rsidRPr="00F324E0">
              <w:rPr>
                <w:sz w:val="22"/>
                <w:szCs w:val="22"/>
              </w:rPr>
              <w:t>1.00</w:t>
            </w:r>
          </w:p>
        </w:tc>
      </w:tr>
    </w:tbl>
    <w:p w14:paraId="7EBFF98F" w14:textId="77777777" w:rsidR="00F324E0" w:rsidRPr="00F324E0" w:rsidRDefault="00F324E0" w:rsidP="00F324E0">
      <w:pPr>
        <w:autoSpaceDE w:val="0"/>
        <w:autoSpaceDN w:val="0"/>
        <w:adjustRightInd w:val="0"/>
        <w:spacing w:line="360" w:lineRule="auto"/>
        <w:ind w:left="180"/>
        <w:rPr>
          <w:rFonts w:eastAsia="Times New Roman"/>
          <w:i/>
          <w:sz w:val="20"/>
          <w:szCs w:val="22"/>
        </w:rPr>
      </w:pPr>
    </w:p>
    <w:p w14:paraId="25D5D51B" w14:textId="77777777" w:rsidR="00F324E0" w:rsidRPr="00F324E0" w:rsidRDefault="00F324E0" w:rsidP="00F324E0">
      <w:pPr>
        <w:autoSpaceDE w:val="0"/>
        <w:autoSpaceDN w:val="0"/>
        <w:adjustRightInd w:val="0"/>
        <w:ind w:left="180"/>
        <w:contextualSpacing/>
      </w:pPr>
      <w:r w:rsidRPr="00F324E0">
        <w:rPr>
          <w:rFonts w:eastAsia="Times New Roman"/>
          <w:i/>
          <w:sz w:val="20"/>
          <w:szCs w:val="22"/>
        </w:rPr>
        <w:t>Notes</w:t>
      </w:r>
      <w:r w:rsidRPr="00F324E0">
        <w:rPr>
          <w:rFonts w:eastAsia="Times New Roman"/>
          <w:sz w:val="20"/>
          <w:szCs w:val="22"/>
        </w:rPr>
        <w:t xml:space="preserve">: The data on publicly traded manufacturers in CA cover the years 1970 through 2015. Tobin’s Q is used as a proxy for firm value and is calculated as ([Market value of equity + Book value of liabilities]/Book value of assets). Self-insurance is a dummy variable that equals 1 if the company self-insures for that year; otherwise it equals 0. Total assets is the book value of total assets as reported in Compustat. Size is measured as the natural log of book value of total assets. ROA measures accounting performance and is equal to net income divided by total assets. Leverage is equal to the ratio of book value of long-term debt divided by market value of equity. Inv_growth measures investment growth and is computed as capital expenditure divided by total assets. Dividend dummy equals 1 if the company paid out dividend for that year; and equals 0 otherwise. Headquarter dummy equals 1 if the owner of the manufacturer is headquartered in California; otherwise it equals 0. Subsector dummy takes the value of 1 if the firm is </w:t>
      </w:r>
      <w:r w:rsidRPr="00F324E0">
        <w:rPr>
          <w:color w:val="000000"/>
          <w:sz w:val="20"/>
          <w:szCs w:val="20"/>
        </w:rPr>
        <w:t xml:space="preserve">affiliated with the production of wood, paper, beverage, and petroleum products. Opacity is measured as the ratio of intangible assets to total assets. Slack is computed as cash and short-term investment divided by total assets. Complexity dummy takes the value of 1 if </w:t>
      </w:r>
      <w:r w:rsidRPr="00F324E0">
        <w:rPr>
          <w:sz w:val="20"/>
          <w:szCs w:val="20"/>
        </w:rPr>
        <w:t xml:space="preserve">a firm has a SIC or NAICS code beyond manufacturing sector (NAICS 31-33 or SIC 20-39); otherwise it equals 0. </w:t>
      </w:r>
      <w:r w:rsidRPr="00F324E0">
        <w:br w:type="page"/>
      </w:r>
    </w:p>
    <w:tbl>
      <w:tblPr>
        <w:tblW w:w="9162" w:type="dxa"/>
        <w:jc w:val="center"/>
        <w:tblLayout w:type="fixed"/>
        <w:tblLook w:val="04A0" w:firstRow="1" w:lastRow="0" w:firstColumn="1" w:lastColumn="0" w:noHBand="0" w:noVBand="1"/>
      </w:tblPr>
      <w:tblGrid>
        <w:gridCol w:w="2160"/>
        <w:gridCol w:w="630"/>
        <w:gridCol w:w="1170"/>
        <w:gridCol w:w="270"/>
        <w:gridCol w:w="810"/>
        <w:gridCol w:w="1440"/>
        <w:gridCol w:w="1260"/>
        <w:gridCol w:w="1073"/>
        <w:gridCol w:w="271"/>
        <w:gridCol w:w="78"/>
      </w:tblGrid>
      <w:tr w:rsidR="00F324E0" w:rsidRPr="00F324E0" w14:paraId="6BFF92EE" w14:textId="77777777" w:rsidTr="00B103CC">
        <w:trPr>
          <w:trHeight w:val="284"/>
          <w:jc w:val="center"/>
        </w:trPr>
        <w:tc>
          <w:tcPr>
            <w:tcW w:w="9162" w:type="dxa"/>
            <w:gridSpan w:val="10"/>
            <w:tcBorders>
              <w:top w:val="nil"/>
              <w:left w:val="nil"/>
              <w:bottom w:val="nil"/>
            </w:tcBorders>
          </w:tcPr>
          <w:p w14:paraId="175D2921" w14:textId="77777777" w:rsidR="00F324E0" w:rsidRPr="00F324E0" w:rsidRDefault="00F324E0" w:rsidP="00F324E0">
            <w:pPr>
              <w:jc w:val="center"/>
              <w:rPr>
                <w:rFonts w:eastAsia="Times New Roman"/>
                <w:b/>
                <w:bCs/>
              </w:rPr>
            </w:pPr>
            <w:r w:rsidRPr="00F324E0">
              <w:rPr>
                <w:rFonts w:eastAsia="Times New Roman"/>
                <w:b/>
                <w:bCs/>
              </w:rPr>
              <w:lastRenderedPageBreak/>
              <w:t>Table 3</w:t>
            </w:r>
          </w:p>
        </w:tc>
      </w:tr>
      <w:tr w:rsidR="00F324E0" w:rsidRPr="00F324E0" w14:paraId="3F1F2EB5" w14:textId="77777777" w:rsidTr="00B103CC">
        <w:trPr>
          <w:trHeight w:val="284"/>
          <w:jc w:val="center"/>
        </w:trPr>
        <w:tc>
          <w:tcPr>
            <w:tcW w:w="9162" w:type="dxa"/>
            <w:gridSpan w:val="10"/>
            <w:tcBorders>
              <w:top w:val="nil"/>
              <w:left w:val="nil"/>
              <w:bottom w:val="nil"/>
            </w:tcBorders>
          </w:tcPr>
          <w:p w14:paraId="46B49A4A" w14:textId="77777777" w:rsidR="00F324E0" w:rsidRPr="00F324E0" w:rsidRDefault="00F324E0" w:rsidP="00F324E0">
            <w:pPr>
              <w:jc w:val="center"/>
              <w:rPr>
                <w:rFonts w:eastAsia="Times New Roman"/>
                <w:b/>
                <w:bCs/>
              </w:rPr>
            </w:pPr>
            <w:r w:rsidRPr="00F324E0">
              <w:rPr>
                <w:rFonts w:eastAsia="Times New Roman"/>
                <w:b/>
                <w:bCs/>
              </w:rPr>
              <w:t xml:space="preserve">Comparison of Manufacturers that self-insure and Manufacturers that Do Not </w:t>
            </w:r>
          </w:p>
          <w:p w14:paraId="198FDD08" w14:textId="77777777" w:rsidR="00F324E0" w:rsidRPr="00F324E0" w:rsidRDefault="00F324E0" w:rsidP="00F324E0">
            <w:pPr>
              <w:jc w:val="center"/>
              <w:rPr>
                <w:rFonts w:eastAsia="Times New Roman"/>
                <w:b/>
                <w:bCs/>
              </w:rPr>
            </w:pPr>
            <w:r w:rsidRPr="00F324E0">
              <w:rPr>
                <w:rFonts w:eastAsia="Times New Roman"/>
                <w:b/>
                <w:bCs/>
              </w:rPr>
              <w:t>Self-insure</w:t>
            </w:r>
          </w:p>
        </w:tc>
      </w:tr>
      <w:tr w:rsidR="00F324E0" w:rsidRPr="00F324E0" w14:paraId="4EF061CD" w14:textId="77777777" w:rsidTr="00B103CC">
        <w:trPr>
          <w:trHeight w:val="284"/>
          <w:jc w:val="center"/>
        </w:trPr>
        <w:tc>
          <w:tcPr>
            <w:tcW w:w="9162" w:type="dxa"/>
            <w:gridSpan w:val="10"/>
            <w:tcBorders>
              <w:top w:val="nil"/>
              <w:left w:val="nil"/>
              <w:bottom w:val="nil"/>
            </w:tcBorders>
          </w:tcPr>
          <w:p w14:paraId="2A4FB570" w14:textId="77777777" w:rsidR="00F324E0" w:rsidRPr="00F324E0" w:rsidRDefault="00F324E0" w:rsidP="00F324E0">
            <w:pPr>
              <w:jc w:val="center"/>
              <w:rPr>
                <w:rFonts w:eastAsia="Times New Roman"/>
                <w:b/>
                <w:bCs/>
              </w:rPr>
            </w:pPr>
          </w:p>
        </w:tc>
      </w:tr>
      <w:tr w:rsidR="00F324E0" w:rsidRPr="00F324E0" w14:paraId="3A9624DD" w14:textId="77777777" w:rsidTr="00B103CC">
        <w:trPr>
          <w:gridAfter w:val="1"/>
          <w:wAfter w:w="78" w:type="dxa"/>
          <w:trHeight w:val="369"/>
          <w:jc w:val="center"/>
        </w:trPr>
        <w:tc>
          <w:tcPr>
            <w:tcW w:w="2160" w:type="dxa"/>
            <w:tcBorders>
              <w:top w:val="nil"/>
              <w:left w:val="nil"/>
              <w:right w:val="nil"/>
            </w:tcBorders>
            <w:shd w:val="clear" w:color="auto" w:fill="auto"/>
            <w:noWrap/>
            <w:vAlign w:val="center"/>
          </w:tcPr>
          <w:p w14:paraId="76E4E6B0" w14:textId="77777777" w:rsidR="00F324E0" w:rsidRPr="00F324E0" w:rsidRDefault="00F324E0" w:rsidP="00F324E0">
            <w:pPr>
              <w:jc w:val="center"/>
              <w:rPr>
                <w:rFonts w:eastAsia="Times New Roman"/>
              </w:rPr>
            </w:pPr>
          </w:p>
        </w:tc>
        <w:tc>
          <w:tcPr>
            <w:tcW w:w="1800" w:type="dxa"/>
            <w:gridSpan w:val="2"/>
            <w:tcBorders>
              <w:top w:val="nil"/>
              <w:left w:val="nil"/>
              <w:bottom w:val="single" w:sz="4" w:space="0" w:color="auto"/>
              <w:right w:val="nil"/>
            </w:tcBorders>
            <w:vAlign w:val="center"/>
          </w:tcPr>
          <w:p w14:paraId="4672D962" w14:textId="77777777" w:rsidR="00F324E0" w:rsidRPr="00F324E0" w:rsidRDefault="00F324E0" w:rsidP="00F324E0">
            <w:pPr>
              <w:jc w:val="center"/>
              <w:rPr>
                <w:rFonts w:eastAsia="Times New Roman"/>
              </w:rPr>
            </w:pPr>
            <w:r w:rsidRPr="00F324E0">
              <w:rPr>
                <w:rFonts w:eastAsia="Times New Roman"/>
                <w:sz w:val="22"/>
                <w:szCs w:val="22"/>
              </w:rPr>
              <w:t>Self-insurers</w:t>
            </w:r>
          </w:p>
        </w:tc>
        <w:tc>
          <w:tcPr>
            <w:tcW w:w="270" w:type="dxa"/>
            <w:tcBorders>
              <w:top w:val="nil"/>
              <w:left w:val="nil"/>
              <w:right w:val="nil"/>
            </w:tcBorders>
            <w:shd w:val="clear" w:color="auto" w:fill="auto"/>
            <w:vAlign w:val="center"/>
          </w:tcPr>
          <w:p w14:paraId="3F0A70B9" w14:textId="77777777" w:rsidR="00F324E0" w:rsidRPr="00F324E0" w:rsidRDefault="00F324E0" w:rsidP="00F324E0">
            <w:pPr>
              <w:jc w:val="center"/>
              <w:rPr>
                <w:rFonts w:eastAsia="Times New Roman"/>
              </w:rPr>
            </w:pPr>
          </w:p>
        </w:tc>
        <w:tc>
          <w:tcPr>
            <w:tcW w:w="2250" w:type="dxa"/>
            <w:gridSpan w:val="2"/>
            <w:tcBorders>
              <w:top w:val="nil"/>
              <w:left w:val="nil"/>
              <w:bottom w:val="single" w:sz="4" w:space="0" w:color="auto"/>
              <w:right w:val="nil"/>
            </w:tcBorders>
            <w:shd w:val="clear" w:color="auto" w:fill="auto"/>
            <w:vAlign w:val="center"/>
          </w:tcPr>
          <w:p w14:paraId="0E93472C" w14:textId="77777777" w:rsidR="00F324E0" w:rsidRPr="00F324E0" w:rsidRDefault="00F324E0" w:rsidP="00F324E0">
            <w:pPr>
              <w:jc w:val="center"/>
              <w:rPr>
                <w:rFonts w:eastAsia="Times New Roman"/>
              </w:rPr>
            </w:pPr>
            <w:r w:rsidRPr="00F324E0">
              <w:rPr>
                <w:rFonts w:eastAsia="Times New Roman"/>
                <w:bCs/>
                <w:sz w:val="22"/>
                <w:szCs w:val="22"/>
              </w:rPr>
              <w:t>Firms that Do Not Self-insure</w:t>
            </w:r>
          </w:p>
        </w:tc>
        <w:tc>
          <w:tcPr>
            <w:tcW w:w="1260" w:type="dxa"/>
            <w:tcBorders>
              <w:top w:val="nil"/>
              <w:left w:val="nil"/>
              <w:right w:val="nil"/>
            </w:tcBorders>
            <w:shd w:val="clear" w:color="auto" w:fill="auto"/>
            <w:vAlign w:val="center"/>
          </w:tcPr>
          <w:p w14:paraId="431E0DEB" w14:textId="77777777" w:rsidR="00F324E0" w:rsidRPr="00F324E0" w:rsidRDefault="00F324E0" w:rsidP="00F324E0">
            <w:pPr>
              <w:jc w:val="center"/>
              <w:rPr>
                <w:rFonts w:eastAsia="Times New Roman"/>
                <w:iCs/>
              </w:rPr>
            </w:pPr>
          </w:p>
        </w:tc>
        <w:tc>
          <w:tcPr>
            <w:tcW w:w="1073" w:type="dxa"/>
            <w:tcBorders>
              <w:top w:val="nil"/>
              <w:left w:val="nil"/>
              <w:right w:val="nil"/>
            </w:tcBorders>
            <w:shd w:val="clear" w:color="auto" w:fill="auto"/>
            <w:vAlign w:val="center"/>
          </w:tcPr>
          <w:p w14:paraId="7308CD48" w14:textId="77777777" w:rsidR="00F324E0" w:rsidRPr="00F324E0" w:rsidRDefault="00F324E0" w:rsidP="00F324E0">
            <w:pPr>
              <w:jc w:val="center"/>
              <w:rPr>
                <w:rFonts w:eastAsia="Times New Roman"/>
                <w:i/>
                <w:iCs/>
              </w:rPr>
            </w:pPr>
          </w:p>
        </w:tc>
        <w:tc>
          <w:tcPr>
            <w:tcW w:w="271" w:type="dxa"/>
            <w:tcBorders>
              <w:top w:val="nil"/>
              <w:left w:val="nil"/>
              <w:right w:val="nil"/>
            </w:tcBorders>
            <w:shd w:val="clear" w:color="auto" w:fill="auto"/>
            <w:noWrap/>
            <w:vAlign w:val="bottom"/>
          </w:tcPr>
          <w:p w14:paraId="33B825FD" w14:textId="77777777" w:rsidR="00F324E0" w:rsidRPr="00F324E0" w:rsidRDefault="00F324E0" w:rsidP="00F324E0">
            <w:pPr>
              <w:rPr>
                <w:rFonts w:eastAsia="Times New Roman"/>
              </w:rPr>
            </w:pPr>
          </w:p>
        </w:tc>
      </w:tr>
      <w:tr w:rsidR="00F324E0" w:rsidRPr="00F324E0" w14:paraId="13CE583C" w14:textId="77777777" w:rsidTr="00B103CC">
        <w:trPr>
          <w:gridAfter w:val="1"/>
          <w:wAfter w:w="78" w:type="dxa"/>
          <w:trHeight w:val="296"/>
          <w:jc w:val="center"/>
        </w:trPr>
        <w:tc>
          <w:tcPr>
            <w:tcW w:w="2160" w:type="dxa"/>
            <w:tcBorders>
              <w:left w:val="nil"/>
              <w:bottom w:val="single" w:sz="4" w:space="0" w:color="auto"/>
              <w:right w:val="nil"/>
            </w:tcBorders>
            <w:shd w:val="clear" w:color="auto" w:fill="auto"/>
            <w:noWrap/>
            <w:vAlign w:val="center"/>
            <w:hideMark/>
          </w:tcPr>
          <w:p w14:paraId="2D1116D7" w14:textId="77777777" w:rsidR="00F324E0" w:rsidRPr="00F324E0" w:rsidRDefault="00F324E0" w:rsidP="00F324E0">
            <w:pPr>
              <w:jc w:val="center"/>
              <w:rPr>
                <w:rFonts w:eastAsia="Times New Roman"/>
              </w:rPr>
            </w:pPr>
            <w:r w:rsidRPr="00F324E0">
              <w:rPr>
                <w:rFonts w:eastAsia="Times New Roman"/>
                <w:sz w:val="22"/>
                <w:szCs w:val="22"/>
              </w:rPr>
              <w:t>Variable</w:t>
            </w:r>
          </w:p>
        </w:tc>
        <w:tc>
          <w:tcPr>
            <w:tcW w:w="630" w:type="dxa"/>
            <w:tcBorders>
              <w:top w:val="single" w:sz="4" w:space="0" w:color="auto"/>
              <w:left w:val="nil"/>
              <w:bottom w:val="single" w:sz="4" w:space="0" w:color="auto"/>
              <w:right w:val="nil"/>
            </w:tcBorders>
            <w:vAlign w:val="center"/>
          </w:tcPr>
          <w:p w14:paraId="03A606CF" w14:textId="77777777" w:rsidR="00F324E0" w:rsidRPr="00F324E0" w:rsidRDefault="00F324E0" w:rsidP="00F324E0">
            <w:pPr>
              <w:jc w:val="right"/>
              <w:rPr>
                <w:rFonts w:eastAsia="Times New Roman"/>
              </w:rPr>
            </w:pPr>
            <w:r w:rsidRPr="00F324E0">
              <w:rPr>
                <w:rFonts w:eastAsia="Times New Roman"/>
                <w:sz w:val="22"/>
                <w:szCs w:val="22"/>
              </w:rPr>
              <w:t>No.</w:t>
            </w:r>
          </w:p>
        </w:tc>
        <w:tc>
          <w:tcPr>
            <w:tcW w:w="1170" w:type="dxa"/>
            <w:tcBorders>
              <w:top w:val="single" w:sz="4" w:space="0" w:color="auto"/>
              <w:left w:val="nil"/>
              <w:bottom w:val="single" w:sz="4" w:space="0" w:color="auto"/>
              <w:right w:val="nil"/>
            </w:tcBorders>
            <w:shd w:val="clear" w:color="auto" w:fill="auto"/>
            <w:noWrap/>
            <w:vAlign w:val="center"/>
            <w:hideMark/>
          </w:tcPr>
          <w:p w14:paraId="135FD85E" w14:textId="77777777" w:rsidR="00F324E0" w:rsidRPr="00F324E0" w:rsidRDefault="00F324E0" w:rsidP="00F324E0">
            <w:pPr>
              <w:jc w:val="right"/>
              <w:rPr>
                <w:rFonts w:eastAsia="Times New Roman"/>
              </w:rPr>
            </w:pPr>
            <w:r w:rsidRPr="00F324E0">
              <w:rPr>
                <w:rFonts w:eastAsia="Times New Roman"/>
                <w:sz w:val="22"/>
                <w:szCs w:val="22"/>
              </w:rPr>
              <w:t xml:space="preserve">Value </w:t>
            </w:r>
          </w:p>
        </w:tc>
        <w:tc>
          <w:tcPr>
            <w:tcW w:w="270" w:type="dxa"/>
            <w:tcBorders>
              <w:left w:val="nil"/>
              <w:bottom w:val="single" w:sz="4" w:space="0" w:color="auto"/>
              <w:right w:val="nil"/>
            </w:tcBorders>
            <w:shd w:val="clear" w:color="auto" w:fill="auto"/>
            <w:vAlign w:val="center"/>
            <w:hideMark/>
          </w:tcPr>
          <w:p w14:paraId="5EFC4538" w14:textId="77777777" w:rsidR="00F324E0" w:rsidRPr="00F324E0" w:rsidRDefault="00F324E0" w:rsidP="00F324E0">
            <w:pPr>
              <w:jc w:val="right"/>
              <w:rPr>
                <w:rFonts w:eastAsia="Times New Roman"/>
              </w:rPr>
            </w:pPr>
          </w:p>
        </w:tc>
        <w:tc>
          <w:tcPr>
            <w:tcW w:w="810" w:type="dxa"/>
            <w:tcBorders>
              <w:top w:val="single" w:sz="4" w:space="0" w:color="auto"/>
              <w:left w:val="nil"/>
              <w:bottom w:val="single" w:sz="4" w:space="0" w:color="auto"/>
              <w:right w:val="nil"/>
            </w:tcBorders>
            <w:shd w:val="clear" w:color="auto" w:fill="auto"/>
            <w:vAlign w:val="center"/>
            <w:hideMark/>
          </w:tcPr>
          <w:p w14:paraId="0EF86298" w14:textId="77777777" w:rsidR="00F324E0" w:rsidRPr="00F324E0" w:rsidRDefault="00F324E0" w:rsidP="00F324E0">
            <w:pPr>
              <w:jc w:val="right"/>
              <w:rPr>
                <w:rFonts w:eastAsia="Times New Roman"/>
              </w:rPr>
            </w:pPr>
            <w:r w:rsidRPr="00F324E0">
              <w:rPr>
                <w:rFonts w:eastAsia="Times New Roman"/>
                <w:sz w:val="22"/>
                <w:szCs w:val="22"/>
              </w:rPr>
              <w:t xml:space="preserve">No. </w:t>
            </w:r>
          </w:p>
        </w:tc>
        <w:tc>
          <w:tcPr>
            <w:tcW w:w="1440" w:type="dxa"/>
            <w:tcBorders>
              <w:top w:val="single" w:sz="4" w:space="0" w:color="auto"/>
              <w:left w:val="nil"/>
              <w:bottom w:val="single" w:sz="4" w:space="0" w:color="auto"/>
              <w:right w:val="nil"/>
            </w:tcBorders>
            <w:shd w:val="clear" w:color="auto" w:fill="auto"/>
            <w:vAlign w:val="center"/>
            <w:hideMark/>
          </w:tcPr>
          <w:p w14:paraId="69EB0E40" w14:textId="77777777" w:rsidR="00F324E0" w:rsidRPr="00F324E0" w:rsidRDefault="00F324E0" w:rsidP="00F324E0">
            <w:pPr>
              <w:jc w:val="right"/>
              <w:rPr>
                <w:rFonts w:eastAsia="Times New Roman"/>
              </w:rPr>
            </w:pPr>
            <w:r w:rsidRPr="00F324E0">
              <w:rPr>
                <w:rFonts w:eastAsia="Times New Roman"/>
                <w:sz w:val="22"/>
                <w:szCs w:val="22"/>
              </w:rPr>
              <w:t>Value</w:t>
            </w:r>
          </w:p>
        </w:tc>
        <w:tc>
          <w:tcPr>
            <w:tcW w:w="1260" w:type="dxa"/>
            <w:tcBorders>
              <w:left w:val="nil"/>
              <w:bottom w:val="single" w:sz="4" w:space="0" w:color="auto"/>
              <w:right w:val="nil"/>
            </w:tcBorders>
            <w:shd w:val="clear" w:color="auto" w:fill="auto"/>
            <w:vAlign w:val="center"/>
            <w:hideMark/>
          </w:tcPr>
          <w:p w14:paraId="798E8D74" w14:textId="77777777" w:rsidR="00F324E0" w:rsidRPr="00F324E0" w:rsidRDefault="00F324E0" w:rsidP="00F324E0">
            <w:pPr>
              <w:jc w:val="right"/>
              <w:rPr>
                <w:rFonts w:eastAsia="Times New Roman"/>
              </w:rPr>
            </w:pPr>
            <w:r w:rsidRPr="00F324E0">
              <w:rPr>
                <w:rFonts w:eastAsia="Times New Roman"/>
                <w:iCs/>
                <w:sz w:val="22"/>
                <w:szCs w:val="22"/>
              </w:rPr>
              <w:t>Mean Diff</w:t>
            </w:r>
            <w:r w:rsidRPr="00F324E0">
              <w:rPr>
                <w:rFonts w:eastAsia="Times New Roman"/>
                <w:sz w:val="22"/>
                <w:szCs w:val="22"/>
              </w:rPr>
              <w:t xml:space="preserve"> </w:t>
            </w:r>
          </w:p>
        </w:tc>
        <w:tc>
          <w:tcPr>
            <w:tcW w:w="1073" w:type="dxa"/>
            <w:tcBorders>
              <w:left w:val="nil"/>
              <w:bottom w:val="single" w:sz="4" w:space="0" w:color="auto"/>
              <w:right w:val="nil"/>
            </w:tcBorders>
            <w:shd w:val="clear" w:color="auto" w:fill="auto"/>
            <w:vAlign w:val="center"/>
            <w:hideMark/>
          </w:tcPr>
          <w:p w14:paraId="6CD5A408" w14:textId="77777777" w:rsidR="00F324E0" w:rsidRPr="00F324E0" w:rsidRDefault="00F324E0" w:rsidP="00F324E0">
            <w:pPr>
              <w:jc w:val="right"/>
              <w:rPr>
                <w:rFonts w:eastAsia="Times New Roman"/>
              </w:rPr>
            </w:pPr>
            <w:r w:rsidRPr="00F324E0">
              <w:rPr>
                <w:rFonts w:eastAsia="Times New Roman"/>
                <w:i/>
                <w:iCs/>
                <w:sz w:val="22"/>
                <w:szCs w:val="22"/>
              </w:rPr>
              <w:t>p</w:t>
            </w:r>
            <w:r w:rsidRPr="00F324E0">
              <w:rPr>
                <w:rFonts w:eastAsia="Times New Roman"/>
                <w:sz w:val="22"/>
                <w:szCs w:val="22"/>
              </w:rPr>
              <w:t xml:space="preserve">-Value </w:t>
            </w:r>
          </w:p>
        </w:tc>
        <w:tc>
          <w:tcPr>
            <w:tcW w:w="271" w:type="dxa"/>
            <w:tcBorders>
              <w:left w:val="nil"/>
              <w:bottom w:val="single" w:sz="4" w:space="0" w:color="auto"/>
              <w:right w:val="nil"/>
            </w:tcBorders>
            <w:shd w:val="clear" w:color="auto" w:fill="auto"/>
            <w:noWrap/>
            <w:vAlign w:val="bottom"/>
            <w:hideMark/>
          </w:tcPr>
          <w:p w14:paraId="5B02C1B6" w14:textId="77777777" w:rsidR="00F324E0" w:rsidRPr="00F324E0" w:rsidRDefault="00F324E0" w:rsidP="00F324E0">
            <w:pPr>
              <w:rPr>
                <w:rFonts w:eastAsia="Times New Roman"/>
              </w:rPr>
            </w:pPr>
            <w:r w:rsidRPr="00F324E0">
              <w:rPr>
                <w:rFonts w:eastAsia="Times New Roman"/>
                <w:sz w:val="22"/>
                <w:szCs w:val="22"/>
              </w:rPr>
              <w:t> </w:t>
            </w:r>
          </w:p>
        </w:tc>
      </w:tr>
      <w:tr w:rsidR="00F324E0" w:rsidRPr="00F324E0" w14:paraId="1CA1157C"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bottom"/>
            <w:hideMark/>
          </w:tcPr>
          <w:p w14:paraId="6E1BA599" w14:textId="77777777" w:rsidR="00F324E0" w:rsidRPr="00F324E0" w:rsidRDefault="00F324E0" w:rsidP="00F324E0">
            <w:pPr>
              <w:rPr>
                <w:rFonts w:eastAsia="Times New Roman"/>
              </w:rPr>
            </w:pPr>
            <w:r w:rsidRPr="00F324E0">
              <w:rPr>
                <w:rFonts w:eastAsia="Times New Roman"/>
                <w:sz w:val="22"/>
                <w:szCs w:val="22"/>
              </w:rPr>
              <w:t xml:space="preserve">Tobin's Q </w:t>
            </w:r>
          </w:p>
        </w:tc>
        <w:tc>
          <w:tcPr>
            <w:tcW w:w="630" w:type="dxa"/>
            <w:tcBorders>
              <w:top w:val="nil"/>
              <w:left w:val="nil"/>
              <w:bottom w:val="nil"/>
              <w:right w:val="nil"/>
            </w:tcBorders>
            <w:vAlign w:val="center"/>
          </w:tcPr>
          <w:p w14:paraId="35ACDA71"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4344DE44" w14:textId="77777777" w:rsidR="00F324E0" w:rsidRPr="00F324E0" w:rsidRDefault="00F324E0" w:rsidP="00F324E0">
            <w:pPr>
              <w:jc w:val="right"/>
              <w:rPr>
                <w:rFonts w:eastAsia="Times New Roman"/>
              </w:rPr>
            </w:pPr>
            <w:r w:rsidRPr="00F324E0">
              <w:rPr>
                <w:rFonts w:eastAsia="Times New Roman"/>
                <w:sz w:val="22"/>
                <w:szCs w:val="22"/>
              </w:rPr>
              <w:t xml:space="preserve">  1.976</w:t>
            </w:r>
          </w:p>
        </w:tc>
        <w:tc>
          <w:tcPr>
            <w:tcW w:w="270" w:type="dxa"/>
            <w:tcBorders>
              <w:top w:val="nil"/>
              <w:left w:val="nil"/>
              <w:bottom w:val="nil"/>
              <w:right w:val="nil"/>
            </w:tcBorders>
            <w:shd w:val="clear" w:color="auto" w:fill="auto"/>
            <w:noWrap/>
            <w:vAlign w:val="center"/>
          </w:tcPr>
          <w:p w14:paraId="440FBFE7" w14:textId="77777777" w:rsidR="00F324E0" w:rsidRPr="00F324E0" w:rsidRDefault="00F324E0" w:rsidP="00F324E0">
            <w:pPr>
              <w:jc w:val="right"/>
              <w:rPr>
                <w:rFonts w:eastAsia="Times New Roman"/>
              </w:rPr>
            </w:pPr>
          </w:p>
        </w:tc>
        <w:tc>
          <w:tcPr>
            <w:tcW w:w="810" w:type="dxa"/>
            <w:tcBorders>
              <w:top w:val="nil"/>
              <w:left w:val="nil"/>
              <w:bottom w:val="nil"/>
              <w:right w:val="nil"/>
            </w:tcBorders>
            <w:shd w:val="clear" w:color="auto" w:fill="auto"/>
            <w:noWrap/>
            <w:vAlign w:val="center"/>
            <w:hideMark/>
          </w:tcPr>
          <w:p w14:paraId="2B41DBA8" w14:textId="77777777" w:rsidR="00F324E0" w:rsidRPr="00F324E0" w:rsidRDefault="00F324E0" w:rsidP="00F324E0">
            <w:pPr>
              <w:jc w:val="right"/>
              <w:rPr>
                <w:rFonts w:eastAsia="Times New Roman"/>
              </w:rPr>
            </w:pPr>
            <w:r w:rsidRPr="00F324E0">
              <w:rPr>
                <w:rFonts w:eastAsia="Times New Roman"/>
                <w:sz w:val="22"/>
                <w:szCs w:val="22"/>
              </w:rPr>
              <w:t xml:space="preserve">1,726 </w:t>
            </w:r>
          </w:p>
        </w:tc>
        <w:tc>
          <w:tcPr>
            <w:tcW w:w="1440" w:type="dxa"/>
            <w:tcBorders>
              <w:top w:val="nil"/>
              <w:left w:val="nil"/>
              <w:bottom w:val="nil"/>
              <w:right w:val="nil"/>
            </w:tcBorders>
            <w:shd w:val="clear" w:color="auto" w:fill="auto"/>
            <w:noWrap/>
            <w:vAlign w:val="center"/>
            <w:hideMark/>
          </w:tcPr>
          <w:p w14:paraId="18949499" w14:textId="77777777" w:rsidR="00F324E0" w:rsidRPr="00F324E0" w:rsidRDefault="00F324E0" w:rsidP="00F324E0">
            <w:pPr>
              <w:jc w:val="right"/>
              <w:rPr>
                <w:rFonts w:eastAsia="Times New Roman"/>
              </w:rPr>
            </w:pPr>
            <w:r w:rsidRPr="00F324E0">
              <w:rPr>
                <w:rFonts w:eastAsia="Times New Roman"/>
                <w:sz w:val="22"/>
                <w:szCs w:val="22"/>
              </w:rPr>
              <w:t xml:space="preserve"> 2.476</w:t>
            </w:r>
          </w:p>
        </w:tc>
        <w:tc>
          <w:tcPr>
            <w:tcW w:w="1260" w:type="dxa"/>
            <w:tcBorders>
              <w:top w:val="nil"/>
              <w:left w:val="nil"/>
              <w:bottom w:val="nil"/>
              <w:right w:val="nil"/>
            </w:tcBorders>
            <w:shd w:val="clear" w:color="auto" w:fill="auto"/>
            <w:noWrap/>
            <w:vAlign w:val="center"/>
            <w:hideMark/>
          </w:tcPr>
          <w:p w14:paraId="17157FE3" w14:textId="77777777" w:rsidR="00F324E0" w:rsidRPr="00F324E0" w:rsidRDefault="00F324E0" w:rsidP="00F324E0">
            <w:pPr>
              <w:jc w:val="right"/>
              <w:rPr>
                <w:rFonts w:eastAsia="Times New Roman"/>
              </w:rPr>
            </w:pPr>
            <w:r w:rsidRPr="00F324E0">
              <w:rPr>
                <w:rFonts w:eastAsia="Times New Roman"/>
                <w:sz w:val="22"/>
                <w:szCs w:val="22"/>
              </w:rPr>
              <w:t>-0.500</w:t>
            </w:r>
          </w:p>
        </w:tc>
        <w:tc>
          <w:tcPr>
            <w:tcW w:w="1073" w:type="dxa"/>
            <w:tcBorders>
              <w:top w:val="nil"/>
              <w:left w:val="nil"/>
              <w:bottom w:val="nil"/>
              <w:right w:val="nil"/>
            </w:tcBorders>
            <w:shd w:val="clear" w:color="auto" w:fill="auto"/>
            <w:noWrap/>
            <w:vAlign w:val="center"/>
            <w:hideMark/>
          </w:tcPr>
          <w:p w14:paraId="2ED7D3D3"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28E60D83" w14:textId="77777777" w:rsidR="00F324E0" w:rsidRPr="00F324E0" w:rsidRDefault="00F324E0" w:rsidP="00F324E0">
            <w:pPr>
              <w:jc w:val="right"/>
              <w:rPr>
                <w:rFonts w:eastAsia="Times New Roman"/>
              </w:rPr>
            </w:pPr>
          </w:p>
        </w:tc>
      </w:tr>
      <w:tr w:rsidR="00F324E0" w:rsidRPr="00F324E0" w14:paraId="24FF9E6B" w14:textId="77777777" w:rsidTr="00B103CC">
        <w:trPr>
          <w:gridAfter w:val="1"/>
          <w:wAfter w:w="78" w:type="dxa"/>
          <w:trHeight w:val="299"/>
          <w:jc w:val="center"/>
        </w:trPr>
        <w:tc>
          <w:tcPr>
            <w:tcW w:w="2160" w:type="dxa"/>
            <w:tcBorders>
              <w:top w:val="nil"/>
              <w:left w:val="nil"/>
              <w:bottom w:val="nil"/>
              <w:right w:val="nil"/>
            </w:tcBorders>
            <w:shd w:val="clear" w:color="auto" w:fill="auto"/>
            <w:vAlign w:val="center"/>
            <w:hideMark/>
          </w:tcPr>
          <w:p w14:paraId="6AC2070B" w14:textId="77777777" w:rsidR="00F324E0" w:rsidRPr="00F324E0" w:rsidRDefault="00F324E0" w:rsidP="00F324E0">
            <w:pPr>
              <w:rPr>
                <w:rFonts w:eastAsia="Times New Roman"/>
                <w:color w:val="000000"/>
              </w:rPr>
            </w:pPr>
            <w:r w:rsidRPr="00F324E0">
              <w:rPr>
                <w:rFonts w:eastAsia="Times New Roman"/>
                <w:color w:val="000000"/>
                <w:sz w:val="22"/>
                <w:szCs w:val="22"/>
              </w:rPr>
              <w:t xml:space="preserve">Total assets </w:t>
            </w:r>
          </w:p>
        </w:tc>
        <w:tc>
          <w:tcPr>
            <w:tcW w:w="630" w:type="dxa"/>
            <w:tcBorders>
              <w:top w:val="nil"/>
              <w:left w:val="nil"/>
              <w:bottom w:val="nil"/>
              <w:right w:val="nil"/>
            </w:tcBorders>
            <w:vAlign w:val="center"/>
          </w:tcPr>
          <w:p w14:paraId="30951866"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62D5CE01"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27,824 </w:t>
            </w:r>
          </w:p>
        </w:tc>
        <w:tc>
          <w:tcPr>
            <w:tcW w:w="270" w:type="dxa"/>
            <w:tcBorders>
              <w:top w:val="nil"/>
              <w:left w:val="nil"/>
              <w:bottom w:val="nil"/>
              <w:right w:val="nil"/>
            </w:tcBorders>
            <w:shd w:val="clear" w:color="auto" w:fill="auto"/>
            <w:noWrap/>
            <w:vAlign w:val="center"/>
          </w:tcPr>
          <w:p w14:paraId="3F4CEB1C"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04E4567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 </w:t>
            </w: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hideMark/>
          </w:tcPr>
          <w:p w14:paraId="46D68732"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13,833 </w:t>
            </w:r>
          </w:p>
        </w:tc>
        <w:tc>
          <w:tcPr>
            <w:tcW w:w="1260" w:type="dxa"/>
            <w:tcBorders>
              <w:top w:val="nil"/>
              <w:left w:val="nil"/>
              <w:bottom w:val="nil"/>
              <w:right w:val="nil"/>
            </w:tcBorders>
            <w:shd w:val="clear" w:color="auto" w:fill="auto"/>
            <w:noWrap/>
            <w:vAlign w:val="center"/>
            <w:hideMark/>
          </w:tcPr>
          <w:p w14:paraId="2F0D7330"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13,992</w:t>
            </w:r>
          </w:p>
        </w:tc>
        <w:tc>
          <w:tcPr>
            <w:tcW w:w="1073" w:type="dxa"/>
            <w:tcBorders>
              <w:top w:val="nil"/>
              <w:left w:val="nil"/>
              <w:bottom w:val="nil"/>
              <w:right w:val="nil"/>
            </w:tcBorders>
            <w:shd w:val="clear" w:color="auto" w:fill="auto"/>
            <w:noWrap/>
            <w:vAlign w:val="center"/>
            <w:hideMark/>
          </w:tcPr>
          <w:p w14:paraId="3208D31A"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17975E0C" w14:textId="77777777" w:rsidR="00F324E0" w:rsidRPr="00F324E0" w:rsidRDefault="00F324E0" w:rsidP="00F324E0">
            <w:pPr>
              <w:jc w:val="right"/>
              <w:rPr>
                <w:rFonts w:eastAsia="Times New Roman"/>
              </w:rPr>
            </w:pPr>
          </w:p>
        </w:tc>
      </w:tr>
      <w:tr w:rsidR="00F324E0" w:rsidRPr="00F324E0" w14:paraId="12421F98"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7D6D4137" w14:textId="77777777" w:rsidR="00F324E0" w:rsidRPr="00F324E0" w:rsidRDefault="00F324E0" w:rsidP="00F324E0">
            <w:pPr>
              <w:rPr>
                <w:rFonts w:eastAsia="Times New Roman"/>
              </w:rPr>
            </w:pPr>
            <w:r w:rsidRPr="00F324E0">
              <w:rPr>
                <w:rFonts w:eastAsia="Times New Roman"/>
                <w:sz w:val="22"/>
                <w:szCs w:val="22"/>
              </w:rPr>
              <w:t xml:space="preserve">Net income </w:t>
            </w:r>
          </w:p>
        </w:tc>
        <w:tc>
          <w:tcPr>
            <w:tcW w:w="630" w:type="dxa"/>
            <w:tcBorders>
              <w:top w:val="nil"/>
              <w:left w:val="nil"/>
              <w:bottom w:val="nil"/>
              <w:right w:val="nil"/>
            </w:tcBorders>
            <w:vAlign w:val="center"/>
          </w:tcPr>
          <w:p w14:paraId="636BCCB8"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3999A4DB"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 1,727 </w:t>
            </w:r>
          </w:p>
        </w:tc>
        <w:tc>
          <w:tcPr>
            <w:tcW w:w="270" w:type="dxa"/>
            <w:tcBorders>
              <w:top w:val="nil"/>
              <w:left w:val="nil"/>
              <w:bottom w:val="nil"/>
              <w:right w:val="nil"/>
            </w:tcBorders>
            <w:shd w:val="clear" w:color="auto" w:fill="auto"/>
            <w:noWrap/>
            <w:vAlign w:val="center"/>
          </w:tcPr>
          <w:p w14:paraId="5656429E"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4646982A" w14:textId="77777777" w:rsidR="00F324E0" w:rsidRPr="00F324E0" w:rsidRDefault="00F324E0" w:rsidP="00F324E0">
            <w:pPr>
              <w:jc w:val="right"/>
              <w:rPr>
                <w:rFonts w:eastAsia="Times New Roman"/>
                <w:color w:val="000000"/>
              </w:rPr>
            </w:pP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hideMark/>
          </w:tcPr>
          <w:p w14:paraId="1D486B43" w14:textId="77777777" w:rsidR="00F324E0" w:rsidRPr="00F324E0" w:rsidRDefault="00F324E0" w:rsidP="00F324E0">
            <w:pPr>
              <w:jc w:val="right"/>
              <w:rPr>
                <w:rFonts w:eastAsia="Times New Roman"/>
              </w:rPr>
            </w:pPr>
            <w:r w:rsidRPr="00F324E0">
              <w:rPr>
                <w:rFonts w:eastAsia="Times New Roman"/>
                <w:sz w:val="22"/>
                <w:szCs w:val="22"/>
              </w:rPr>
              <w:t xml:space="preserve">  961 </w:t>
            </w:r>
          </w:p>
        </w:tc>
        <w:tc>
          <w:tcPr>
            <w:tcW w:w="1260" w:type="dxa"/>
            <w:tcBorders>
              <w:top w:val="nil"/>
              <w:left w:val="nil"/>
              <w:bottom w:val="nil"/>
              <w:right w:val="nil"/>
            </w:tcBorders>
            <w:shd w:val="clear" w:color="auto" w:fill="auto"/>
            <w:noWrap/>
            <w:vAlign w:val="center"/>
            <w:hideMark/>
          </w:tcPr>
          <w:p w14:paraId="7E47A14F" w14:textId="77777777" w:rsidR="00F324E0" w:rsidRPr="00F324E0" w:rsidRDefault="00F324E0" w:rsidP="00F324E0">
            <w:pPr>
              <w:jc w:val="right"/>
              <w:rPr>
                <w:rFonts w:eastAsia="Times New Roman"/>
              </w:rPr>
            </w:pPr>
            <w:r w:rsidRPr="00F324E0">
              <w:rPr>
                <w:rFonts w:eastAsia="Times New Roman"/>
                <w:sz w:val="22"/>
                <w:szCs w:val="22"/>
              </w:rPr>
              <w:t>765</w:t>
            </w:r>
          </w:p>
        </w:tc>
        <w:tc>
          <w:tcPr>
            <w:tcW w:w="1073" w:type="dxa"/>
            <w:tcBorders>
              <w:top w:val="nil"/>
              <w:left w:val="nil"/>
              <w:bottom w:val="nil"/>
              <w:right w:val="nil"/>
            </w:tcBorders>
            <w:shd w:val="clear" w:color="auto" w:fill="auto"/>
            <w:noWrap/>
            <w:vAlign w:val="center"/>
            <w:hideMark/>
          </w:tcPr>
          <w:p w14:paraId="1D0447D7"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4844CB90" w14:textId="77777777" w:rsidR="00F324E0" w:rsidRPr="00F324E0" w:rsidRDefault="00F324E0" w:rsidP="00F324E0">
            <w:pPr>
              <w:jc w:val="right"/>
              <w:rPr>
                <w:rFonts w:eastAsia="Times New Roman"/>
              </w:rPr>
            </w:pPr>
          </w:p>
        </w:tc>
      </w:tr>
      <w:tr w:rsidR="00F324E0" w:rsidRPr="00F324E0" w14:paraId="762022FF"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0DC2BA40" w14:textId="77777777" w:rsidR="00F324E0" w:rsidRPr="00F324E0" w:rsidRDefault="00F324E0" w:rsidP="00F324E0">
            <w:pPr>
              <w:rPr>
                <w:rFonts w:eastAsia="Times New Roman"/>
                <w:color w:val="000000"/>
              </w:rPr>
            </w:pPr>
            <w:r w:rsidRPr="00F324E0">
              <w:rPr>
                <w:rFonts w:eastAsia="Times New Roman"/>
                <w:color w:val="000000"/>
                <w:sz w:val="22"/>
                <w:szCs w:val="22"/>
              </w:rPr>
              <w:t xml:space="preserve">Sales </w:t>
            </w:r>
          </w:p>
        </w:tc>
        <w:tc>
          <w:tcPr>
            <w:tcW w:w="630" w:type="dxa"/>
            <w:tcBorders>
              <w:top w:val="nil"/>
              <w:left w:val="nil"/>
              <w:bottom w:val="nil"/>
              <w:right w:val="nil"/>
            </w:tcBorders>
            <w:vAlign w:val="center"/>
          </w:tcPr>
          <w:p w14:paraId="026FED4A"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1AEEE0AA"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25,345 </w:t>
            </w:r>
          </w:p>
        </w:tc>
        <w:tc>
          <w:tcPr>
            <w:tcW w:w="270" w:type="dxa"/>
            <w:tcBorders>
              <w:top w:val="nil"/>
              <w:left w:val="nil"/>
              <w:bottom w:val="nil"/>
              <w:right w:val="nil"/>
            </w:tcBorders>
            <w:shd w:val="clear" w:color="auto" w:fill="auto"/>
            <w:noWrap/>
            <w:vAlign w:val="center"/>
          </w:tcPr>
          <w:p w14:paraId="592D96C0"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44FD2F0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 </w:t>
            </w: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hideMark/>
          </w:tcPr>
          <w:p w14:paraId="4002BD65"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10,767 </w:t>
            </w:r>
          </w:p>
        </w:tc>
        <w:tc>
          <w:tcPr>
            <w:tcW w:w="1260" w:type="dxa"/>
            <w:tcBorders>
              <w:top w:val="nil"/>
              <w:left w:val="nil"/>
              <w:bottom w:val="nil"/>
              <w:right w:val="nil"/>
            </w:tcBorders>
            <w:shd w:val="clear" w:color="auto" w:fill="auto"/>
            <w:noWrap/>
            <w:vAlign w:val="center"/>
            <w:hideMark/>
          </w:tcPr>
          <w:p w14:paraId="4428A3F5"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14,579</w:t>
            </w:r>
          </w:p>
        </w:tc>
        <w:tc>
          <w:tcPr>
            <w:tcW w:w="1073" w:type="dxa"/>
            <w:tcBorders>
              <w:top w:val="nil"/>
              <w:left w:val="nil"/>
              <w:bottom w:val="nil"/>
              <w:right w:val="nil"/>
            </w:tcBorders>
            <w:shd w:val="clear" w:color="auto" w:fill="auto"/>
            <w:noWrap/>
            <w:vAlign w:val="center"/>
            <w:hideMark/>
          </w:tcPr>
          <w:p w14:paraId="6626C6CB"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78A53CF3" w14:textId="77777777" w:rsidR="00F324E0" w:rsidRPr="00F324E0" w:rsidRDefault="00F324E0" w:rsidP="00F324E0">
            <w:pPr>
              <w:jc w:val="right"/>
              <w:rPr>
                <w:rFonts w:eastAsia="Times New Roman"/>
              </w:rPr>
            </w:pPr>
          </w:p>
        </w:tc>
      </w:tr>
      <w:tr w:rsidR="00F324E0" w:rsidRPr="00F324E0" w14:paraId="17683CEB"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49EB800E" w14:textId="77777777" w:rsidR="00F324E0" w:rsidRPr="00F324E0" w:rsidRDefault="00F324E0" w:rsidP="00F324E0">
            <w:pPr>
              <w:rPr>
                <w:rFonts w:eastAsia="Times New Roman"/>
              </w:rPr>
            </w:pPr>
            <w:r w:rsidRPr="00F324E0">
              <w:rPr>
                <w:rFonts w:eastAsia="Times New Roman"/>
                <w:sz w:val="22"/>
                <w:szCs w:val="22"/>
              </w:rPr>
              <w:t>Size</w:t>
            </w:r>
          </w:p>
        </w:tc>
        <w:tc>
          <w:tcPr>
            <w:tcW w:w="630" w:type="dxa"/>
            <w:tcBorders>
              <w:top w:val="nil"/>
              <w:left w:val="nil"/>
              <w:bottom w:val="nil"/>
              <w:right w:val="nil"/>
            </w:tcBorders>
            <w:vAlign w:val="center"/>
          </w:tcPr>
          <w:p w14:paraId="6A9C76D2" w14:textId="77777777" w:rsidR="00F324E0" w:rsidRPr="00F324E0" w:rsidRDefault="00F324E0" w:rsidP="00F324E0">
            <w:pPr>
              <w:jc w:val="right"/>
              <w:rPr>
                <w:rFonts w:eastAsia="Times New Roman"/>
              </w:rPr>
            </w:pPr>
            <w:r w:rsidRPr="00F324E0">
              <w:rPr>
                <w:rFonts w:eastAsia="Times New Roman"/>
                <w:sz w:val="22"/>
                <w:szCs w:val="22"/>
              </w:rPr>
              <w:t>574</w:t>
            </w:r>
          </w:p>
        </w:tc>
        <w:tc>
          <w:tcPr>
            <w:tcW w:w="1170" w:type="dxa"/>
            <w:tcBorders>
              <w:top w:val="nil"/>
              <w:left w:val="nil"/>
              <w:bottom w:val="nil"/>
              <w:right w:val="nil"/>
            </w:tcBorders>
            <w:shd w:val="clear" w:color="auto" w:fill="auto"/>
            <w:noWrap/>
            <w:vAlign w:val="center"/>
          </w:tcPr>
          <w:p w14:paraId="0F87390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9.283</w:t>
            </w:r>
          </w:p>
        </w:tc>
        <w:tc>
          <w:tcPr>
            <w:tcW w:w="270" w:type="dxa"/>
            <w:tcBorders>
              <w:top w:val="nil"/>
              <w:left w:val="nil"/>
              <w:bottom w:val="nil"/>
              <w:right w:val="nil"/>
            </w:tcBorders>
            <w:shd w:val="clear" w:color="auto" w:fill="auto"/>
            <w:noWrap/>
            <w:vAlign w:val="center"/>
          </w:tcPr>
          <w:p w14:paraId="51A44445"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25DBECC6" w14:textId="77777777" w:rsidR="00F324E0" w:rsidRPr="00F324E0" w:rsidRDefault="00F324E0" w:rsidP="00F324E0">
            <w:pPr>
              <w:jc w:val="right"/>
              <w:rPr>
                <w:rFonts w:eastAsia="Times New Roman"/>
              </w:rPr>
            </w:pP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hideMark/>
          </w:tcPr>
          <w:p w14:paraId="01173C61" w14:textId="77777777" w:rsidR="00F324E0" w:rsidRPr="00F324E0" w:rsidRDefault="00F324E0" w:rsidP="00F324E0">
            <w:pPr>
              <w:jc w:val="right"/>
              <w:rPr>
                <w:rFonts w:eastAsia="Times New Roman"/>
              </w:rPr>
            </w:pPr>
            <w:r w:rsidRPr="00F324E0">
              <w:rPr>
                <w:rFonts w:eastAsia="Times New Roman"/>
                <w:sz w:val="22"/>
                <w:szCs w:val="22"/>
              </w:rPr>
              <w:t>7.859</w:t>
            </w:r>
          </w:p>
        </w:tc>
        <w:tc>
          <w:tcPr>
            <w:tcW w:w="1260" w:type="dxa"/>
            <w:tcBorders>
              <w:top w:val="nil"/>
              <w:left w:val="nil"/>
              <w:bottom w:val="nil"/>
              <w:right w:val="nil"/>
            </w:tcBorders>
            <w:shd w:val="clear" w:color="auto" w:fill="auto"/>
            <w:noWrap/>
            <w:vAlign w:val="center"/>
            <w:hideMark/>
          </w:tcPr>
          <w:p w14:paraId="7373FD8C" w14:textId="77777777" w:rsidR="00F324E0" w:rsidRPr="00F324E0" w:rsidRDefault="00F324E0" w:rsidP="00F324E0">
            <w:pPr>
              <w:jc w:val="right"/>
              <w:rPr>
                <w:rFonts w:eastAsia="Times New Roman"/>
              </w:rPr>
            </w:pPr>
            <w:r w:rsidRPr="00F324E0">
              <w:rPr>
                <w:rFonts w:eastAsia="Times New Roman"/>
                <w:sz w:val="22"/>
                <w:szCs w:val="22"/>
              </w:rPr>
              <w:t>1.425</w:t>
            </w:r>
          </w:p>
        </w:tc>
        <w:tc>
          <w:tcPr>
            <w:tcW w:w="1073" w:type="dxa"/>
            <w:tcBorders>
              <w:top w:val="nil"/>
              <w:left w:val="nil"/>
              <w:bottom w:val="nil"/>
              <w:right w:val="nil"/>
            </w:tcBorders>
            <w:shd w:val="clear" w:color="auto" w:fill="auto"/>
            <w:noWrap/>
            <w:vAlign w:val="center"/>
            <w:hideMark/>
          </w:tcPr>
          <w:p w14:paraId="43D2D96C"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0AEBE977" w14:textId="77777777" w:rsidR="00F324E0" w:rsidRPr="00F324E0" w:rsidRDefault="00F324E0" w:rsidP="00F324E0">
            <w:pPr>
              <w:jc w:val="right"/>
              <w:rPr>
                <w:rFonts w:eastAsia="Times New Roman"/>
              </w:rPr>
            </w:pPr>
          </w:p>
        </w:tc>
      </w:tr>
      <w:tr w:rsidR="00F324E0" w:rsidRPr="00F324E0" w14:paraId="10AA1AB6"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14F5D02D" w14:textId="77777777" w:rsidR="00F324E0" w:rsidRPr="00F324E0" w:rsidRDefault="00F324E0" w:rsidP="00F324E0">
            <w:pPr>
              <w:rPr>
                <w:rFonts w:eastAsia="Times New Roman"/>
              </w:rPr>
            </w:pPr>
            <w:r w:rsidRPr="00F324E0">
              <w:rPr>
                <w:rFonts w:eastAsia="Times New Roman"/>
                <w:sz w:val="22"/>
                <w:szCs w:val="22"/>
              </w:rPr>
              <w:t xml:space="preserve">ROA </w:t>
            </w:r>
          </w:p>
        </w:tc>
        <w:tc>
          <w:tcPr>
            <w:tcW w:w="630" w:type="dxa"/>
            <w:tcBorders>
              <w:top w:val="nil"/>
              <w:left w:val="nil"/>
              <w:bottom w:val="nil"/>
              <w:right w:val="nil"/>
            </w:tcBorders>
            <w:vAlign w:val="center"/>
          </w:tcPr>
          <w:p w14:paraId="354008CB"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749E214B"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0.070 </w:t>
            </w:r>
          </w:p>
        </w:tc>
        <w:tc>
          <w:tcPr>
            <w:tcW w:w="270" w:type="dxa"/>
            <w:tcBorders>
              <w:top w:val="nil"/>
              <w:left w:val="nil"/>
              <w:bottom w:val="nil"/>
              <w:right w:val="nil"/>
            </w:tcBorders>
            <w:shd w:val="clear" w:color="auto" w:fill="auto"/>
            <w:noWrap/>
            <w:vAlign w:val="center"/>
          </w:tcPr>
          <w:p w14:paraId="71703A5F"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797C3FBA" w14:textId="77777777" w:rsidR="00F324E0" w:rsidRPr="00F324E0" w:rsidRDefault="00F324E0" w:rsidP="00F324E0">
            <w:pPr>
              <w:jc w:val="right"/>
              <w:rPr>
                <w:rFonts w:eastAsia="Times New Roman"/>
                <w:color w:val="000000"/>
              </w:rPr>
            </w:pP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hideMark/>
          </w:tcPr>
          <w:p w14:paraId="2EA5AE18" w14:textId="77777777" w:rsidR="00F324E0" w:rsidRPr="00F324E0" w:rsidRDefault="00F324E0" w:rsidP="00F324E0">
            <w:pPr>
              <w:jc w:val="right"/>
              <w:rPr>
                <w:rFonts w:eastAsia="Times New Roman"/>
              </w:rPr>
            </w:pPr>
            <w:r w:rsidRPr="00F324E0">
              <w:rPr>
                <w:rFonts w:eastAsia="Times New Roman"/>
                <w:sz w:val="22"/>
                <w:szCs w:val="22"/>
              </w:rPr>
              <w:t xml:space="preserve">    0.067 </w:t>
            </w:r>
          </w:p>
        </w:tc>
        <w:tc>
          <w:tcPr>
            <w:tcW w:w="1260" w:type="dxa"/>
            <w:tcBorders>
              <w:top w:val="nil"/>
              <w:left w:val="nil"/>
              <w:bottom w:val="nil"/>
              <w:right w:val="nil"/>
            </w:tcBorders>
            <w:shd w:val="clear" w:color="auto" w:fill="auto"/>
            <w:noWrap/>
            <w:vAlign w:val="center"/>
            <w:hideMark/>
          </w:tcPr>
          <w:p w14:paraId="25149B5F" w14:textId="77777777" w:rsidR="00F324E0" w:rsidRPr="00F324E0" w:rsidRDefault="00F324E0" w:rsidP="00F324E0">
            <w:pPr>
              <w:jc w:val="right"/>
              <w:rPr>
                <w:rFonts w:eastAsia="Times New Roman"/>
              </w:rPr>
            </w:pPr>
            <w:r w:rsidRPr="00F324E0">
              <w:rPr>
                <w:rFonts w:eastAsia="Times New Roman"/>
                <w:sz w:val="22"/>
                <w:szCs w:val="22"/>
              </w:rPr>
              <w:t>0.003</w:t>
            </w:r>
          </w:p>
        </w:tc>
        <w:tc>
          <w:tcPr>
            <w:tcW w:w="1073" w:type="dxa"/>
            <w:tcBorders>
              <w:top w:val="nil"/>
              <w:left w:val="nil"/>
              <w:bottom w:val="nil"/>
              <w:right w:val="nil"/>
            </w:tcBorders>
            <w:shd w:val="clear" w:color="auto" w:fill="auto"/>
            <w:noWrap/>
            <w:vAlign w:val="center"/>
            <w:hideMark/>
          </w:tcPr>
          <w:p w14:paraId="22995E62" w14:textId="77777777" w:rsidR="00F324E0" w:rsidRPr="00F324E0" w:rsidRDefault="00F324E0" w:rsidP="00F324E0">
            <w:pPr>
              <w:jc w:val="right"/>
              <w:rPr>
                <w:rFonts w:eastAsia="Times New Roman"/>
              </w:rPr>
            </w:pPr>
            <w:r w:rsidRPr="00F324E0">
              <w:rPr>
                <w:rFonts w:eastAsia="Times New Roman"/>
                <w:sz w:val="22"/>
                <w:szCs w:val="22"/>
              </w:rPr>
              <w:t>0.48</w:t>
            </w:r>
          </w:p>
        </w:tc>
        <w:tc>
          <w:tcPr>
            <w:tcW w:w="271" w:type="dxa"/>
            <w:tcBorders>
              <w:top w:val="nil"/>
              <w:left w:val="nil"/>
              <w:bottom w:val="nil"/>
              <w:right w:val="nil"/>
            </w:tcBorders>
            <w:shd w:val="clear" w:color="auto" w:fill="auto"/>
            <w:noWrap/>
            <w:vAlign w:val="bottom"/>
            <w:hideMark/>
          </w:tcPr>
          <w:p w14:paraId="70C6AB64" w14:textId="77777777" w:rsidR="00F324E0" w:rsidRPr="00F324E0" w:rsidRDefault="00F324E0" w:rsidP="00F324E0">
            <w:pPr>
              <w:jc w:val="right"/>
              <w:rPr>
                <w:rFonts w:eastAsia="Times New Roman"/>
              </w:rPr>
            </w:pPr>
          </w:p>
        </w:tc>
      </w:tr>
      <w:tr w:rsidR="00F324E0" w:rsidRPr="00F324E0" w14:paraId="4F969D6D"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68CF6380" w14:textId="77777777" w:rsidR="00F324E0" w:rsidRPr="00F324E0" w:rsidRDefault="00F324E0" w:rsidP="00F324E0">
            <w:pPr>
              <w:rPr>
                <w:rFonts w:eastAsia="Times New Roman"/>
              </w:rPr>
            </w:pPr>
            <w:r w:rsidRPr="00F324E0">
              <w:rPr>
                <w:rFonts w:eastAsia="Times New Roman"/>
                <w:sz w:val="22"/>
                <w:szCs w:val="22"/>
              </w:rPr>
              <w:t xml:space="preserve">Leverage </w:t>
            </w:r>
          </w:p>
        </w:tc>
        <w:tc>
          <w:tcPr>
            <w:tcW w:w="630" w:type="dxa"/>
            <w:tcBorders>
              <w:top w:val="nil"/>
              <w:left w:val="nil"/>
              <w:bottom w:val="nil"/>
              <w:right w:val="nil"/>
            </w:tcBorders>
            <w:vAlign w:val="center"/>
          </w:tcPr>
          <w:p w14:paraId="772905DB" w14:textId="77777777" w:rsidR="00F324E0" w:rsidRPr="00F324E0" w:rsidRDefault="00F324E0" w:rsidP="00F324E0">
            <w:pPr>
              <w:jc w:val="right"/>
              <w:rPr>
                <w:rFonts w:eastAsia="Times New Roman"/>
              </w:rPr>
            </w:pPr>
            <w:r w:rsidRPr="00F324E0">
              <w:rPr>
                <w:sz w:val="22"/>
                <w:szCs w:val="22"/>
              </w:rPr>
              <w:t xml:space="preserve"> 574</w:t>
            </w:r>
          </w:p>
        </w:tc>
        <w:tc>
          <w:tcPr>
            <w:tcW w:w="1170" w:type="dxa"/>
            <w:tcBorders>
              <w:top w:val="nil"/>
              <w:left w:val="nil"/>
              <w:bottom w:val="nil"/>
              <w:right w:val="nil"/>
            </w:tcBorders>
            <w:shd w:val="clear" w:color="auto" w:fill="auto"/>
            <w:noWrap/>
            <w:vAlign w:val="center"/>
          </w:tcPr>
          <w:p w14:paraId="7BD29306"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 0.248 </w:t>
            </w:r>
          </w:p>
        </w:tc>
        <w:tc>
          <w:tcPr>
            <w:tcW w:w="270" w:type="dxa"/>
            <w:tcBorders>
              <w:top w:val="nil"/>
              <w:left w:val="nil"/>
              <w:bottom w:val="nil"/>
              <w:right w:val="nil"/>
            </w:tcBorders>
            <w:shd w:val="clear" w:color="auto" w:fill="auto"/>
            <w:noWrap/>
            <w:vAlign w:val="center"/>
          </w:tcPr>
          <w:p w14:paraId="585F3FBE"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591D51E2"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1,725 </w:t>
            </w:r>
          </w:p>
        </w:tc>
        <w:tc>
          <w:tcPr>
            <w:tcW w:w="1440" w:type="dxa"/>
            <w:tcBorders>
              <w:top w:val="nil"/>
              <w:left w:val="nil"/>
              <w:bottom w:val="nil"/>
              <w:right w:val="nil"/>
            </w:tcBorders>
            <w:shd w:val="clear" w:color="auto" w:fill="auto"/>
            <w:noWrap/>
            <w:vAlign w:val="center"/>
            <w:hideMark/>
          </w:tcPr>
          <w:p w14:paraId="54DB4097"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  0.284 </w:t>
            </w:r>
          </w:p>
        </w:tc>
        <w:tc>
          <w:tcPr>
            <w:tcW w:w="1260" w:type="dxa"/>
            <w:tcBorders>
              <w:top w:val="nil"/>
              <w:left w:val="nil"/>
              <w:bottom w:val="nil"/>
              <w:right w:val="nil"/>
            </w:tcBorders>
            <w:shd w:val="clear" w:color="auto" w:fill="auto"/>
            <w:noWrap/>
            <w:vAlign w:val="center"/>
            <w:hideMark/>
          </w:tcPr>
          <w:p w14:paraId="7A49B380"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-0.035</w:t>
            </w:r>
          </w:p>
        </w:tc>
        <w:tc>
          <w:tcPr>
            <w:tcW w:w="1073" w:type="dxa"/>
            <w:tcBorders>
              <w:top w:val="nil"/>
              <w:left w:val="nil"/>
              <w:bottom w:val="nil"/>
              <w:right w:val="nil"/>
            </w:tcBorders>
            <w:shd w:val="clear" w:color="auto" w:fill="auto"/>
            <w:noWrap/>
            <w:vAlign w:val="center"/>
            <w:hideMark/>
          </w:tcPr>
          <w:p w14:paraId="78781CC0"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0.28</w:t>
            </w:r>
          </w:p>
        </w:tc>
        <w:tc>
          <w:tcPr>
            <w:tcW w:w="271" w:type="dxa"/>
            <w:tcBorders>
              <w:top w:val="nil"/>
              <w:left w:val="nil"/>
              <w:bottom w:val="nil"/>
              <w:right w:val="nil"/>
            </w:tcBorders>
            <w:shd w:val="clear" w:color="auto" w:fill="auto"/>
            <w:noWrap/>
            <w:vAlign w:val="bottom"/>
            <w:hideMark/>
          </w:tcPr>
          <w:p w14:paraId="32F3D747" w14:textId="77777777" w:rsidR="00F324E0" w:rsidRPr="00F324E0" w:rsidRDefault="00F324E0" w:rsidP="00F324E0">
            <w:pPr>
              <w:jc w:val="right"/>
              <w:rPr>
                <w:rFonts w:eastAsia="Times New Roman"/>
                <w:color w:val="000000"/>
              </w:rPr>
            </w:pPr>
          </w:p>
        </w:tc>
      </w:tr>
      <w:tr w:rsidR="00F324E0" w:rsidRPr="00F324E0" w14:paraId="191E6E32"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6022483F" w14:textId="77777777" w:rsidR="00F324E0" w:rsidRPr="00F324E0" w:rsidRDefault="00F324E0" w:rsidP="00F324E0">
            <w:pPr>
              <w:rPr>
                <w:rFonts w:eastAsia="Times New Roman"/>
              </w:rPr>
            </w:pPr>
            <w:r w:rsidRPr="00F324E0">
              <w:rPr>
                <w:rFonts w:eastAsia="Times New Roman"/>
                <w:sz w:val="22"/>
                <w:szCs w:val="22"/>
              </w:rPr>
              <w:t xml:space="preserve">Inv_growth </w:t>
            </w:r>
          </w:p>
        </w:tc>
        <w:tc>
          <w:tcPr>
            <w:tcW w:w="630" w:type="dxa"/>
            <w:tcBorders>
              <w:top w:val="nil"/>
              <w:left w:val="nil"/>
              <w:bottom w:val="nil"/>
              <w:right w:val="nil"/>
            </w:tcBorders>
            <w:vAlign w:val="center"/>
          </w:tcPr>
          <w:p w14:paraId="1E3A7713" w14:textId="77777777" w:rsidR="00F324E0" w:rsidRPr="00F324E0" w:rsidRDefault="00F324E0" w:rsidP="00F324E0">
            <w:pPr>
              <w:jc w:val="right"/>
              <w:rPr>
                <w:rFonts w:eastAsia="Times New Roman"/>
              </w:rPr>
            </w:pPr>
            <w:r w:rsidRPr="00F324E0">
              <w:rPr>
                <w:sz w:val="22"/>
                <w:szCs w:val="22"/>
              </w:rPr>
              <w:t xml:space="preserve"> 574</w:t>
            </w:r>
          </w:p>
        </w:tc>
        <w:tc>
          <w:tcPr>
            <w:tcW w:w="1170" w:type="dxa"/>
            <w:tcBorders>
              <w:top w:val="nil"/>
              <w:left w:val="nil"/>
              <w:bottom w:val="nil"/>
              <w:right w:val="nil"/>
            </w:tcBorders>
            <w:shd w:val="clear" w:color="auto" w:fill="auto"/>
            <w:noWrap/>
            <w:vAlign w:val="center"/>
          </w:tcPr>
          <w:p w14:paraId="43F6D3BE"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0.063 </w:t>
            </w:r>
          </w:p>
        </w:tc>
        <w:tc>
          <w:tcPr>
            <w:tcW w:w="270" w:type="dxa"/>
            <w:tcBorders>
              <w:top w:val="nil"/>
              <w:left w:val="nil"/>
              <w:bottom w:val="nil"/>
              <w:right w:val="nil"/>
            </w:tcBorders>
            <w:shd w:val="clear" w:color="auto" w:fill="auto"/>
            <w:noWrap/>
            <w:vAlign w:val="center"/>
          </w:tcPr>
          <w:p w14:paraId="6F25F092"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1D8AF4FF"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1,715 </w:t>
            </w:r>
          </w:p>
        </w:tc>
        <w:tc>
          <w:tcPr>
            <w:tcW w:w="1440" w:type="dxa"/>
            <w:tcBorders>
              <w:top w:val="nil"/>
              <w:left w:val="nil"/>
              <w:bottom w:val="nil"/>
              <w:right w:val="nil"/>
            </w:tcBorders>
            <w:shd w:val="clear" w:color="auto" w:fill="auto"/>
            <w:noWrap/>
            <w:vAlign w:val="center"/>
            <w:hideMark/>
          </w:tcPr>
          <w:p w14:paraId="76E59A19" w14:textId="77777777" w:rsidR="00F324E0" w:rsidRPr="00F324E0" w:rsidRDefault="00F324E0" w:rsidP="00F324E0">
            <w:pPr>
              <w:jc w:val="right"/>
              <w:rPr>
                <w:rFonts w:eastAsia="Times New Roman"/>
              </w:rPr>
            </w:pPr>
            <w:r w:rsidRPr="00F324E0">
              <w:rPr>
                <w:rFonts w:eastAsia="Times New Roman"/>
                <w:sz w:val="22"/>
                <w:szCs w:val="22"/>
              </w:rPr>
              <w:t xml:space="preserve">0.056 </w:t>
            </w:r>
          </w:p>
        </w:tc>
        <w:tc>
          <w:tcPr>
            <w:tcW w:w="1260" w:type="dxa"/>
            <w:tcBorders>
              <w:top w:val="nil"/>
              <w:left w:val="nil"/>
              <w:bottom w:val="nil"/>
              <w:right w:val="nil"/>
            </w:tcBorders>
            <w:shd w:val="clear" w:color="auto" w:fill="auto"/>
            <w:noWrap/>
            <w:vAlign w:val="center"/>
            <w:hideMark/>
          </w:tcPr>
          <w:p w14:paraId="6155AB83" w14:textId="77777777" w:rsidR="00F324E0" w:rsidRPr="00F324E0" w:rsidRDefault="00F324E0" w:rsidP="00F324E0">
            <w:pPr>
              <w:jc w:val="right"/>
              <w:rPr>
                <w:rFonts w:eastAsia="Times New Roman"/>
              </w:rPr>
            </w:pPr>
            <w:r w:rsidRPr="00F324E0">
              <w:rPr>
                <w:rFonts w:eastAsia="Times New Roman"/>
                <w:sz w:val="22"/>
                <w:szCs w:val="22"/>
              </w:rPr>
              <w:t>0.007</w:t>
            </w:r>
          </w:p>
        </w:tc>
        <w:tc>
          <w:tcPr>
            <w:tcW w:w="1073" w:type="dxa"/>
            <w:tcBorders>
              <w:top w:val="nil"/>
              <w:left w:val="nil"/>
              <w:bottom w:val="nil"/>
              <w:right w:val="nil"/>
            </w:tcBorders>
            <w:shd w:val="clear" w:color="auto" w:fill="auto"/>
            <w:noWrap/>
            <w:vAlign w:val="center"/>
            <w:hideMark/>
          </w:tcPr>
          <w:p w14:paraId="2EA1B94D"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0D4E8A5B" w14:textId="77777777" w:rsidR="00F324E0" w:rsidRPr="00F324E0" w:rsidRDefault="00F324E0" w:rsidP="00F324E0">
            <w:pPr>
              <w:jc w:val="right"/>
              <w:rPr>
                <w:rFonts w:eastAsia="Times New Roman"/>
              </w:rPr>
            </w:pPr>
          </w:p>
        </w:tc>
      </w:tr>
      <w:tr w:rsidR="00F324E0" w:rsidRPr="00F324E0" w14:paraId="7536CB2D"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hideMark/>
          </w:tcPr>
          <w:p w14:paraId="3F76434A" w14:textId="77777777" w:rsidR="00F324E0" w:rsidRPr="00F324E0" w:rsidRDefault="00F324E0" w:rsidP="00F324E0">
            <w:pPr>
              <w:rPr>
                <w:rFonts w:eastAsia="Times New Roman"/>
              </w:rPr>
            </w:pPr>
            <w:r w:rsidRPr="00F324E0">
              <w:rPr>
                <w:rFonts w:eastAsia="Times New Roman"/>
                <w:sz w:val="22"/>
                <w:szCs w:val="22"/>
              </w:rPr>
              <w:t xml:space="preserve">Dividend dummy </w:t>
            </w:r>
          </w:p>
        </w:tc>
        <w:tc>
          <w:tcPr>
            <w:tcW w:w="630" w:type="dxa"/>
            <w:tcBorders>
              <w:top w:val="nil"/>
              <w:left w:val="nil"/>
              <w:bottom w:val="nil"/>
              <w:right w:val="nil"/>
            </w:tcBorders>
            <w:vAlign w:val="center"/>
          </w:tcPr>
          <w:p w14:paraId="37004088" w14:textId="77777777" w:rsidR="00F324E0" w:rsidRPr="00F324E0" w:rsidRDefault="00F324E0" w:rsidP="00F324E0">
            <w:pPr>
              <w:jc w:val="right"/>
              <w:rPr>
                <w:rFonts w:eastAsia="Times New Roman"/>
              </w:rPr>
            </w:pPr>
            <w:r w:rsidRPr="00F324E0">
              <w:rPr>
                <w:rFonts w:eastAsia="Times New Roman"/>
                <w:sz w:val="22"/>
                <w:szCs w:val="22"/>
              </w:rPr>
              <w:t xml:space="preserve"> 571</w:t>
            </w:r>
          </w:p>
        </w:tc>
        <w:tc>
          <w:tcPr>
            <w:tcW w:w="1170" w:type="dxa"/>
            <w:tcBorders>
              <w:top w:val="nil"/>
              <w:left w:val="nil"/>
              <w:bottom w:val="nil"/>
              <w:right w:val="nil"/>
            </w:tcBorders>
            <w:shd w:val="clear" w:color="auto" w:fill="auto"/>
            <w:noWrap/>
            <w:vAlign w:val="center"/>
          </w:tcPr>
          <w:p w14:paraId="1FB8624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0.852   </w:t>
            </w:r>
          </w:p>
        </w:tc>
        <w:tc>
          <w:tcPr>
            <w:tcW w:w="270" w:type="dxa"/>
            <w:tcBorders>
              <w:top w:val="nil"/>
              <w:left w:val="nil"/>
              <w:bottom w:val="nil"/>
              <w:right w:val="nil"/>
            </w:tcBorders>
            <w:shd w:val="clear" w:color="auto" w:fill="auto"/>
            <w:noWrap/>
            <w:vAlign w:val="center"/>
          </w:tcPr>
          <w:p w14:paraId="7F9FBC9F"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hideMark/>
          </w:tcPr>
          <w:p w14:paraId="2E1416C0"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1,716 </w:t>
            </w:r>
          </w:p>
        </w:tc>
        <w:tc>
          <w:tcPr>
            <w:tcW w:w="1440" w:type="dxa"/>
            <w:tcBorders>
              <w:top w:val="nil"/>
              <w:left w:val="nil"/>
              <w:bottom w:val="nil"/>
              <w:right w:val="nil"/>
            </w:tcBorders>
            <w:shd w:val="clear" w:color="auto" w:fill="auto"/>
            <w:noWrap/>
            <w:vAlign w:val="center"/>
            <w:hideMark/>
          </w:tcPr>
          <w:p w14:paraId="53B9884F"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 xml:space="preserve">0.630           </w:t>
            </w:r>
          </w:p>
        </w:tc>
        <w:tc>
          <w:tcPr>
            <w:tcW w:w="1260" w:type="dxa"/>
            <w:tcBorders>
              <w:top w:val="nil"/>
              <w:left w:val="nil"/>
              <w:bottom w:val="nil"/>
              <w:right w:val="nil"/>
            </w:tcBorders>
            <w:shd w:val="clear" w:color="auto" w:fill="auto"/>
            <w:noWrap/>
            <w:vAlign w:val="center"/>
            <w:hideMark/>
          </w:tcPr>
          <w:p w14:paraId="0FAF2042"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0.222</w:t>
            </w:r>
          </w:p>
        </w:tc>
        <w:tc>
          <w:tcPr>
            <w:tcW w:w="1073" w:type="dxa"/>
            <w:tcBorders>
              <w:top w:val="nil"/>
              <w:left w:val="nil"/>
              <w:bottom w:val="nil"/>
              <w:right w:val="nil"/>
            </w:tcBorders>
            <w:shd w:val="clear" w:color="auto" w:fill="auto"/>
            <w:noWrap/>
            <w:vAlign w:val="center"/>
            <w:hideMark/>
          </w:tcPr>
          <w:p w14:paraId="4C754A7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0.00</w:t>
            </w:r>
          </w:p>
        </w:tc>
        <w:tc>
          <w:tcPr>
            <w:tcW w:w="271" w:type="dxa"/>
            <w:tcBorders>
              <w:top w:val="nil"/>
              <w:left w:val="nil"/>
              <w:bottom w:val="nil"/>
              <w:right w:val="nil"/>
            </w:tcBorders>
            <w:shd w:val="clear" w:color="auto" w:fill="auto"/>
            <w:noWrap/>
            <w:vAlign w:val="bottom"/>
            <w:hideMark/>
          </w:tcPr>
          <w:p w14:paraId="4AB74DF7" w14:textId="77777777" w:rsidR="00F324E0" w:rsidRPr="00F324E0" w:rsidRDefault="00F324E0" w:rsidP="00F324E0">
            <w:pPr>
              <w:jc w:val="right"/>
              <w:rPr>
                <w:rFonts w:eastAsia="Times New Roman"/>
                <w:color w:val="000000"/>
              </w:rPr>
            </w:pPr>
          </w:p>
        </w:tc>
      </w:tr>
      <w:tr w:rsidR="00F324E0" w:rsidRPr="00F324E0" w14:paraId="0947A92B"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tcPr>
          <w:p w14:paraId="521D845E" w14:textId="77777777" w:rsidR="00F324E0" w:rsidRPr="00F324E0" w:rsidRDefault="00F324E0" w:rsidP="00F324E0">
            <w:pPr>
              <w:rPr>
                <w:rFonts w:eastAsia="Times New Roman"/>
                <w:color w:val="000000"/>
              </w:rPr>
            </w:pPr>
            <w:r w:rsidRPr="00F324E0">
              <w:rPr>
                <w:rFonts w:eastAsia="Times New Roman"/>
                <w:color w:val="000000"/>
                <w:sz w:val="22"/>
                <w:szCs w:val="22"/>
              </w:rPr>
              <w:t>Headquarter dummy</w:t>
            </w:r>
          </w:p>
        </w:tc>
        <w:tc>
          <w:tcPr>
            <w:tcW w:w="630" w:type="dxa"/>
            <w:tcBorders>
              <w:top w:val="nil"/>
              <w:left w:val="nil"/>
              <w:bottom w:val="nil"/>
              <w:right w:val="nil"/>
            </w:tcBorders>
            <w:vAlign w:val="center"/>
          </w:tcPr>
          <w:p w14:paraId="516BF046"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34ED9D60" w14:textId="77777777" w:rsidR="00F324E0" w:rsidRPr="00F324E0" w:rsidRDefault="00F324E0" w:rsidP="00F324E0">
            <w:pPr>
              <w:jc w:val="right"/>
              <w:rPr>
                <w:rFonts w:eastAsia="Times New Roman"/>
              </w:rPr>
            </w:pPr>
            <w:r w:rsidRPr="00F324E0">
              <w:rPr>
                <w:rFonts w:eastAsia="Times New Roman"/>
                <w:sz w:val="22"/>
                <w:szCs w:val="22"/>
              </w:rPr>
              <w:t>0.380</w:t>
            </w:r>
          </w:p>
        </w:tc>
        <w:tc>
          <w:tcPr>
            <w:tcW w:w="270" w:type="dxa"/>
            <w:tcBorders>
              <w:top w:val="nil"/>
              <w:left w:val="nil"/>
              <w:bottom w:val="nil"/>
              <w:right w:val="nil"/>
            </w:tcBorders>
            <w:shd w:val="clear" w:color="auto" w:fill="auto"/>
            <w:noWrap/>
            <w:vAlign w:val="center"/>
          </w:tcPr>
          <w:p w14:paraId="1ABB2D97"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tcPr>
          <w:p w14:paraId="19D0B8CC" w14:textId="77777777" w:rsidR="00F324E0" w:rsidRPr="00F324E0" w:rsidRDefault="00F324E0" w:rsidP="00F324E0">
            <w:pPr>
              <w:jc w:val="right"/>
              <w:rPr>
                <w:rFonts w:eastAsia="Times New Roman"/>
              </w:rPr>
            </w:pP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tcPr>
          <w:p w14:paraId="774E33C3" w14:textId="77777777" w:rsidR="00F324E0" w:rsidRPr="00F324E0" w:rsidRDefault="00F324E0" w:rsidP="00F324E0">
            <w:pPr>
              <w:jc w:val="right"/>
              <w:rPr>
                <w:rFonts w:eastAsia="Times New Roman"/>
              </w:rPr>
            </w:pPr>
            <w:r w:rsidRPr="00F324E0">
              <w:rPr>
                <w:rFonts w:eastAsia="Times New Roman"/>
                <w:sz w:val="22"/>
                <w:szCs w:val="22"/>
              </w:rPr>
              <w:t>0.393</w:t>
            </w:r>
          </w:p>
        </w:tc>
        <w:tc>
          <w:tcPr>
            <w:tcW w:w="1260" w:type="dxa"/>
            <w:tcBorders>
              <w:top w:val="nil"/>
              <w:left w:val="nil"/>
              <w:bottom w:val="nil"/>
              <w:right w:val="nil"/>
            </w:tcBorders>
            <w:shd w:val="clear" w:color="auto" w:fill="auto"/>
            <w:noWrap/>
            <w:vAlign w:val="center"/>
          </w:tcPr>
          <w:p w14:paraId="0E24AEE3" w14:textId="77777777" w:rsidR="00F324E0" w:rsidRPr="00F324E0" w:rsidRDefault="00F324E0" w:rsidP="00F324E0">
            <w:pPr>
              <w:jc w:val="right"/>
              <w:rPr>
                <w:rFonts w:eastAsia="Times New Roman"/>
              </w:rPr>
            </w:pPr>
            <w:r w:rsidRPr="00F324E0">
              <w:rPr>
                <w:rFonts w:eastAsia="Times New Roman"/>
                <w:sz w:val="22"/>
                <w:szCs w:val="22"/>
              </w:rPr>
              <w:t>-0.014</w:t>
            </w:r>
          </w:p>
        </w:tc>
        <w:tc>
          <w:tcPr>
            <w:tcW w:w="1073" w:type="dxa"/>
            <w:tcBorders>
              <w:top w:val="nil"/>
              <w:left w:val="nil"/>
              <w:bottom w:val="nil"/>
              <w:right w:val="nil"/>
            </w:tcBorders>
            <w:shd w:val="clear" w:color="auto" w:fill="auto"/>
            <w:noWrap/>
            <w:vAlign w:val="center"/>
          </w:tcPr>
          <w:p w14:paraId="3055F56F" w14:textId="77777777" w:rsidR="00F324E0" w:rsidRPr="00F324E0" w:rsidRDefault="00F324E0" w:rsidP="00F324E0">
            <w:pPr>
              <w:jc w:val="right"/>
              <w:rPr>
                <w:rFonts w:eastAsia="Times New Roman"/>
              </w:rPr>
            </w:pPr>
            <w:r w:rsidRPr="00F324E0">
              <w:rPr>
                <w:rFonts w:eastAsia="Times New Roman"/>
                <w:sz w:val="22"/>
                <w:szCs w:val="22"/>
              </w:rPr>
              <w:t>0.56</w:t>
            </w:r>
          </w:p>
        </w:tc>
        <w:tc>
          <w:tcPr>
            <w:tcW w:w="271" w:type="dxa"/>
            <w:tcBorders>
              <w:top w:val="nil"/>
              <w:left w:val="nil"/>
              <w:bottom w:val="nil"/>
              <w:right w:val="nil"/>
            </w:tcBorders>
            <w:shd w:val="clear" w:color="auto" w:fill="auto"/>
            <w:noWrap/>
            <w:vAlign w:val="bottom"/>
          </w:tcPr>
          <w:p w14:paraId="6CB57B4A" w14:textId="77777777" w:rsidR="00F324E0" w:rsidRPr="00F324E0" w:rsidRDefault="00F324E0" w:rsidP="00F324E0">
            <w:pPr>
              <w:jc w:val="right"/>
              <w:rPr>
                <w:rFonts w:eastAsia="Times New Roman"/>
                <w:color w:val="000000"/>
              </w:rPr>
            </w:pPr>
          </w:p>
        </w:tc>
      </w:tr>
      <w:tr w:rsidR="00F324E0" w:rsidRPr="00F324E0" w14:paraId="323ADB56"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tcPr>
          <w:p w14:paraId="1D317DA9" w14:textId="77777777" w:rsidR="00F324E0" w:rsidRPr="00F324E0" w:rsidRDefault="00F324E0" w:rsidP="00F324E0">
            <w:pPr>
              <w:rPr>
                <w:rFonts w:eastAsia="Times New Roman"/>
                <w:color w:val="000000"/>
              </w:rPr>
            </w:pPr>
            <w:r w:rsidRPr="00F324E0">
              <w:rPr>
                <w:rFonts w:eastAsia="Times New Roman"/>
                <w:color w:val="000000"/>
                <w:sz w:val="22"/>
                <w:szCs w:val="22"/>
              </w:rPr>
              <w:t>Opacity</w:t>
            </w:r>
          </w:p>
        </w:tc>
        <w:tc>
          <w:tcPr>
            <w:tcW w:w="630" w:type="dxa"/>
            <w:tcBorders>
              <w:top w:val="nil"/>
              <w:left w:val="nil"/>
              <w:bottom w:val="nil"/>
              <w:right w:val="nil"/>
            </w:tcBorders>
            <w:vAlign w:val="center"/>
          </w:tcPr>
          <w:p w14:paraId="0EAE883A" w14:textId="77777777" w:rsidR="00F324E0" w:rsidRPr="00F324E0" w:rsidRDefault="00F324E0" w:rsidP="00F324E0">
            <w:pPr>
              <w:jc w:val="right"/>
              <w:rPr>
                <w:rFonts w:eastAsia="Times New Roman"/>
              </w:rPr>
            </w:pPr>
            <w:r w:rsidRPr="00F324E0">
              <w:rPr>
                <w:rFonts w:eastAsia="Times New Roman"/>
                <w:sz w:val="22"/>
                <w:szCs w:val="22"/>
              </w:rPr>
              <w:t xml:space="preserve"> 517</w:t>
            </w:r>
          </w:p>
        </w:tc>
        <w:tc>
          <w:tcPr>
            <w:tcW w:w="1170" w:type="dxa"/>
            <w:tcBorders>
              <w:top w:val="nil"/>
              <w:left w:val="nil"/>
              <w:bottom w:val="nil"/>
              <w:right w:val="nil"/>
            </w:tcBorders>
            <w:shd w:val="clear" w:color="auto" w:fill="auto"/>
            <w:noWrap/>
            <w:vAlign w:val="center"/>
          </w:tcPr>
          <w:p w14:paraId="58ACC5A7"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0.123</w:t>
            </w:r>
          </w:p>
        </w:tc>
        <w:tc>
          <w:tcPr>
            <w:tcW w:w="270" w:type="dxa"/>
            <w:tcBorders>
              <w:top w:val="nil"/>
              <w:left w:val="nil"/>
              <w:bottom w:val="nil"/>
              <w:right w:val="nil"/>
            </w:tcBorders>
            <w:shd w:val="clear" w:color="auto" w:fill="auto"/>
            <w:noWrap/>
            <w:vAlign w:val="center"/>
          </w:tcPr>
          <w:p w14:paraId="7727746D"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tcPr>
          <w:p w14:paraId="3FAA74DB"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1,523</w:t>
            </w:r>
          </w:p>
        </w:tc>
        <w:tc>
          <w:tcPr>
            <w:tcW w:w="1440" w:type="dxa"/>
            <w:tcBorders>
              <w:top w:val="nil"/>
              <w:left w:val="nil"/>
              <w:bottom w:val="nil"/>
              <w:right w:val="nil"/>
            </w:tcBorders>
            <w:shd w:val="clear" w:color="auto" w:fill="auto"/>
            <w:noWrap/>
            <w:vAlign w:val="center"/>
          </w:tcPr>
          <w:p w14:paraId="0951C7C2"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0.148</w:t>
            </w:r>
          </w:p>
        </w:tc>
        <w:tc>
          <w:tcPr>
            <w:tcW w:w="1260" w:type="dxa"/>
            <w:tcBorders>
              <w:top w:val="nil"/>
              <w:left w:val="nil"/>
              <w:bottom w:val="nil"/>
              <w:right w:val="nil"/>
            </w:tcBorders>
            <w:shd w:val="clear" w:color="auto" w:fill="auto"/>
            <w:noWrap/>
            <w:vAlign w:val="center"/>
          </w:tcPr>
          <w:p w14:paraId="21691AE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-0.025</w:t>
            </w:r>
          </w:p>
        </w:tc>
        <w:tc>
          <w:tcPr>
            <w:tcW w:w="1073" w:type="dxa"/>
            <w:tcBorders>
              <w:top w:val="nil"/>
              <w:left w:val="nil"/>
              <w:bottom w:val="nil"/>
              <w:right w:val="nil"/>
            </w:tcBorders>
            <w:shd w:val="clear" w:color="auto" w:fill="auto"/>
            <w:noWrap/>
            <w:vAlign w:val="center"/>
          </w:tcPr>
          <w:p w14:paraId="583A811C" w14:textId="77777777" w:rsidR="00F324E0" w:rsidRPr="00F324E0" w:rsidRDefault="00F324E0" w:rsidP="00F324E0">
            <w:pPr>
              <w:jc w:val="right"/>
              <w:rPr>
                <w:rFonts w:eastAsia="Times New Roman"/>
                <w:color w:val="000000"/>
              </w:rPr>
            </w:pPr>
            <w:r w:rsidRPr="00F324E0">
              <w:rPr>
                <w:rFonts w:eastAsia="Times New Roman"/>
                <w:color w:val="000000"/>
                <w:sz w:val="22"/>
                <w:szCs w:val="22"/>
              </w:rPr>
              <w:t>0.00</w:t>
            </w:r>
          </w:p>
        </w:tc>
        <w:tc>
          <w:tcPr>
            <w:tcW w:w="271" w:type="dxa"/>
            <w:tcBorders>
              <w:top w:val="nil"/>
              <w:left w:val="nil"/>
              <w:bottom w:val="nil"/>
              <w:right w:val="nil"/>
            </w:tcBorders>
            <w:shd w:val="clear" w:color="auto" w:fill="auto"/>
            <w:noWrap/>
            <w:vAlign w:val="bottom"/>
          </w:tcPr>
          <w:p w14:paraId="577803E9" w14:textId="77777777" w:rsidR="00F324E0" w:rsidRPr="00F324E0" w:rsidRDefault="00F324E0" w:rsidP="00F324E0">
            <w:pPr>
              <w:jc w:val="right"/>
              <w:rPr>
                <w:rFonts w:eastAsia="Times New Roman"/>
                <w:color w:val="000000"/>
              </w:rPr>
            </w:pPr>
          </w:p>
        </w:tc>
      </w:tr>
      <w:tr w:rsidR="00F324E0" w:rsidRPr="00F324E0" w14:paraId="44BD9597" w14:textId="77777777" w:rsidTr="00B103CC">
        <w:trPr>
          <w:gridAfter w:val="1"/>
          <w:wAfter w:w="78" w:type="dxa"/>
          <w:trHeight w:val="104"/>
          <w:jc w:val="center"/>
        </w:trPr>
        <w:tc>
          <w:tcPr>
            <w:tcW w:w="2160" w:type="dxa"/>
            <w:tcBorders>
              <w:top w:val="nil"/>
              <w:left w:val="nil"/>
              <w:bottom w:val="nil"/>
              <w:right w:val="nil"/>
            </w:tcBorders>
            <w:shd w:val="clear" w:color="auto" w:fill="auto"/>
            <w:noWrap/>
            <w:vAlign w:val="center"/>
            <w:hideMark/>
          </w:tcPr>
          <w:p w14:paraId="16FD35FB" w14:textId="77777777" w:rsidR="00F324E0" w:rsidRPr="00F324E0" w:rsidRDefault="00F324E0" w:rsidP="00F324E0">
            <w:r w:rsidRPr="00F324E0">
              <w:rPr>
                <w:rFonts w:eastAsia="Times New Roman"/>
                <w:color w:val="000000"/>
                <w:sz w:val="22"/>
                <w:szCs w:val="22"/>
              </w:rPr>
              <w:t>Slack</w:t>
            </w:r>
          </w:p>
        </w:tc>
        <w:tc>
          <w:tcPr>
            <w:tcW w:w="630" w:type="dxa"/>
            <w:tcBorders>
              <w:top w:val="nil"/>
              <w:left w:val="nil"/>
              <w:bottom w:val="nil"/>
              <w:right w:val="nil"/>
            </w:tcBorders>
            <w:vAlign w:val="center"/>
          </w:tcPr>
          <w:p w14:paraId="0B0C9975" w14:textId="77777777" w:rsidR="00F324E0" w:rsidRPr="00F324E0" w:rsidRDefault="00F324E0" w:rsidP="00F324E0">
            <w:pPr>
              <w:jc w:val="right"/>
              <w:rPr>
                <w:rFonts w:eastAsia="Times New Roman"/>
              </w:rPr>
            </w:pPr>
            <w:r w:rsidRPr="00F324E0">
              <w:rPr>
                <w:rFonts w:eastAsia="Times New Roman"/>
                <w:sz w:val="22"/>
                <w:szCs w:val="22"/>
              </w:rPr>
              <w:t xml:space="preserve"> 574</w:t>
            </w:r>
          </w:p>
        </w:tc>
        <w:tc>
          <w:tcPr>
            <w:tcW w:w="1170" w:type="dxa"/>
            <w:tcBorders>
              <w:top w:val="nil"/>
              <w:left w:val="nil"/>
              <w:bottom w:val="nil"/>
              <w:right w:val="nil"/>
            </w:tcBorders>
            <w:shd w:val="clear" w:color="auto" w:fill="auto"/>
            <w:noWrap/>
            <w:vAlign w:val="center"/>
          </w:tcPr>
          <w:p w14:paraId="7D67C49D" w14:textId="77777777" w:rsidR="00F324E0" w:rsidRPr="00F324E0" w:rsidRDefault="00F324E0" w:rsidP="00F324E0">
            <w:pPr>
              <w:jc w:val="right"/>
              <w:rPr>
                <w:rFonts w:eastAsia="Times New Roman"/>
              </w:rPr>
            </w:pPr>
            <w:r w:rsidRPr="00F324E0">
              <w:rPr>
                <w:rFonts w:eastAsia="Times New Roman"/>
                <w:sz w:val="22"/>
                <w:szCs w:val="22"/>
              </w:rPr>
              <w:t>0.113</w:t>
            </w:r>
          </w:p>
        </w:tc>
        <w:tc>
          <w:tcPr>
            <w:tcW w:w="270" w:type="dxa"/>
            <w:tcBorders>
              <w:top w:val="nil"/>
              <w:left w:val="nil"/>
              <w:bottom w:val="nil"/>
              <w:right w:val="nil"/>
            </w:tcBorders>
            <w:shd w:val="clear" w:color="auto" w:fill="auto"/>
            <w:noWrap/>
            <w:vAlign w:val="center"/>
          </w:tcPr>
          <w:p w14:paraId="10EEB433" w14:textId="77777777" w:rsidR="00F324E0" w:rsidRPr="00F324E0" w:rsidRDefault="00F324E0" w:rsidP="00F324E0">
            <w:pPr>
              <w:jc w:val="right"/>
              <w:rPr>
                <w:rFonts w:eastAsia="Times New Roman"/>
              </w:rPr>
            </w:pPr>
          </w:p>
        </w:tc>
        <w:tc>
          <w:tcPr>
            <w:tcW w:w="810" w:type="dxa"/>
            <w:tcBorders>
              <w:top w:val="nil"/>
              <w:left w:val="nil"/>
              <w:bottom w:val="nil"/>
              <w:right w:val="nil"/>
            </w:tcBorders>
            <w:shd w:val="clear" w:color="auto" w:fill="auto"/>
            <w:noWrap/>
            <w:vAlign w:val="center"/>
            <w:hideMark/>
          </w:tcPr>
          <w:p w14:paraId="3083B111" w14:textId="77777777" w:rsidR="00F324E0" w:rsidRPr="00F324E0" w:rsidRDefault="00F324E0" w:rsidP="00F324E0">
            <w:pPr>
              <w:jc w:val="right"/>
              <w:rPr>
                <w:rFonts w:eastAsia="Times New Roman"/>
              </w:rPr>
            </w:pPr>
            <w:r w:rsidRPr="00F324E0">
              <w:rPr>
                <w:rFonts w:eastAsia="Times New Roman"/>
                <w:sz w:val="22"/>
                <w:szCs w:val="22"/>
              </w:rPr>
              <w:t xml:space="preserve"> 1,726</w:t>
            </w:r>
          </w:p>
        </w:tc>
        <w:tc>
          <w:tcPr>
            <w:tcW w:w="1440" w:type="dxa"/>
            <w:tcBorders>
              <w:top w:val="nil"/>
              <w:left w:val="nil"/>
              <w:bottom w:val="nil"/>
              <w:right w:val="nil"/>
            </w:tcBorders>
            <w:shd w:val="clear" w:color="auto" w:fill="auto"/>
            <w:noWrap/>
            <w:vAlign w:val="center"/>
            <w:hideMark/>
          </w:tcPr>
          <w:p w14:paraId="472C96EB" w14:textId="77777777" w:rsidR="00F324E0" w:rsidRPr="00F324E0" w:rsidRDefault="00F324E0" w:rsidP="00F324E0">
            <w:pPr>
              <w:jc w:val="right"/>
              <w:rPr>
                <w:rFonts w:eastAsia="Times New Roman"/>
              </w:rPr>
            </w:pPr>
            <w:r w:rsidRPr="00F324E0">
              <w:rPr>
                <w:rFonts w:eastAsia="Times New Roman"/>
                <w:sz w:val="22"/>
                <w:szCs w:val="22"/>
              </w:rPr>
              <w:t>0.195</w:t>
            </w:r>
          </w:p>
        </w:tc>
        <w:tc>
          <w:tcPr>
            <w:tcW w:w="1260" w:type="dxa"/>
            <w:tcBorders>
              <w:top w:val="nil"/>
              <w:left w:val="nil"/>
              <w:bottom w:val="nil"/>
              <w:right w:val="nil"/>
            </w:tcBorders>
            <w:shd w:val="clear" w:color="auto" w:fill="auto"/>
            <w:noWrap/>
            <w:vAlign w:val="center"/>
            <w:hideMark/>
          </w:tcPr>
          <w:p w14:paraId="14A682A0" w14:textId="77777777" w:rsidR="00F324E0" w:rsidRPr="00F324E0" w:rsidRDefault="00F324E0" w:rsidP="00F324E0">
            <w:pPr>
              <w:jc w:val="right"/>
              <w:rPr>
                <w:rFonts w:eastAsia="Times New Roman"/>
              </w:rPr>
            </w:pPr>
            <w:r w:rsidRPr="00F324E0">
              <w:rPr>
                <w:rFonts w:eastAsia="Times New Roman"/>
                <w:sz w:val="22"/>
                <w:szCs w:val="22"/>
              </w:rPr>
              <w:t xml:space="preserve">  -0.081</w:t>
            </w:r>
          </w:p>
        </w:tc>
        <w:tc>
          <w:tcPr>
            <w:tcW w:w="1073" w:type="dxa"/>
            <w:tcBorders>
              <w:top w:val="nil"/>
              <w:left w:val="nil"/>
              <w:bottom w:val="nil"/>
              <w:right w:val="nil"/>
            </w:tcBorders>
            <w:shd w:val="clear" w:color="auto" w:fill="auto"/>
            <w:noWrap/>
            <w:vAlign w:val="center"/>
            <w:hideMark/>
          </w:tcPr>
          <w:p w14:paraId="52EDF204"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hideMark/>
          </w:tcPr>
          <w:p w14:paraId="0D6A5EA5" w14:textId="77777777" w:rsidR="00F324E0" w:rsidRPr="00F324E0" w:rsidRDefault="00F324E0" w:rsidP="00F324E0">
            <w:pPr>
              <w:jc w:val="right"/>
              <w:rPr>
                <w:rFonts w:eastAsia="Times New Roman"/>
              </w:rPr>
            </w:pPr>
            <w:r w:rsidRPr="00F324E0">
              <w:rPr>
                <w:rFonts w:eastAsia="Times New Roman"/>
                <w:sz w:val="22"/>
                <w:szCs w:val="22"/>
              </w:rPr>
              <w:t> </w:t>
            </w:r>
          </w:p>
        </w:tc>
      </w:tr>
      <w:tr w:rsidR="00F324E0" w:rsidRPr="00F324E0" w14:paraId="7D4D3F44" w14:textId="77777777" w:rsidTr="00B103CC">
        <w:trPr>
          <w:gridAfter w:val="1"/>
          <w:wAfter w:w="78" w:type="dxa"/>
          <w:trHeight w:val="299"/>
          <w:jc w:val="center"/>
        </w:trPr>
        <w:tc>
          <w:tcPr>
            <w:tcW w:w="2160" w:type="dxa"/>
            <w:tcBorders>
              <w:top w:val="nil"/>
              <w:left w:val="nil"/>
              <w:bottom w:val="nil"/>
              <w:right w:val="nil"/>
            </w:tcBorders>
            <w:shd w:val="clear" w:color="auto" w:fill="auto"/>
            <w:noWrap/>
            <w:vAlign w:val="center"/>
          </w:tcPr>
          <w:p w14:paraId="38209DCB" w14:textId="77777777" w:rsidR="00F324E0" w:rsidRPr="00F324E0" w:rsidRDefault="00F324E0" w:rsidP="00F324E0">
            <w:pPr>
              <w:rPr>
                <w:rFonts w:eastAsia="Times New Roman"/>
                <w:color w:val="000000"/>
              </w:rPr>
            </w:pPr>
            <w:r w:rsidRPr="00F324E0">
              <w:rPr>
                <w:rFonts w:eastAsia="Times New Roman"/>
                <w:color w:val="000000"/>
                <w:sz w:val="22"/>
                <w:szCs w:val="22"/>
              </w:rPr>
              <w:t>Subsector dummy</w:t>
            </w:r>
          </w:p>
        </w:tc>
        <w:tc>
          <w:tcPr>
            <w:tcW w:w="630" w:type="dxa"/>
            <w:tcBorders>
              <w:top w:val="nil"/>
              <w:left w:val="nil"/>
              <w:bottom w:val="nil"/>
              <w:right w:val="nil"/>
            </w:tcBorders>
            <w:vAlign w:val="center"/>
          </w:tcPr>
          <w:p w14:paraId="565249B7" w14:textId="77777777" w:rsidR="00F324E0" w:rsidRPr="00F324E0" w:rsidRDefault="00F324E0" w:rsidP="00F324E0">
            <w:pPr>
              <w:jc w:val="right"/>
              <w:rPr>
                <w:rFonts w:eastAsia="Times New Roman"/>
              </w:rPr>
            </w:pPr>
            <w:r w:rsidRPr="00F324E0">
              <w:rPr>
                <w:rFonts w:eastAsia="Times New Roman"/>
                <w:sz w:val="22"/>
                <w:szCs w:val="22"/>
              </w:rPr>
              <w:t>574</w:t>
            </w:r>
          </w:p>
        </w:tc>
        <w:tc>
          <w:tcPr>
            <w:tcW w:w="1170" w:type="dxa"/>
            <w:tcBorders>
              <w:top w:val="nil"/>
              <w:left w:val="nil"/>
              <w:bottom w:val="nil"/>
              <w:right w:val="nil"/>
            </w:tcBorders>
            <w:shd w:val="clear" w:color="auto" w:fill="auto"/>
            <w:noWrap/>
            <w:vAlign w:val="center"/>
          </w:tcPr>
          <w:p w14:paraId="2DE2CA92" w14:textId="77777777" w:rsidR="00F324E0" w:rsidRPr="00F324E0" w:rsidRDefault="00F324E0" w:rsidP="00F324E0">
            <w:pPr>
              <w:jc w:val="right"/>
              <w:rPr>
                <w:rFonts w:eastAsia="Times New Roman"/>
              </w:rPr>
            </w:pPr>
            <w:r w:rsidRPr="00F324E0">
              <w:rPr>
                <w:rFonts w:eastAsia="Times New Roman"/>
                <w:sz w:val="22"/>
                <w:szCs w:val="22"/>
              </w:rPr>
              <w:t>0.233</w:t>
            </w:r>
          </w:p>
        </w:tc>
        <w:tc>
          <w:tcPr>
            <w:tcW w:w="270" w:type="dxa"/>
            <w:tcBorders>
              <w:top w:val="nil"/>
              <w:left w:val="nil"/>
              <w:bottom w:val="nil"/>
              <w:right w:val="nil"/>
            </w:tcBorders>
            <w:shd w:val="clear" w:color="auto" w:fill="auto"/>
            <w:noWrap/>
            <w:vAlign w:val="center"/>
          </w:tcPr>
          <w:p w14:paraId="70821BC0" w14:textId="77777777" w:rsidR="00F324E0" w:rsidRPr="00F324E0" w:rsidRDefault="00F324E0" w:rsidP="00F324E0">
            <w:pPr>
              <w:jc w:val="right"/>
              <w:rPr>
                <w:rFonts w:eastAsia="Times New Roman"/>
                <w:color w:val="000000"/>
              </w:rPr>
            </w:pPr>
          </w:p>
        </w:tc>
        <w:tc>
          <w:tcPr>
            <w:tcW w:w="810" w:type="dxa"/>
            <w:tcBorders>
              <w:top w:val="nil"/>
              <w:left w:val="nil"/>
              <w:bottom w:val="nil"/>
              <w:right w:val="nil"/>
            </w:tcBorders>
            <w:shd w:val="clear" w:color="auto" w:fill="auto"/>
            <w:noWrap/>
            <w:vAlign w:val="center"/>
          </w:tcPr>
          <w:p w14:paraId="4A6F975A" w14:textId="77777777" w:rsidR="00F324E0" w:rsidRPr="00F324E0" w:rsidRDefault="00F324E0" w:rsidP="00F324E0">
            <w:pPr>
              <w:jc w:val="right"/>
              <w:rPr>
                <w:rFonts w:eastAsia="Times New Roman"/>
              </w:rPr>
            </w:pPr>
            <w:r w:rsidRPr="00F324E0">
              <w:rPr>
                <w:rFonts w:eastAsia="Times New Roman"/>
                <w:sz w:val="22"/>
                <w:szCs w:val="22"/>
              </w:rPr>
              <w:t>1,726</w:t>
            </w:r>
          </w:p>
        </w:tc>
        <w:tc>
          <w:tcPr>
            <w:tcW w:w="1440" w:type="dxa"/>
            <w:tcBorders>
              <w:top w:val="nil"/>
              <w:left w:val="nil"/>
              <w:bottom w:val="nil"/>
              <w:right w:val="nil"/>
            </w:tcBorders>
            <w:shd w:val="clear" w:color="auto" w:fill="auto"/>
            <w:noWrap/>
            <w:vAlign w:val="center"/>
          </w:tcPr>
          <w:p w14:paraId="360E2240" w14:textId="77777777" w:rsidR="00F324E0" w:rsidRPr="00F324E0" w:rsidRDefault="00F324E0" w:rsidP="00F324E0">
            <w:pPr>
              <w:jc w:val="right"/>
              <w:rPr>
                <w:rFonts w:eastAsia="Times New Roman"/>
              </w:rPr>
            </w:pPr>
            <w:r w:rsidRPr="00F324E0">
              <w:rPr>
                <w:rFonts w:eastAsia="Times New Roman"/>
                <w:sz w:val="22"/>
                <w:szCs w:val="22"/>
              </w:rPr>
              <w:t>0.028</w:t>
            </w:r>
          </w:p>
        </w:tc>
        <w:tc>
          <w:tcPr>
            <w:tcW w:w="1260" w:type="dxa"/>
            <w:tcBorders>
              <w:top w:val="nil"/>
              <w:left w:val="nil"/>
              <w:bottom w:val="nil"/>
              <w:right w:val="nil"/>
            </w:tcBorders>
            <w:shd w:val="clear" w:color="auto" w:fill="auto"/>
            <w:noWrap/>
            <w:vAlign w:val="center"/>
          </w:tcPr>
          <w:p w14:paraId="5744C0D3" w14:textId="77777777" w:rsidR="00F324E0" w:rsidRPr="00F324E0" w:rsidRDefault="00F324E0" w:rsidP="00F324E0">
            <w:pPr>
              <w:jc w:val="right"/>
              <w:rPr>
                <w:rFonts w:eastAsia="Times New Roman"/>
              </w:rPr>
            </w:pPr>
            <w:r w:rsidRPr="00F324E0">
              <w:rPr>
                <w:rFonts w:eastAsia="Times New Roman"/>
                <w:sz w:val="22"/>
                <w:szCs w:val="22"/>
              </w:rPr>
              <w:t>0.205</w:t>
            </w:r>
          </w:p>
        </w:tc>
        <w:tc>
          <w:tcPr>
            <w:tcW w:w="1073" w:type="dxa"/>
            <w:tcBorders>
              <w:top w:val="nil"/>
              <w:left w:val="nil"/>
              <w:bottom w:val="nil"/>
              <w:right w:val="nil"/>
            </w:tcBorders>
            <w:shd w:val="clear" w:color="auto" w:fill="auto"/>
            <w:noWrap/>
            <w:vAlign w:val="center"/>
          </w:tcPr>
          <w:p w14:paraId="03A634C0"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nil"/>
              <w:right w:val="nil"/>
            </w:tcBorders>
            <w:shd w:val="clear" w:color="auto" w:fill="auto"/>
            <w:noWrap/>
            <w:vAlign w:val="bottom"/>
          </w:tcPr>
          <w:p w14:paraId="1A4251EA" w14:textId="77777777" w:rsidR="00F324E0" w:rsidRPr="00F324E0" w:rsidRDefault="00F324E0" w:rsidP="00F324E0">
            <w:pPr>
              <w:jc w:val="right"/>
              <w:rPr>
                <w:rFonts w:eastAsia="Times New Roman"/>
                <w:color w:val="000000"/>
              </w:rPr>
            </w:pPr>
          </w:p>
        </w:tc>
      </w:tr>
      <w:tr w:rsidR="00F324E0" w:rsidRPr="00F324E0" w14:paraId="6A870F6B" w14:textId="77777777" w:rsidTr="00B103CC">
        <w:trPr>
          <w:gridAfter w:val="1"/>
          <w:wAfter w:w="78" w:type="dxa"/>
          <w:trHeight w:val="104"/>
          <w:jc w:val="center"/>
        </w:trPr>
        <w:tc>
          <w:tcPr>
            <w:tcW w:w="2160" w:type="dxa"/>
            <w:tcBorders>
              <w:top w:val="nil"/>
              <w:left w:val="nil"/>
              <w:bottom w:val="single" w:sz="4" w:space="0" w:color="auto"/>
              <w:right w:val="nil"/>
            </w:tcBorders>
            <w:shd w:val="clear" w:color="auto" w:fill="auto"/>
            <w:noWrap/>
            <w:vAlign w:val="center"/>
          </w:tcPr>
          <w:p w14:paraId="17811BED" w14:textId="77777777" w:rsidR="00F324E0" w:rsidRPr="00F324E0" w:rsidRDefault="00F324E0" w:rsidP="00F324E0">
            <w:pPr>
              <w:rPr>
                <w:rFonts w:eastAsia="Times New Roman"/>
              </w:rPr>
            </w:pPr>
            <w:r w:rsidRPr="00F324E0">
              <w:rPr>
                <w:rFonts w:eastAsia="Times New Roman"/>
                <w:sz w:val="22"/>
                <w:szCs w:val="22"/>
              </w:rPr>
              <w:t>Complexity dummy</w:t>
            </w:r>
          </w:p>
        </w:tc>
        <w:tc>
          <w:tcPr>
            <w:tcW w:w="630" w:type="dxa"/>
            <w:tcBorders>
              <w:top w:val="nil"/>
              <w:left w:val="nil"/>
              <w:bottom w:val="single" w:sz="4" w:space="0" w:color="auto"/>
              <w:right w:val="nil"/>
            </w:tcBorders>
            <w:vAlign w:val="center"/>
          </w:tcPr>
          <w:p w14:paraId="4F190F44" w14:textId="77777777" w:rsidR="00F324E0" w:rsidRPr="00F324E0" w:rsidRDefault="00F324E0" w:rsidP="00F324E0">
            <w:pPr>
              <w:jc w:val="right"/>
              <w:rPr>
                <w:rFonts w:eastAsia="Times New Roman"/>
              </w:rPr>
            </w:pPr>
            <w:r w:rsidRPr="00F324E0">
              <w:rPr>
                <w:rFonts w:eastAsia="Times New Roman"/>
                <w:sz w:val="22"/>
                <w:szCs w:val="22"/>
              </w:rPr>
              <w:t>574</w:t>
            </w:r>
          </w:p>
        </w:tc>
        <w:tc>
          <w:tcPr>
            <w:tcW w:w="1170" w:type="dxa"/>
            <w:tcBorders>
              <w:top w:val="nil"/>
              <w:left w:val="nil"/>
              <w:bottom w:val="single" w:sz="4" w:space="0" w:color="auto"/>
              <w:right w:val="nil"/>
            </w:tcBorders>
            <w:shd w:val="clear" w:color="auto" w:fill="auto"/>
            <w:noWrap/>
            <w:vAlign w:val="center"/>
          </w:tcPr>
          <w:p w14:paraId="0F6B7813" w14:textId="77777777" w:rsidR="00F324E0" w:rsidRPr="00F324E0" w:rsidRDefault="00F324E0" w:rsidP="00F324E0">
            <w:pPr>
              <w:jc w:val="right"/>
              <w:rPr>
                <w:rFonts w:eastAsia="Times New Roman"/>
              </w:rPr>
            </w:pPr>
            <w:r w:rsidRPr="00F324E0">
              <w:rPr>
                <w:rFonts w:eastAsia="Times New Roman"/>
                <w:sz w:val="22"/>
                <w:szCs w:val="22"/>
              </w:rPr>
              <w:t>0.000</w:t>
            </w:r>
          </w:p>
        </w:tc>
        <w:tc>
          <w:tcPr>
            <w:tcW w:w="270" w:type="dxa"/>
            <w:tcBorders>
              <w:top w:val="nil"/>
              <w:left w:val="nil"/>
              <w:bottom w:val="single" w:sz="4" w:space="0" w:color="auto"/>
              <w:right w:val="nil"/>
            </w:tcBorders>
            <w:shd w:val="clear" w:color="auto" w:fill="auto"/>
            <w:noWrap/>
            <w:vAlign w:val="center"/>
          </w:tcPr>
          <w:p w14:paraId="28EA389C" w14:textId="77777777" w:rsidR="00F324E0" w:rsidRPr="00F324E0" w:rsidRDefault="00F324E0" w:rsidP="00F324E0">
            <w:pPr>
              <w:jc w:val="right"/>
              <w:rPr>
                <w:rFonts w:eastAsia="Times New Roman"/>
              </w:rPr>
            </w:pPr>
          </w:p>
        </w:tc>
        <w:tc>
          <w:tcPr>
            <w:tcW w:w="810" w:type="dxa"/>
            <w:tcBorders>
              <w:top w:val="nil"/>
              <w:left w:val="nil"/>
              <w:bottom w:val="single" w:sz="4" w:space="0" w:color="auto"/>
              <w:right w:val="nil"/>
            </w:tcBorders>
            <w:shd w:val="clear" w:color="auto" w:fill="auto"/>
            <w:noWrap/>
            <w:vAlign w:val="center"/>
          </w:tcPr>
          <w:p w14:paraId="3C8A8BFE" w14:textId="77777777" w:rsidR="00F324E0" w:rsidRPr="00F324E0" w:rsidRDefault="00F324E0" w:rsidP="00F324E0">
            <w:pPr>
              <w:jc w:val="right"/>
              <w:rPr>
                <w:rFonts w:eastAsia="Times New Roman"/>
              </w:rPr>
            </w:pPr>
            <w:r w:rsidRPr="00F324E0">
              <w:rPr>
                <w:rFonts w:eastAsia="Times New Roman"/>
                <w:sz w:val="22"/>
                <w:szCs w:val="22"/>
              </w:rPr>
              <w:t>1,726</w:t>
            </w:r>
          </w:p>
        </w:tc>
        <w:tc>
          <w:tcPr>
            <w:tcW w:w="1440" w:type="dxa"/>
            <w:tcBorders>
              <w:top w:val="nil"/>
              <w:left w:val="nil"/>
              <w:bottom w:val="single" w:sz="4" w:space="0" w:color="auto"/>
              <w:right w:val="nil"/>
            </w:tcBorders>
            <w:shd w:val="clear" w:color="auto" w:fill="auto"/>
            <w:noWrap/>
            <w:vAlign w:val="center"/>
          </w:tcPr>
          <w:p w14:paraId="2A296884" w14:textId="77777777" w:rsidR="00F324E0" w:rsidRPr="00F324E0" w:rsidRDefault="00F324E0" w:rsidP="00F324E0">
            <w:pPr>
              <w:jc w:val="right"/>
              <w:rPr>
                <w:rFonts w:eastAsia="Times New Roman"/>
              </w:rPr>
            </w:pPr>
            <w:r w:rsidRPr="00F324E0">
              <w:rPr>
                <w:rFonts w:eastAsia="Times New Roman"/>
                <w:sz w:val="22"/>
                <w:szCs w:val="22"/>
              </w:rPr>
              <w:t>0.025</w:t>
            </w:r>
          </w:p>
        </w:tc>
        <w:tc>
          <w:tcPr>
            <w:tcW w:w="1260" w:type="dxa"/>
            <w:tcBorders>
              <w:top w:val="nil"/>
              <w:left w:val="nil"/>
              <w:bottom w:val="single" w:sz="4" w:space="0" w:color="auto"/>
              <w:right w:val="nil"/>
            </w:tcBorders>
            <w:shd w:val="clear" w:color="auto" w:fill="auto"/>
            <w:noWrap/>
            <w:vAlign w:val="center"/>
          </w:tcPr>
          <w:p w14:paraId="119B503F" w14:textId="77777777" w:rsidR="00F324E0" w:rsidRPr="00F324E0" w:rsidRDefault="00F324E0" w:rsidP="00F324E0">
            <w:pPr>
              <w:jc w:val="right"/>
              <w:rPr>
                <w:rFonts w:eastAsia="Times New Roman"/>
              </w:rPr>
            </w:pPr>
            <w:r w:rsidRPr="00F324E0">
              <w:rPr>
                <w:rFonts w:eastAsia="Times New Roman"/>
                <w:sz w:val="22"/>
                <w:szCs w:val="22"/>
              </w:rPr>
              <w:t>-0.025</w:t>
            </w:r>
          </w:p>
        </w:tc>
        <w:tc>
          <w:tcPr>
            <w:tcW w:w="1073" w:type="dxa"/>
            <w:tcBorders>
              <w:top w:val="nil"/>
              <w:left w:val="nil"/>
              <w:bottom w:val="single" w:sz="4" w:space="0" w:color="auto"/>
              <w:right w:val="nil"/>
            </w:tcBorders>
            <w:shd w:val="clear" w:color="auto" w:fill="auto"/>
            <w:noWrap/>
            <w:vAlign w:val="center"/>
          </w:tcPr>
          <w:p w14:paraId="0E622E85" w14:textId="77777777" w:rsidR="00F324E0" w:rsidRPr="00F324E0" w:rsidRDefault="00F324E0" w:rsidP="00F324E0">
            <w:pPr>
              <w:jc w:val="right"/>
              <w:rPr>
                <w:rFonts w:eastAsia="Times New Roman"/>
              </w:rPr>
            </w:pPr>
            <w:r w:rsidRPr="00F324E0">
              <w:rPr>
                <w:rFonts w:eastAsia="Times New Roman"/>
                <w:sz w:val="22"/>
                <w:szCs w:val="22"/>
              </w:rPr>
              <w:t>0.00</w:t>
            </w:r>
          </w:p>
        </w:tc>
        <w:tc>
          <w:tcPr>
            <w:tcW w:w="271" w:type="dxa"/>
            <w:tcBorders>
              <w:top w:val="nil"/>
              <w:left w:val="nil"/>
              <w:bottom w:val="single" w:sz="4" w:space="0" w:color="auto"/>
              <w:right w:val="nil"/>
            </w:tcBorders>
            <w:shd w:val="clear" w:color="auto" w:fill="auto"/>
            <w:noWrap/>
            <w:vAlign w:val="bottom"/>
          </w:tcPr>
          <w:p w14:paraId="679F6F8B" w14:textId="77777777" w:rsidR="00F324E0" w:rsidRPr="00F324E0" w:rsidRDefault="00F324E0" w:rsidP="00F324E0">
            <w:pPr>
              <w:jc w:val="right"/>
              <w:rPr>
                <w:rFonts w:eastAsia="Times New Roman"/>
              </w:rPr>
            </w:pPr>
          </w:p>
        </w:tc>
      </w:tr>
    </w:tbl>
    <w:p w14:paraId="5A677999" w14:textId="77777777" w:rsidR="00F324E0" w:rsidRPr="00F324E0" w:rsidRDefault="00F324E0" w:rsidP="00F324E0">
      <w:pPr>
        <w:autoSpaceDE w:val="0"/>
        <w:autoSpaceDN w:val="0"/>
        <w:adjustRightInd w:val="0"/>
        <w:ind w:left="187"/>
        <w:contextualSpacing/>
        <w:rPr>
          <w:rFonts w:eastAsia="Times New Roman"/>
          <w:i/>
          <w:sz w:val="20"/>
          <w:szCs w:val="22"/>
        </w:rPr>
      </w:pPr>
    </w:p>
    <w:p w14:paraId="4EB0DAD7" w14:textId="77777777" w:rsidR="00F324E0" w:rsidRPr="00F324E0" w:rsidRDefault="00F324E0" w:rsidP="00F324E0">
      <w:pPr>
        <w:autoSpaceDE w:val="0"/>
        <w:autoSpaceDN w:val="0"/>
        <w:adjustRightInd w:val="0"/>
        <w:ind w:left="187"/>
        <w:contextualSpacing/>
      </w:pPr>
      <w:r w:rsidRPr="00F324E0">
        <w:rPr>
          <w:rFonts w:eastAsia="Times New Roman"/>
          <w:i/>
          <w:sz w:val="20"/>
          <w:szCs w:val="22"/>
        </w:rPr>
        <w:t>Notes</w:t>
      </w:r>
      <w:r w:rsidRPr="00F324E0">
        <w:rPr>
          <w:rFonts w:eastAsia="Times New Roman"/>
          <w:sz w:val="20"/>
          <w:szCs w:val="22"/>
        </w:rPr>
        <w:t xml:space="preserve">: Self-insurance is a dummy variable that equals 1 if the company self-insures for that year; otherwise it equals 0. Tobin’s Q is used as a proxy for firm value and is calculated as ([Market value of equity + Book value of liabilities]/Book value of assets). Total assets is the book value of total assets as reported in Compustat. Size is measured as the natural log of book value of total assets. ROA measures accounting performance and is equal to net income divided by total assets. Leverage is equal to the ratio of book value of long-term debt divided by market value of equity. Inv_growth is computed as capital expenditure divided by total assets. Dividend dummy equals 1 if the company paid out dividend for that year; and equals 0 otherwise. Headquarter dummy equals 1 if the owner of the manufacturer is headquartered in California; otherwise it equals 0. Subsector dummy takes the value of 1 if the firm is </w:t>
      </w:r>
      <w:r w:rsidRPr="00F324E0">
        <w:rPr>
          <w:color w:val="000000"/>
          <w:sz w:val="20"/>
          <w:szCs w:val="20"/>
        </w:rPr>
        <w:t xml:space="preserve">affiliated with the production of wood, paper, beverage, and petroleum products. Opacity is measured as the ratio of intangible assets to total assets. Slack is computed as cash and short-term investment divided by total assets. Complexity dummy takes the value of 1 if </w:t>
      </w:r>
      <w:r w:rsidRPr="00F324E0">
        <w:rPr>
          <w:sz w:val="20"/>
          <w:szCs w:val="20"/>
        </w:rPr>
        <w:t xml:space="preserve">a firm has a SIC or NAICS code beyond manufacturing sector (NAICS 31-33 or SIC 20-39); otherwise it equals 0. </w:t>
      </w:r>
      <w:r w:rsidRPr="00F324E0">
        <w:rPr>
          <w:rFonts w:eastAsia="Times New Roman"/>
          <w:sz w:val="20"/>
          <w:szCs w:val="22"/>
        </w:rPr>
        <w:t xml:space="preserve">P-value is based on a t-test on difference in means. </w:t>
      </w:r>
    </w:p>
    <w:p w14:paraId="71C85866" w14:textId="77777777" w:rsidR="00F324E0" w:rsidRPr="00F324E0" w:rsidRDefault="00F324E0" w:rsidP="00F324E0">
      <w:pPr>
        <w:jc w:val="center"/>
        <w:rPr>
          <w:b/>
        </w:rPr>
        <w:sectPr w:rsidR="00F324E0" w:rsidRPr="00F324E0" w:rsidSect="00C41BD4">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p>
    <w:p w14:paraId="2DF42948" w14:textId="77777777" w:rsidR="00F324E0" w:rsidRPr="00F324E0" w:rsidRDefault="00F324E0" w:rsidP="00F324E0">
      <w:pPr>
        <w:jc w:val="center"/>
        <w:rPr>
          <w:b/>
        </w:rPr>
      </w:pPr>
    </w:p>
    <w:p w14:paraId="0AE07C1C" w14:textId="77777777" w:rsidR="00F324E0" w:rsidRPr="00F324E0" w:rsidRDefault="00F324E0" w:rsidP="00F324E0">
      <w:pPr>
        <w:jc w:val="center"/>
        <w:rPr>
          <w:b/>
        </w:rPr>
      </w:pPr>
      <w:r w:rsidRPr="00F324E0">
        <w:rPr>
          <w:b/>
        </w:rPr>
        <w:t xml:space="preserve">Table 4 </w:t>
      </w:r>
    </w:p>
    <w:p w14:paraId="6106068D" w14:textId="77777777" w:rsidR="00F324E0" w:rsidRPr="00F324E0" w:rsidRDefault="00F324E0" w:rsidP="00F324E0">
      <w:pPr>
        <w:jc w:val="center"/>
        <w:rPr>
          <w:b/>
        </w:rPr>
      </w:pPr>
      <w:r w:rsidRPr="00F324E0">
        <w:rPr>
          <w:b/>
        </w:rPr>
        <w:t>Pearson Correlation Matrix</w:t>
      </w:r>
    </w:p>
    <w:p w14:paraId="3F363AE5" w14:textId="77777777" w:rsidR="00F324E0" w:rsidRPr="00F324E0" w:rsidRDefault="00F324E0" w:rsidP="00F324E0"/>
    <w:p w14:paraId="1E7E3DB5" w14:textId="77777777" w:rsidR="00F324E0" w:rsidRPr="00F324E0" w:rsidRDefault="00F324E0" w:rsidP="00F324E0"/>
    <w:p w14:paraId="6C120C69" w14:textId="77777777" w:rsidR="00F324E0" w:rsidRPr="00F324E0" w:rsidRDefault="00F324E0" w:rsidP="00F324E0"/>
    <w:bookmarkStart w:id="3" w:name="_MON_1544548033"/>
    <w:bookmarkEnd w:id="3"/>
    <w:p w14:paraId="0B73192D" w14:textId="77777777" w:rsidR="00F324E0" w:rsidRPr="00F324E0" w:rsidRDefault="00F324E0" w:rsidP="00F324E0">
      <w:r w:rsidRPr="00F324E0">
        <w:object w:dxaOrig="16379" w:dyaOrig="4146" w14:anchorId="6D6D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92.75pt" o:ole="">
            <v:imagedata r:id="rId15" o:title=""/>
            <o:lock v:ext="edit" aspectratio="f"/>
          </v:shape>
          <o:OLEObject Type="Embed" ProgID="Excel.Sheet.12" ShapeID="_x0000_i1025" DrawAspect="Content" ObjectID="_1560234541" r:id="rId16"/>
        </w:object>
      </w:r>
    </w:p>
    <w:p w14:paraId="59997EBB" w14:textId="77777777" w:rsidR="00F324E0" w:rsidRPr="00F324E0" w:rsidRDefault="00F324E0" w:rsidP="00F324E0"/>
    <w:p w14:paraId="709FAC4A" w14:textId="77777777" w:rsidR="00F324E0" w:rsidRPr="00F324E0" w:rsidRDefault="00F324E0" w:rsidP="00F324E0">
      <w:pPr>
        <w:autoSpaceDE w:val="0"/>
        <w:autoSpaceDN w:val="0"/>
        <w:adjustRightInd w:val="0"/>
        <w:ind w:left="180"/>
        <w:contextualSpacing/>
      </w:pPr>
      <w:r w:rsidRPr="00F324E0">
        <w:rPr>
          <w:rFonts w:eastAsia="Times New Roman"/>
          <w:i/>
          <w:sz w:val="20"/>
          <w:szCs w:val="22"/>
        </w:rPr>
        <w:t>Notes</w:t>
      </w:r>
      <w:r w:rsidRPr="00F324E0">
        <w:rPr>
          <w:rFonts w:eastAsia="Times New Roman"/>
          <w:sz w:val="20"/>
          <w:szCs w:val="22"/>
        </w:rPr>
        <w:t xml:space="preserve">: Tobin’s Q is used as a proxy for firm value and is calculated as ([Market value of equity + Book value of liabilities]/Book value of assets). Self-insurance is a dummy variable that equals 1 if the company self-insures for that year; otherwise it equals 0. Size is measured as the natural log of book value of total assets. ROA measures accounting performance and is equal to net income divided by total assets. Leverage is equal to the ratio of book value of long-term debt divided by market value of equity. Inv_growth is computed as capital expenditure divided by total assets. Dividend dummy equals 1 if the company paid out dividend for that year; and equals 0 otherwise. Headquarter dummy equals 1 if the owner of the manufacturer is headquartered in California; otherwise it equals 0. Subsector dummy takes the value of 1 if the firm is </w:t>
      </w:r>
      <w:r w:rsidRPr="00F324E0">
        <w:rPr>
          <w:color w:val="000000"/>
          <w:sz w:val="20"/>
          <w:szCs w:val="20"/>
        </w:rPr>
        <w:t xml:space="preserve">affiliated with the production of wood, paper, beverage, and petroleum products. Opacity is measured as the ratio of intangible assets to total assets. Slack is computed as cash and short-term investment divided by total assets. Complexity dummy takes the value of 1 if </w:t>
      </w:r>
      <w:r w:rsidRPr="00F324E0">
        <w:rPr>
          <w:sz w:val="20"/>
          <w:szCs w:val="20"/>
        </w:rPr>
        <w:t xml:space="preserve">a firm has a SIC or NAICS code beyond manufacturing sector (NAICS 31-33 or SIC 20-39); otherwise it equals 0. </w:t>
      </w:r>
      <w:r w:rsidRPr="00F324E0">
        <w:rPr>
          <w:sz w:val="20"/>
        </w:rPr>
        <w:t xml:space="preserve">* denotes significance at the 5% or lower. The number of observations for each variable is the same as in Table 2. </w:t>
      </w:r>
    </w:p>
    <w:p w14:paraId="38A1835A" w14:textId="77777777" w:rsidR="00F324E0" w:rsidRPr="00F324E0" w:rsidRDefault="00F324E0" w:rsidP="00F324E0">
      <w:pPr>
        <w:spacing w:after="200" w:line="276" w:lineRule="auto"/>
        <w:rPr>
          <w:b/>
        </w:rPr>
        <w:sectPr w:rsidR="00F324E0" w:rsidRPr="00F324E0" w:rsidSect="00567A5D">
          <w:pgSz w:w="15840" w:h="12240" w:orient="landscape"/>
          <w:pgMar w:top="1440" w:right="1440" w:bottom="1440" w:left="1440" w:header="720" w:footer="720" w:gutter="0"/>
          <w:cols w:space="720"/>
          <w:docGrid w:linePitch="360"/>
        </w:sectPr>
      </w:pPr>
      <w:r w:rsidRPr="00F324E0">
        <w:rPr>
          <w:b/>
        </w:rPr>
        <w:br w:type="page"/>
      </w:r>
    </w:p>
    <w:p w14:paraId="2738DFE6" w14:textId="77777777" w:rsidR="00F324E0" w:rsidRPr="00F324E0" w:rsidRDefault="00F324E0" w:rsidP="00F324E0">
      <w:pPr>
        <w:autoSpaceDE w:val="0"/>
        <w:autoSpaceDN w:val="0"/>
        <w:adjustRightInd w:val="0"/>
        <w:jc w:val="center"/>
        <w:rPr>
          <w:b/>
        </w:rPr>
      </w:pPr>
      <w:r w:rsidRPr="00F324E0">
        <w:rPr>
          <w:b/>
        </w:rPr>
        <w:lastRenderedPageBreak/>
        <w:t>Table 5</w:t>
      </w:r>
    </w:p>
    <w:p w14:paraId="4BF249FA" w14:textId="77777777" w:rsidR="00F324E0" w:rsidRPr="00F324E0" w:rsidRDefault="00F324E0" w:rsidP="00F324E0">
      <w:pPr>
        <w:autoSpaceDE w:val="0"/>
        <w:autoSpaceDN w:val="0"/>
        <w:adjustRightInd w:val="0"/>
        <w:jc w:val="center"/>
        <w:rPr>
          <w:b/>
        </w:rPr>
      </w:pPr>
      <w:r w:rsidRPr="00F324E0">
        <w:rPr>
          <w:b/>
        </w:rPr>
        <w:t>Full Sample Maximum-Likelihood Treatment Effects Estimates (1970</w:t>
      </w:r>
      <w:r w:rsidRPr="00F324E0">
        <w:t>–</w:t>
      </w:r>
      <w:r w:rsidRPr="00F324E0">
        <w:rPr>
          <w:b/>
        </w:rPr>
        <w:t>2015)</w:t>
      </w:r>
    </w:p>
    <w:p w14:paraId="290CEA57" w14:textId="77777777" w:rsidR="00F324E0" w:rsidRPr="00F324E0" w:rsidRDefault="00F324E0" w:rsidP="00F324E0">
      <w:pPr>
        <w:autoSpaceDE w:val="0"/>
        <w:autoSpaceDN w:val="0"/>
        <w:adjustRightInd w:val="0"/>
        <w:jc w:val="center"/>
        <w:rPr>
          <w:b/>
        </w:rPr>
      </w:pPr>
    </w:p>
    <w:tbl>
      <w:tblPr>
        <w:tblStyle w:val="LightShading"/>
        <w:tblW w:w="0" w:type="auto"/>
        <w:jc w:val="center"/>
        <w:tblLook w:val="04A0" w:firstRow="1" w:lastRow="0" w:firstColumn="1" w:lastColumn="0" w:noHBand="0" w:noVBand="1"/>
      </w:tblPr>
      <w:tblGrid>
        <w:gridCol w:w="3830"/>
        <w:gridCol w:w="3058"/>
        <w:gridCol w:w="2640"/>
      </w:tblGrid>
      <w:tr w:rsidR="00F324E0" w:rsidRPr="00F324E0" w14:paraId="54D0CE62" w14:textId="77777777" w:rsidTr="00B103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86E25F" w14:textId="77777777" w:rsidR="00F324E0" w:rsidRPr="00F324E0" w:rsidRDefault="00F324E0" w:rsidP="00F324E0">
            <w:pPr>
              <w:autoSpaceDE w:val="0"/>
              <w:autoSpaceDN w:val="0"/>
              <w:adjustRightInd w:val="0"/>
              <w:spacing w:line="360" w:lineRule="auto"/>
            </w:pPr>
          </w:p>
        </w:tc>
        <w:tc>
          <w:tcPr>
            <w:tcW w:w="3058" w:type="dxa"/>
            <w:vAlign w:val="center"/>
          </w:tcPr>
          <w:p w14:paraId="24A73D64"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Self-insurance (Equation 2)</w:t>
            </w:r>
          </w:p>
        </w:tc>
        <w:tc>
          <w:tcPr>
            <w:tcW w:w="2640" w:type="dxa"/>
            <w:vAlign w:val="center"/>
          </w:tcPr>
          <w:p w14:paraId="3EEAE7F1"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Q (Equation 1)</w:t>
            </w:r>
          </w:p>
        </w:tc>
      </w:tr>
      <w:tr w:rsidR="00F324E0" w:rsidRPr="00F324E0" w14:paraId="5EB2BEE4"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698A6A87" w14:textId="77777777" w:rsidR="00F324E0" w:rsidRPr="00F324E0" w:rsidRDefault="00F324E0" w:rsidP="00F324E0">
            <w:pPr>
              <w:autoSpaceDE w:val="0"/>
              <w:autoSpaceDN w:val="0"/>
              <w:adjustRightInd w:val="0"/>
            </w:pPr>
            <w:r w:rsidRPr="00F324E0">
              <w:t>Self-insurance</w:t>
            </w:r>
          </w:p>
        </w:tc>
        <w:tc>
          <w:tcPr>
            <w:tcW w:w="3058" w:type="dxa"/>
          </w:tcPr>
          <w:p w14:paraId="7E25B094"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c>
          <w:tcPr>
            <w:tcW w:w="2640" w:type="dxa"/>
          </w:tcPr>
          <w:p w14:paraId="06F4216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-0.7755 (0.6200)</w:t>
            </w:r>
          </w:p>
        </w:tc>
      </w:tr>
      <w:tr w:rsidR="00F324E0" w:rsidRPr="00F324E0" w14:paraId="72EEB0A9"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A521370" w14:textId="77777777" w:rsidR="00F324E0" w:rsidRPr="00F324E0" w:rsidRDefault="00F324E0" w:rsidP="00F324E0">
            <w:pPr>
              <w:autoSpaceDE w:val="0"/>
              <w:autoSpaceDN w:val="0"/>
              <w:adjustRightInd w:val="0"/>
            </w:pPr>
            <w:r w:rsidRPr="00F324E0">
              <w:t>Size</w:t>
            </w:r>
          </w:p>
        </w:tc>
        <w:tc>
          <w:tcPr>
            <w:tcW w:w="3058" w:type="dxa"/>
          </w:tcPr>
          <w:p w14:paraId="09C064A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0.3784 (0.0931)***</w:t>
            </w:r>
          </w:p>
        </w:tc>
        <w:tc>
          <w:tcPr>
            <w:tcW w:w="2640" w:type="dxa"/>
          </w:tcPr>
          <w:p w14:paraId="34E2915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-0.1866(0.0962)*</w:t>
            </w:r>
          </w:p>
        </w:tc>
      </w:tr>
      <w:tr w:rsidR="00F324E0" w:rsidRPr="00F324E0" w14:paraId="0A9FDA97"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9FC3F7A" w14:textId="77777777" w:rsidR="00F324E0" w:rsidRPr="00F324E0" w:rsidRDefault="00F324E0" w:rsidP="00F324E0">
            <w:pPr>
              <w:autoSpaceDE w:val="0"/>
              <w:autoSpaceDN w:val="0"/>
              <w:adjustRightInd w:val="0"/>
            </w:pPr>
            <w:r w:rsidRPr="00F324E0">
              <w:t>ROA</w:t>
            </w:r>
          </w:p>
        </w:tc>
        <w:tc>
          <w:tcPr>
            <w:tcW w:w="3058" w:type="dxa"/>
          </w:tcPr>
          <w:p w14:paraId="6D1BFD5D"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c>
          <w:tcPr>
            <w:tcW w:w="2640" w:type="dxa"/>
          </w:tcPr>
          <w:p w14:paraId="65D3D504"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7.4797 (1.6533)***</w:t>
            </w:r>
          </w:p>
        </w:tc>
      </w:tr>
      <w:tr w:rsidR="00F324E0" w:rsidRPr="00F324E0" w14:paraId="7EE177EC"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3191880E" w14:textId="77777777" w:rsidR="00F324E0" w:rsidRPr="00F324E0" w:rsidRDefault="00F324E0" w:rsidP="00F324E0">
            <w:pPr>
              <w:autoSpaceDE w:val="0"/>
              <w:autoSpaceDN w:val="0"/>
              <w:adjustRightInd w:val="0"/>
            </w:pPr>
            <w:r w:rsidRPr="00F324E0">
              <w:t>Investment growth</w:t>
            </w:r>
          </w:p>
        </w:tc>
        <w:tc>
          <w:tcPr>
            <w:tcW w:w="3058" w:type="dxa"/>
          </w:tcPr>
          <w:p w14:paraId="371D5994"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p>
        </w:tc>
        <w:tc>
          <w:tcPr>
            <w:tcW w:w="2640" w:type="dxa"/>
          </w:tcPr>
          <w:p w14:paraId="7C024A1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3.4327 (2.7107)</w:t>
            </w:r>
          </w:p>
        </w:tc>
      </w:tr>
      <w:tr w:rsidR="00F324E0" w:rsidRPr="00F324E0" w14:paraId="4ACFB0B4"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AC286A8" w14:textId="77777777" w:rsidR="00F324E0" w:rsidRPr="00F324E0" w:rsidRDefault="00F324E0" w:rsidP="00F324E0">
            <w:pPr>
              <w:autoSpaceDE w:val="0"/>
              <w:autoSpaceDN w:val="0"/>
              <w:adjustRightInd w:val="0"/>
            </w:pPr>
            <w:r w:rsidRPr="00F324E0">
              <w:t>Leverage</w:t>
            </w:r>
          </w:p>
        </w:tc>
        <w:tc>
          <w:tcPr>
            <w:tcW w:w="3058" w:type="dxa"/>
          </w:tcPr>
          <w:p w14:paraId="03B4A07E"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c>
          <w:tcPr>
            <w:tcW w:w="2640" w:type="dxa"/>
          </w:tcPr>
          <w:p w14:paraId="437DC3DC"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-0.0751 (0.0456)*</w:t>
            </w:r>
          </w:p>
        </w:tc>
      </w:tr>
      <w:tr w:rsidR="00F324E0" w:rsidRPr="00F324E0" w14:paraId="413CB803"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1CBAC4CE" w14:textId="77777777" w:rsidR="00F324E0" w:rsidRPr="00F324E0" w:rsidRDefault="00F324E0" w:rsidP="00F324E0">
            <w:pPr>
              <w:autoSpaceDE w:val="0"/>
              <w:autoSpaceDN w:val="0"/>
              <w:adjustRightInd w:val="0"/>
            </w:pPr>
            <w:r w:rsidRPr="00F324E0">
              <w:t>Dividends</w:t>
            </w:r>
          </w:p>
        </w:tc>
        <w:tc>
          <w:tcPr>
            <w:tcW w:w="3058" w:type="dxa"/>
          </w:tcPr>
          <w:p w14:paraId="441CDD64"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p>
        </w:tc>
        <w:tc>
          <w:tcPr>
            <w:tcW w:w="2640" w:type="dxa"/>
          </w:tcPr>
          <w:p w14:paraId="226614E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-0.6393 (0.3081)**</w:t>
            </w:r>
          </w:p>
        </w:tc>
      </w:tr>
      <w:tr w:rsidR="00F324E0" w:rsidRPr="00F324E0" w14:paraId="104A95A2"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516C199D" w14:textId="77777777" w:rsidR="00F324E0" w:rsidRPr="00F324E0" w:rsidRDefault="00F324E0" w:rsidP="00F324E0">
            <w:pPr>
              <w:autoSpaceDE w:val="0"/>
              <w:autoSpaceDN w:val="0"/>
              <w:adjustRightInd w:val="0"/>
            </w:pPr>
            <w:r w:rsidRPr="00F324E0">
              <w:t>Complexity</w:t>
            </w:r>
          </w:p>
        </w:tc>
        <w:tc>
          <w:tcPr>
            <w:tcW w:w="3058" w:type="dxa"/>
          </w:tcPr>
          <w:p w14:paraId="3B1F83A9"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c>
          <w:tcPr>
            <w:tcW w:w="2640" w:type="dxa"/>
          </w:tcPr>
          <w:p w14:paraId="430ACC40"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-0.7931 (0.3355)**</w:t>
            </w:r>
          </w:p>
        </w:tc>
      </w:tr>
      <w:tr w:rsidR="00F324E0" w:rsidRPr="00F324E0" w14:paraId="35F5A7B1"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185B2E49" w14:textId="77777777" w:rsidR="00F324E0" w:rsidRPr="00F324E0" w:rsidRDefault="00F324E0" w:rsidP="00F324E0">
            <w:pPr>
              <w:autoSpaceDE w:val="0"/>
              <w:autoSpaceDN w:val="0"/>
              <w:adjustRightInd w:val="0"/>
            </w:pPr>
            <w:r w:rsidRPr="00F324E0">
              <w:t>Headquarter</w:t>
            </w:r>
          </w:p>
        </w:tc>
        <w:tc>
          <w:tcPr>
            <w:tcW w:w="3058" w:type="dxa"/>
          </w:tcPr>
          <w:p w14:paraId="7D0B767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0.6768 (0.3743)*</w:t>
            </w:r>
          </w:p>
        </w:tc>
        <w:tc>
          <w:tcPr>
            <w:tcW w:w="2640" w:type="dxa"/>
          </w:tcPr>
          <w:p w14:paraId="3BCCAC2A"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p>
        </w:tc>
      </w:tr>
      <w:tr w:rsidR="00F324E0" w:rsidRPr="00F324E0" w14:paraId="5097EB94"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C2F0260" w14:textId="77777777" w:rsidR="00F324E0" w:rsidRPr="00F324E0" w:rsidRDefault="00F324E0" w:rsidP="00F324E0">
            <w:pPr>
              <w:autoSpaceDE w:val="0"/>
              <w:autoSpaceDN w:val="0"/>
              <w:adjustRightInd w:val="0"/>
            </w:pPr>
            <w:r w:rsidRPr="00F324E0">
              <w:t>Opacity</w:t>
            </w:r>
          </w:p>
        </w:tc>
        <w:tc>
          <w:tcPr>
            <w:tcW w:w="3058" w:type="dxa"/>
          </w:tcPr>
          <w:p w14:paraId="227AE4E2"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r w:rsidRPr="00F324E0">
              <w:t>-1.9216 (0.6282)***</w:t>
            </w:r>
          </w:p>
        </w:tc>
        <w:tc>
          <w:tcPr>
            <w:tcW w:w="2640" w:type="dxa"/>
          </w:tcPr>
          <w:p w14:paraId="5FAB7AEE"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r>
      <w:tr w:rsidR="00F324E0" w:rsidRPr="00F324E0" w14:paraId="06150B4E"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6F3574EA" w14:textId="77777777" w:rsidR="00F324E0" w:rsidRPr="00F324E0" w:rsidRDefault="00F324E0" w:rsidP="00F324E0">
            <w:pPr>
              <w:autoSpaceDE w:val="0"/>
              <w:autoSpaceDN w:val="0"/>
              <w:adjustRightInd w:val="0"/>
            </w:pPr>
            <w:r w:rsidRPr="00F324E0">
              <w:t>Slack</w:t>
            </w:r>
          </w:p>
        </w:tc>
        <w:tc>
          <w:tcPr>
            <w:tcW w:w="3058" w:type="dxa"/>
          </w:tcPr>
          <w:p w14:paraId="70D32147"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F324E0">
              <w:t>-4.1047 (1.0978)***</w:t>
            </w:r>
          </w:p>
        </w:tc>
        <w:tc>
          <w:tcPr>
            <w:tcW w:w="2640" w:type="dxa"/>
          </w:tcPr>
          <w:p w14:paraId="6EB08CC3"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p>
        </w:tc>
      </w:tr>
      <w:tr w:rsidR="00F324E0" w:rsidRPr="00F324E0" w14:paraId="6780DBE9"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05F698D" w14:textId="77777777" w:rsidR="00F324E0" w:rsidRPr="00F324E0" w:rsidRDefault="00F324E0" w:rsidP="00F324E0">
            <w:pPr>
              <w:autoSpaceDE w:val="0"/>
              <w:autoSpaceDN w:val="0"/>
              <w:adjustRightInd w:val="0"/>
            </w:pPr>
            <w:r w:rsidRPr="00F324E0">
              <w:t>Subsector</w:t>
            </w:r>
          </w:p>
        </w:tc>
        <w:tc>
          <w:tcPr>
            <w:tcW w:w="3058" w:type="dxa"/>
          </w:tcPr>
          <w:p w14:paraId="17614B99"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r w:rsidRPr="00F324E0">
              <w:t>1.1620 (0.6737)*</w:t>
            </w:r>
          </w:p>
        </w:tc>
        <w:tc>
          <w:tcPr>
            <w:tcW w:w="2640" w:type="dxa"/>
          </w:tcPr>
          <w:p w14:paraId="0A9DEC59"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p>
        </w:tc>
      </w:tr>
      <w:tr w:rsidR="00F324E0" w:rsidRPr="00F324E0" w14:paraId="1CC4438D"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558161B8" w14:textId="77777777" w:rsidR="00F324E0" w:rsidRPr="00F324E0" w:rsidRDefault="00F324E0" w:rsidP="00F324E0">
            <w:pPr>
              <w:autoSpaceDE w:val="0"/>
              <w:autoSpaceDN w:val="0"/>
              <w:adjustRightInd w:val="0"/>
            </w:pPr>
            <w:r w:rsidRPr="00F324E0">
              <w:t>Constant</w:t>
            </w:r>
          </w:p>
        </w:tc>
        <w:tc>
          <w:tcPr>
            <w:tcW w:w="3058" w:type="dxa"/>
          </w:tcPr>
          <w:p w14:paraId="5F8EB525"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F324E0">
              <w:t>-3.3828 (0.8861)***</w:t>
            </w:r>
          </w:p>
        </w:tc>
        <w:tc>
          <w:tcPr>
            <w:tcW w:w="2640" w:type="dxa"/>
          </w:tcPr>
          <w:p w14:paraId="00C83C77"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F324E0">
              <w:t>3.9991 (0.8744)***</w:t>
            </w:r>
          </w:p>
        </w:tc>
      </w:tr>
      <w:tr w:rsidR="00F324E0" w:rsidRPr="00F324E0" w14:paraId="23D4C8DA"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3060330B" w14:textId="77777777" w:rsidR="00F324E0" w:rsidRPr="00F324E0" w:rsidRDefault="00F324E0" w:rsidP="00F324E0">
            <w:pPr>
              <w:autoSpaceDE w:val="0"/>
              <w:autoSpaceDN w:val="0"/>
              <w:adjustRightInd w:val="0"/>
            </w:pPr>
            <w:r w:rsidRPr="00F324E0">
              <w:t>No. of observations</w:t>
            </w:r>
          </w:p>
        </w:tc>
        <w:tc>
          <w:tcPr>
            <w:tcW w:w="5698" w:type="dxa"/>
            <w:gridSpan w:val="2"/>
          </w:tcPr>
          <w:p w14:paraId="75930286"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r w:rsidRPr="00F324E0">
              <w:t>2030</w:t>
            </w:r>
          </w:p>
        </w:tc>
      </w:tr>
      <w:tr w:rsidR="00F324E0" w:rsidRPr="00F324E0" w14:paraId="43263C87"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352A204C" w14:textId="77777777" w:rsidR="00F324E0" w:rsidRPr="00F324E0" w:rsidRDefault="00F324E0" w:rsidP="00F324E0">
            <w:pPr>
              <w:autoSpaceDE w:val="0"/>
              <w:autoSpaceDN w:val="0"/>
              <w:adjustRightInd w:val="0"/>
            </w:pPr>
            <w:r w:rsidRPr="00F324E0">
              <w:t>No. of clusters</w:t>
            </w:r>
          </w:p>
        </w:tc>
        <w:tc>
          <w:tcPr>
            <w:tcW w:w="5698" w:type="dxa"/>
            <w:gridSpan w:val="2"/>
          </w:tcPr>
          <w:p w14:paraId="2C25D9EE"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F324E0">
              <w:t>66</w:t>
            </w:r>
          </w:p>
        </w:tc>
      </w:tr>
      <w:tr w:rsidR="00F324E0" w:rsidRPr="00F324E0" w14:paraId="5FAFD43D" w14:textId="77777777" w:rsidTr="00B103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CECE24F" w14:textId="77777777" w:rsidR="00F324E0" w:rsidRPr="00F324E0" w:rsidRDefault="00F324E0" w:rsidP="00F324E0">
            <w:pPr>
              <w:autoSpaceDE w:val="0"/>
              <w:autoSpaceDN w:val="0"/>
              <w:adjustRightInd w:val="0"/>
            </w:pPr>
            <w:r w:rsidRPr="00F324E0">
              <w:t>Log pseudolikelihood</w:t>
            </w:r>
          </w:p>
        </w:tc>
        <w:tc>
          <w:tcPr>
            <w:tcW w:w="5698" w:type="dxa"/>
            <w:gridSpan w:val="2"/>
          </w:tcPr>
          <w:p w14:paraId="16B2AD52" w14:textId="77777777" w:rsidR="00F324E0" w:rsidRPr="00F324E0" w:rsidRDefault="00F324E0" w:rsidP="00F324E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pPr>
            <w:r w:rsidRPr="00F324E0">
              <w:t>-5361</w:t>
            </w:r>
          </w:p>
        </w:tc>
      </w:tr>
      <w:tr w:rsidR="00F324E0" w:rsidRPr="00F324E0" w14:paraId="0501159B" w14:textId="77777777" w:rsidTr="00B103CC">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6E23DD" w14:textId="77777777" w:rsidR="00F324E0" w:rsidRPr="00F324E0" w:rsidRDefault="00F324E0" w:rsidP="00F324E0">
            <w:pPr>
              <w:autoSpaceDE w:val="0"/>
              <w:autoSpaceDN w:val="0"/>
              <w:adjustRightInd w:val="0"/>
            </w:pPr>
            <w:r w:rsidRPr="00F324E0">
              <w:t>Wald test of independent equations</w:t>
            </w:r>
          </w:p>
        </w:tc>
        <w:tc>
          <w:tcPr>
            <w:tcW w:w="5698" w:type="dxa"/>
            <w:gridSpan w:val="2"/>
          </w:tcPr>
          <w:p w14:paraId="5762D137" w14:textId="77777777" w:rsidR="00F324E0" w:rsidRPr="00F324E0" w:rsidRDefault="00F324E0" w:rsidP="00F324E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F324E0">
              <w:t>2.16</w:t>
            </w:r>
          </w:p>
        </w:tc>
      </w:tr>
    </w:tbl>
    <w:p w14:paraId="15A6A0FF" w14:textId="77777777" w:rsidR="00F324E0" w:rsidRPr="00F324E0" w:rsidRDefault="00F324E0" w:rsidP="00F324E0">
      <w:pPr>
        <w:autoSpaceDE w:val="0"/>
        <w:autoSpaceDN w:val="0"/>
        <w:adjustRightInd w:val="0"/>
        <w:jc w:val="both"/>
        <w:rPr>
          <w:rFonts w:eastAsia="Times New Roman"/>
          <w:i/>
          <w:sz w:val="20"/>
          <w:szCs w:val="22"/>
        </w:rPr>
      </w:pPr>
    </w:p>
    <w:p w14:paraId="347B0744" w14:textId="77777777" w:rsidR="00F324E0" w:rsidRPr="00F324E0" w:rsidRDefault="00F324E0" w:rsidP="00F324E0">
      <w:pPr>
        <w:autoSpaceDE w:val="0"/>
        <w:autoSpaceDN w:val="0"/>
        <w:adjustRightInd w:val="0"/>
        <w:jc w:val="both"/>
      </w:pPr>
      <w:r w:rsidRPr="00F324E0">
        <w:rPr>
          <w:rFonts w:eastAsia="Times New Roman"/>
          <w:i/>
          <w:sz w:val="20"/>
          <w:szCs w:val="22"/>
        </w:rPr>
        <w:t>Notes</w:t>
      </w:r>
      <w:r w:rsidRPr="00F324E0">
        <w:rPr>
          <w:rFonts w:eastAsia="Times New Roman"/>
          <w:sz w:val="20"/>
          <w:szCs w:val="22"/>
        </w:rPr>
        <w:t xml:space="preserve">: We analyze the data using a maximum-likelihood treatment effects model that simultaneously estimate the determinants of Q and the determinants of self-insurance. Tobin’s Q is used as a proxy for firm value and is calculated as ([Market value of equity + Book value of liabilities]/Book value of assets). Self-insurance is a dummy variable that equals 1 if the company self-insures for that year; otherwise it equals 0. Size is measured as the natural log of book value of total assets. ROA measures accounting performance and is equal to net income divided by total assets. Leverage is equal to the ratio of book value of long-term debt divided by market value of equity. Inv_growth is computed as capital expenditure divided by total assets. Dividend dummy equals 1 if the company paid out dividend for that year; and equals 0 otherwise. Headquarter dummy equals 1 if the owner of the manufacturer is headquartered in California; otherwise it equals 0. Subsector dummy takes the value of 1 if the firm is </w:t>
      </w:r>
      <w:r w:rsidRPr="00F324E0">
        <w:rPr>
          <w:color w:val="000000"/>
          <w:sz w:val="20"/>
          <w:szCs w:val="20"/>
        </w:rPr>
        <w:t xml:space="preserve">affiliated with the production of wood, paper, beverage, and petroleum products. Opacity is measured as the ratio of intangible assets to total assets. Slack is computed as cash and short-term investment divided by total assets. Complexity dummy takes the value of 1 if </w:t>
      </w:r>
      <w:r w:rsidRPr="00F324E0">
        <w:rPr>
          <w:sz w:val="20"/>
          <w:szCs w:val="20"/>
        </w:rPr>
        <w:t xml:space="preserve">a firm has a SIC or NAICS code beyond manufacturing sector (NAICS 31-33 or SIC 20-39); otherwise it equals 0. </w:t>
      </w:r>
      <w:r w:rsidRPr="00F324E0">
        <w:rPr>
          <w:rFonts w:eastAsia="Times New Roman"/>
          <w:sz w:val="20"/>
          <w:szCs w:val="22"/>
        </w:rPr>
        <w:t>Year dummies for 1970-2015 are included in Equation 1 but are not reported. Standard errors are adjusted for firm-level clustering, and reported in the parentheses. ***, ** and * denote statistical significance at the 1%, 5% and 10% levels, respectively.</w:t>
      </w:r>
    </w:p>
    <w:p w14:paraId="6ED2911E" w14:textId="77777777" w:rsidR="00F324E0" w:rsidRPr="00F324E0" w:rsidRDefault="00F324E0" w:rsidP="00F324E0">
      <w:pPr>
        <w:jc w:val="center"/>
        <w:rPr>
          <w:b/>
        </w:rPr>
      </w:pPr>
      <w:r w:rsidRPr="00F324E0">
        <w:br w:type="page"/>
      </w:r>
      <w:r w:rsidRPr="00F324E0">
        <w:rPr>
          <w:b/>
        </w:rPr>
        <w:lastRenderedPageBreak/>
        <w:t>Table 6</w:t>
      </w:r>
    </w:p>
    <w:p w14:paraId="1F162ECD" w14:textId="77777777" w:rsidR="00F324E0" w:rsidRPr="00F324E0" w:rsidRDefault="00F324E0" w:rsidP="00F324E0">
      <w:pPr>
        <w:autoSpaceDE w:val="0"/>
        <w:autoSpaceDN w:val="0"/>
        <w:adjustRightInd w:val="0"/>
        <w:jc w:val="center"/>
        <w:rPr>
          <w:b/>
        </w:rPr>
      </w:pPr>
      <w:r w:rsidRPr="00F324E0">
        <w:rPr>
          <w:b/>
        </w:rPr>
        <w:t>Maximum-Likelihood Treatment Effects Estimates (Varying Sample Periods)</w:t>
      </w:r>
    </w:p>
    <w:p w14:paraId="310E2E8A" w14:textId="77777777" w:rsidR="00F324E0" w:rsidRPr="00F324E0" w:rsidRDefault="00F324E0" w:rsidP="00F324E0">
      <w:pPr>
        <w:autoSpaceDE w:val="0"/>
        <w:autoSpaceDN w:val="0"/>
        <w:adjustRightInd w:val="0"/>
        <w:jc w:val="center"/>
        <w:rPr>
          <w:b/>
        </w:rPr>
      </w:pPr>
    </w:p>
    <w:tbl>
      <w:tblPr>
        <w:tblStyle w:val="LightShading"/>
        <w:tblW w:w="0" w:type="auto"/>
        <w:tblLook w:val="04A0" w:firstRow="1" w:lastRow="0" w:firstColumn="1" w:lastColumn="0" w:noHBand="0" w:noVBand="1"/>
      </w:tblPr>
      <w:tblGrid>
        <w:gridCol w:w="2448"/>
        <w:gridCol w:w="1782"/>
        <w:gridCol w:w="1782"/>
        <w:gridCol w:w="1782"/>
        <w:gridCol w:w="1782"/>
      </w:tblGrid>
      <w:tr w:rsidR="00F324E0" w:rsidRPr="00F324E0" w14:paraId="7EA6E2EC" w14:textId="77777777" w:rsidTr="00B10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81C233A" w14:textId="77777777" w:rsidR="00F324E0" w:rsidRPr="00F324E0" w:rsidRDefault="00F324E0" w:rsidP="00F324E0">
            <w:pPr>
              <w:autoSpaceDE w:val="0"/>
              <w:autoSpaceDN w:val="0"/>
              <w:adjustRightInd w:val="0"/>
            </w:pPr>
            <w:r w:rsidRPr="00F324E0">
              <w:t>Panel A: Q Equation Results</w:t>
            </w:r>
          </w:p>
        </w:tc>
        <w:tc>
          <w:tcPr>
            <w:tcW w:w="1782" w:type="dxa"/>
          </w:tcPr>
          <w:p w14:paraId="3A80194D"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1970–1983</w:t>
            </w:r>
          </w:p>
        </w:tc>
        <w:tc>
          <w:tcPr>
            <w:tcW w:w="1782" w:type="dxa"/>
          </w:tcPr>
          <w:p w14:paraId="5F575F69"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1984–1985</w:t>
            </w:r>
          </w:p>
        </w:tc>
        <w:tc>
          <w:tcPr>
            <w:tcW w:w="1782" w:type="dxa"/>
          </w:tcPr>
          <w:p w14:paraId="35F42114"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1986–1999</w:t>
            </w:r>
          </w:p>
        </w:tc>
        <w:tc>
          <w:tcPr>
            <w:tcW w:w="1782" w:type="dxa"/>
          </w:tcPr>
          <w:p w14:paraId="71A5BF40"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2000–2015</w:t>
            </w:r>
          </w:p>
        </w:tc>
      </w:tr>
      <w:tr w:rsidR="00F324E0" w:rsidRPr="00F324E0" w14:paraId="243B5580"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35C6E7E" w14:textId="77777777" w:rsidR="00F324E0" w:rsidRPr="00F324E0" w:rsidRDefault="00F324E0" w:rsidP="00F324E0">
            <w:pPr>
              <w:autoSpaceDE w:val="0"/>
              <w:autoSpaceDN w:val="0"/>
              <w:adjustRightInd w:val="0"/>
              <w:spacing w:line="360" w:lineRule="auto"/>
            </w:pPr>
            <w:r w:rsidRPr="00F324E0">
              <w:t>Self-insurance</w:t>
            </w:r>
          </w:p>
        </w:tc>
        <w:tc>
          <w:tcPr>
            <w:tcW w:w="1782" w:type="dxa"/>
          </w:tcPr>
          <w:p w14:paraId="6C07D43A"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1.9029</w:t>
            </w:r>
          </w:p>
          <w:p w14:paraId="0365A9F6"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(0.3913)***</w:t>
            </w:r>
          </w:p>
        </w:tc>
        <w:tc>
          <w:tcPr>
            <w:tcW w:w="1782" w:type="dxa"/>
          </w:tcPr>
          <w:p w14:paraId="6E3603A1"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-0.5988</w:t>
            </w:r>
          </w:p>
          <w:p w14:paraId="29361959"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(0.4120)</w:t>
            </w:r>
          </w:p>
        </w:tc>
        <w:tc>
          <w:tcPr>
            <w:tcW w:w="1782" w:type="dxa"/>
          </w:tcPr>
          <w:p w14:paraId="1B772781"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4.0229</w:t>
            </w:r>
          </w:p>
          <w:p w14:paraId="45332DDF"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(0.7091)***</w:t>
            </w:r>
          </w:p>
        </w:tc>
        <w:tc>
          <w:tcPr>
            <w:tcW w:w="1782" w:type="dxa"/>
          </w:tcPr>
          <w:p w14:paraId="57738BB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-1.0942</w:t>
            </w:r>
          </w:p>
          <w:p w14:paraId="06C3E52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(0.4795)**</w:t>
            </w:r>
          </w:p>
        </w:tc>
      </w:tr>
      <w:tr w:rsidR="00F324E0" w:rsidRPr="00F324E0" w14:paraId="1856D107"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134BCFCB" w14:textId="77777777" w:rsidR="00F324E0" w:rsidRPr="00F324E0" w:rsidRDefault="00F324E0" w:rsidP="00F324E0">
            <w:pPr>
              <w:autoSpaceDE w:val="0"/>
              <w:autoSpaceDN w:val="0"/>
              <w:adjustRightInd w:val="0"/>
              <w:spacing w:line="360" w:lineRule="auto"/>
            </w:pPr>
            <w:r w:rsidRPr="00F324E0">
              <w:t>Size</w:t>
            </w:r>
          </w:p>
        </w:tc>
        <w:tc>
          <w:tcPr>
            <w:tcW w:w="1782" w:type="dxa"/>
          </w:tcPr>
          <w:p w14:paraId="5E6F4C60"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-0.4487</w:t>
            </w:r>
          </w:p>
          <w:p w14:paraId="6ED1F07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(0.1361)***</w:t>
            </w:r>
          </w:p>
        </w:tc>
        <w:tc>
          <w:tcPr>
            <w:tcW w:w="1782" w:type="dxa"/>
          </w:tcPr>
          <w:p w14:paraId="0702ED29"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0.0821</w:t>
            </w:r>
          </w:p>
          <w:p w14:paraId="1650EEF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(0.1035)</w:t>
            </w:r>
          </w:p>
        </w:tc>
        <w:tc>
          <w:tcPr>
            <w:tcW w:w="1782" w:type="dxa"/>
          </w:tcPr>
          <w:p w14:paraId="39EC9F53"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-0.7001</w:t>
            </w:r>
          </w:p>
          <w:p w14:paraId="45A8F6F6"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(0.2378)***</w:t>
            </w:r>
          </w:p>
        </w:tc>
        <w:tc>
          <w:tcPr>
            <w:tcW w:w="1782" w:type="dxa"/>
          </w:tcPr>
          <w:p w14:paraId="7E1723F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-0.1444</w:t>
            </w:r>
          </w:p>
          <w:p w14:paraId="58CBAA73"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(0.1093)</w:t>
            </w:r>
          </w:p>
        </w:tc>
      </w:tr>
      <w:tr w:rsidR="00F324E0" w:rsidRPr="00F324E0" w14:paraId="48626C4E"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59DA573" w14:textId="77777777" w:rsidR="00F324E0" w:rsidRPr="00F324E0" w:rsidRDefault="00F324E0" w:rsidP="00F324E0">
            <w:pPr>
              <w:autoSpaceDE w:val="0"/>
              <w:autoSpaceDN w:val="0"/>
              <w:adjustRightInd w:val="0"/>
              <w:spacing w:line="360" w:lineRule="auto"/>
            </w:pPr>
            <w:r w:rsidRPr="00F324E0">
              <w:t>ROA</w:t>
            </w:r>
          </w:p>
        </w:tc>
        <w:tc>
          <w:tcPr>
            <w:tcW w:w="1782" w:type="dxa"/>
          </w:tcPr>
          <w:p w14:paraId="1BE1178D"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8.2308</w:t>
            </w:r>
          </w:p>
          <w:p w14:paraId="25514FD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(1.7309)***</w:t>
            </w:r>
          </w:p>
        </w:tc>
        <w:tc>
          <w:tcPr>
            <w:tcW w:w="1782" w:type="dxa"/>
          </w:tcPr>
          <w:p w14:paraId="3B70E03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0.6845</w:t>
            </w:r>
          </w:p>
          <w:p w14:paraId="74569A82"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(1.2568)</w:t>
            </w:r>
          </w:p>
        </w:tc>
        <w:tc>
          <w:tcPr>
            <w:tcW w:w="1782" w:type="dxa"/>
          </w:tcPr>
          <w:p w14:paraId="39726915"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15.5497</w:t>
            </w:r>
          </w:p>
          <w:p w14:paraId="75362E35"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(3.1294)***</w:t>
            </w:r>
          </w:p>
        </w:tc>
        <w:tc>
          <w:tcPr>
            <w:tcW w:w="1782" w:type="dxa"/>
          </w:tcPr>
          <w:p w14:paraId="3A979074"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4.9383</w:t>
            </w:r>
          </w:p>
          <w:p w14:paraId="638D8CE0"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(1.4771)***</w:t>
            </w:r>
          </w:p>
        </w:tc>
      </w:tr>
      <w:tr w:rsidR="00F324E0" w:rsidRPr="00F324E0" w14:paraId="59AB8F0E"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02E1BAA4" w14:textId="77777777" w:rsidR="00F324E0" w:rsidRPr="00F324E0" w:rsidRDefault="00F324E0" w:rsidP="00F324E0">
            <w:pPr>
              <w:autoSpaceDE w:val="0"/>
              <w:autoSpaceDN w:val="0"/>
              <w:adjustRightInd w:val="0"/>
              <w:spacing w:line="360" w:lineRule="auto"/>
            </w:pPr>
            <w:r w:rsidRPr="00F324E0">
              <w:t>Investment growth</w:t>
            </w:r>
          </w:p>
        </w:tc>
        <w:tc>
          <w:tcPr>
            <w:tcW w:w="1782" w:type="dxa"/>
          </w:tcPr>
          <w:p w14:paraId="28C1D1F0"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0.9966</w:t>
            </w:r>
          </w:p>
          <w:p w14:paraId="2E9FAC0C"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(1.9156)</w:t>
            </w:r>
          </w:p>
        </w:tc>
        <w:tc>
          <w:tcPr>
            <w:tcW w:w="1782" w:type="dxa"/>
          </w:tcPr>
          <w:p w14:paraId="3E981A42"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2.1742</w:t>
            </w:r>
          </w:p>
          <w:p w14:paraId="6C341DE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(1.2723)*</w:t>
            </w:r>
          </w:p>
        </w:tc>
        <w:tc>
          <w:tcPr>
            <w:tcW w:w="1782" w:type="dxa"/>
          </w:tcPr>
          <w:p w14:paraId="266C3582"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-5.4481</w:t>
            </w:r>
          </w:p>
          <w:p w14:paraId="204D892E"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(3.6416)</w:t>
            </w:r>
          </w:p>
        </w:tc>
        <w:tc>
          <w:tcPr>
            <w:tcW w:w="1782" w:type="dxa"/>
          </w:tcPr>
          <w:p w14:paraId="5994721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8.5756</w:t>
            </w:r>
          </w:p>
          <w:p w14:paraId="2EE9C80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(5.4987)</w:t>
            </w:r>
          </w:p>
        </w:tc>
      </w:tr>
      <w:tr w:rsidR="00F324E0" w:rsidRPr="00F324E0" w14:paraId="703A983D"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59BF61D" w14:textId="77777777" w:rsidR="00F324E0" w:rsidRPr="00F324E0" w:rsidRDefault="00F324E0" w:rsidP="00F324E0">
            <w:pPr>
              <w:autoSpaceDE w:val="0"/>
              <w:autoSpaceDN w:val="0"/>
              <w:adjustRightInd w:val="0"/>
              <w:spacing w:line="360" w:lineRule="auto"/>
            </w:pPr>
            <w:r w:rsidRPr="00F324E0">
              <w:t>Leverage</w:t>
            </w:r>
          </w:p>
        </w:tc>
        <w:tc>
          <w:tcPr>
            <w:tcW w:w="1782" w:type="dxa"/>
          </w:tcPr>
          <w:p w14:paraId="6B3D6AD5"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-0.0246</w:t>
            </w:r>
          </w:p>
          <w:p w14:paraId="2E38655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(0.0286)</w:t>
            </w:r>
          </w:p>
        </w:tc>
        <w:tc>
          <w:tcPr>
            <w:tcW w:w="1782" w:type="dxa"/>
          </w:tcPr>
          <w:p w14:paraId="44948D1A"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-0.5105</w:t>
            </w:r>
          </w:p>
          <w:p w14:paraId="11F5F7C3"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(0.1365)***</w:t>
            </w:r>
          </w:p>
        </w:tc>
        <w:tc>
          <w:tcPr>
            <w:tcW w:w="1782" w:type="dxa"/>
          </w:tcPr>
          <w:p w14:paraId="242EBB19"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-0.7991</w:t>
            </w:r>
          </w:p>
          <w:p w14:paraId="2FCC7DF5"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(0.3775)**</w:t>
            </w:r>
          </w:p>
        </w:tc>
        <w:tc>
          <w:tcPr>
            <w:tcW w:w="1782" w:type="dxa"/>
          </w:tcPr>
          <w:p w14:paraId="5308EB9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-0.2809</w:t>
            </w:r>
          </w:p>
          <w:p w14:paraId="18437DB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(0.2109)</w:t>
            </w:r>
          </w:p>
        </w:tc>
      </w:tr>
      <w:tr w:rsidR="00F324E0" w:rsidRPr="00F324E0" w14:paraId="1DEC0993"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12EF564C" w14:textId="77777777" w:rsidR="00F324E0" w:rsidRPr="00F324E0" w:rsidRDefault="00F324E0" w:rsidP="00F324E0">
            <w:pPr>
              <w:autoSpaceDE w:val="0"/>
              <w:autoSpaceDN w:val="0"/>
              <w:adjustRightInd w:val="0"/>
              <w:spacing w:line="360" w:lineRule="auto"/>
            </w:pPr>
            <w:r w:rsidRPr="00F324E0">
              <w:t>Dividends</w:t>
            </w:r>
          </w:p>
        </w:tc>
        <w:tc>
          <w:tcPr>
            <w:tcW w:w="1782" w:type="dxa"/>
          </w:tcPr>
          <w:p w14:paraId="02CE5816"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-0.1702</w:t>
            </w:r>
          </w:p>
          <w:p w14:paraId="4115F97E"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(0.3594)</w:t>
            </w:r>
          </w:p>
        </w:tc>
        <w:tc>
          <w:tcPr>
            <w:tcW w:w="1782" w:type="dxa"/>
          </w:tcPr>
          <w:p w14:paraId="031124C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-0.8211</w:t>
            </w:r>
          </w:p>
          <w:p w14:paraId="43BCB425"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(0.5185)</w:t>
            </w:r>
          </w:p>
        </w:tc>
        <w:tc>
          <w:tcPr>
            <w:tcW w:w="1782" w:type="dxa"/>
          </w:tcPr>
          <w:p w14:paraId="3957BEB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-0.9153</w:t>
            </w:r>
          </w:p>
          <w:p w14:paraId="763C6A10"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(0.5310)*</w:t>
            </w:r>
          </w:p>
        </w:tc>
        <w:tc>
          <w:tcPr>
            <w:tcW w:w="1782" w:type="dxa"/>
          </w:tcPr>
          <w:p w14:paraId="06BDE41F"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-0.3931</w:t>
            </w:r>
          </w:p>
          <w:p w14:paraId="3DE539ED"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(0.2777)</w:t>
            </w:r>
          </w:p>
        </w:tc>
      </w:tr>
      <w:tr w:rsidR="00F324E0" w:rsidRPr="00F324E0" w14:paraId="3A4178B7"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3380307" w14:textId="77777777" w:rsidR="00F324E0" w:rsidRPr="00F324E0" w:rsidRDefault="00F324E0" w:rsidP="00F324E0">
            <w:pPr>
              <w:autoSpaceDE w:val="0"/>
              <w:autoSpaceDN w:val="0"/>
              <w:adjustRightInd w:val="0"/>
              <w:spacing w:line="360" w:lineRule="auto"/>
            </w:pPr>
            <w:r w:rsidRPr="00F324E0">
              <w:t>Complexity</w:t>
            </w:r>
          </w:p>
        </w:tc>
        <w:tc>
          <w:tcPr>
            <w:tcW w:w="1782" w:type="dxa"/>
          </w:tcPr>
          <w:p w14:paraId="16D8E6F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1A21F0F2"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82" w:type="dxa"/>
          </w:tcPr>
          <w:p w14:paraId="23254284"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82" w:type="dxa"/>
          </w:tcPr>
          <w:p w14:paraId="67758A2F"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0.1683</w:t>
            </w:r>
          </w:p>
          <w:p w14:paraId="23430AD0"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(0.5544)</w:t>
            </w:r>
          </w:p>
        </w:tc>
        <w:tc>
          <w:tcPr>
            <w:tcW w:w="1782" w:type="dxa"/>
          </w:tcPr>
          <w:p w14:paraId="5E0289F4"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-0.6648</w:t>
            </w:r>
          </w:p>
          <w:p w14:paraId="22733EE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(0.4446)</w:t>
            </w:r>
          </w:p>
        </w:tc>
      </w:tr>
      <w:tr w:rsidR="00F324E0" w:rsidRPr="00F324E0" w14:paraId="299F6A55"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7CC0D8EC" w14:textId="77777777" w:rsidR="00F324E0" w:rsidRPr="00F324E0" w:rsidRDefault="00F324E0" w:rsidP="00F324E0">
            <w:pPr>
              <w:autoSpaceDE w:val="0"/>
              <w:autoSpaceDN w:val="0"/>
              <w:adjustRightInd w:val="0"/>
              <w:spacing w:line="360" w:lineRule="auto"/>
            </w:pPr>
            <w:r w:rsidRPr="00F324E0">
              <w:t>Constant</w:t>
            </w:r>
          </w:p>
        </w:tc>
        <w:tc>
          <w:tcPr>
            <w:tcW w:w="1782" w:type="dxa"/>
          </w:tcPr>
          <w:p w14:paraId="0D4ECAC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3.8752</w:t>
            </w:r>
          </w:p>
          <w:p w14:paraId="22C5DD4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(0.8680)***</w:t>
            </w:r>
          </w:p>
        </w:tc>
        <w:tc>
          <w:tcPr>
            <w:tcW w:w="1782" w:type="dxa"/>
          </w:tcPr>
          <w:p w14:paraId="1BC6D459"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1.6215</w:t>
            </w:r>
          </w:p>
          <w:p w14:paraId="35CD0EDC"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(0.5301)***</w:t>
            </w:r>
          </w:p>
        </w:tc>
        <w:tc>
          <w:tcPr>
            <w:tcW w:w="1782" w:type="dxa"/>
          </w:tcPr>
          <w:p w14:paraId="16BFCE10"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9.4848</w:t>
            </w:r>
          </w:p>
          <w:p w14:paraId="575101DF"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(2.2485)***</w:t>
            </w:r>
          </w:p>
        </w:tc>
        <w:tc>
          <w:tcPr>
            <w:tcW w:w="1782" w:type="dxa"/>
          </w:tcPr>
          <w:p w14:paraId="59C19B7B"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3.5853</w:t>
            </w:r>
          </w:p>
          <w:p w14:paraId="7376A4DB"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(1.0061)***</w:t>
            </w:r>
          </w:p>
        </w:tc>
      </w:tr>
      <w:tr w:rsidR="00F324E0" w:rsidRPr="00F324E0" w14:paraId="555331B6"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3BF139F" w14:textId="77777777" w:rsidR="00F324E0" w:rsidRPr="00F324E0" w:rsidRDefault="00F324E0" w:rsidP="00F324E0">
            <w:pPr>
              <w:autoSpaceDE w:val="0"/>
              <w:autoSpaceDN w:val="0"/>
              <w:adjustRightInd w:val="0"/>
              <w:spacing w:line="360" w:lineRule="auto"/>
            </w:pPr>
            <w:r w:rsidRPr="00F324E0">
              <w:t>Observations</w:t>
            </w:r>
          </w:p>
        </w:tc>
        <w:tc>
          <w:tcPr>
            <w:tcW w:w="1782" w:type="dxa"/>
          </w:tcPr>
          <w:p w14:paraId="3460A550"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439</w:t>
            </w:r>
          </w:p>
        </w:tc>
        <w:tc>
          <w:tcPr>
            <w:tcW w:w="1782" w:type="dxa"/>
          </w:tcPr>
          <w:p w14:paraId="7AB2ACC6"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68</w:t>
            </w:r>
          </w:p>
        </w:tc>
        <w:tc>
          <w:tcPr>
            <w:tcW w:w="1782" w:type="dxa"/>
          </w:tcPr>
          <w:p w14:paraId="339B296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539</w:t>
            </w:r>
          </w:p>
        </w:tc>
        <w:tc>
          <w:tcPr>
            <w:tcW w:w="1782" w:type="dxa"/>
          </w:tcPr>
          <w:p w14:paraId="62904FD3"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984</w:t>
            </w:r>
          </w:p>
        </w:tc>
      </w:tr>
    </w:tbl>
    <w:p w14:paraId="73A6E7B5" w14:textId="77777777" w:rsidR="00F324E0" w:rsidRPr="00F324E0" w:rsidRDefault="00F324E0" w:rsidP="00F324E0">
      <w:pPr>
        <w:autoSpaceDE w:val="0"/>
        <w:autoSpaceDN w:val="0"/>
        <w:adjustRightInd w:val="0"/>
        <w:spacing w:line="360" w:lineRule="auto"/>
      </w:pPr>
    </w:p>
    <w:tbl>
      <w:tblPr>
        <w:tblStyle w:val="LightShading"/>
        <w:tblW w:w="0" w:type="auto"/>
        <w:tblLook w:val="04A0" w:firstRow="1" w:lastRow="0" w:firstColumn="1" w:lastColumn="0" w:noHBand="0" w:noVBand="1"/>
      </w:tblPr>
      <w:tblGrid>
        <w:gridCol w:w="2448"/>
        <w:gridCol w:w="1782"/>
        <w:gridCol w:w="1782"/>
        <w:gridCol w:w="1782"/>
        <w:gridCol w:w="1782"/>
      </w:tblGrid>
      <w:tr w:rsidR="00F324E0" w:rsidRPr="00F324E0" w14:paraId="4743B15C" w14:textId="77777777" w:rsidTr="00B10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5140DBA" w14:textId="77777777" w:rsidR="00F324E0" w:rsidRPr="00F324E0" w:rsidRDefault="00F324E0" w:rsidP="00F324E0">
            <w:pPr>
              <w:autoSpaceDE w:val="0"/>
              <w:autoSpaceDN w:val="0"/>
              <w:adjustRightInd w:val="0"/>
            </w:pPr>
            <w:r w:rsidRPr="00F324E0">
              <w:t>Panel B: Self-insurance Equation Results</w:t>
            </w:r>
          </w:p>
        </w:tc>
        <w:tc>
          <w:tcPr>
            <w:tcW w:w="1782" w:type="dxa"/>
          </w:tcPr>
          <w:p w14:paraId="4D5F85E4"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1970-1983</w:t>
            </w:r>
          </w:p>
        </w:tc>
        <w:tc>
          <w:tcPr>
            <w:tcW w:w="1782" w:type="dxa"/>
          </w:tcPr>
          <w:p w14:paraId="64A05631"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1984-1985</w:t>
            </w:r>
          </w:p>
        </w:tc>
        <w:tc>
          <w:tcPr>
            <w:tcW w:w="1782" w:type="dxa"/>
          </w:tcPr>
          <w:p w14:paraId="761771E2"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1986-1999</w:t>
            </w:r>
          </w:p>
        </w:tc>
        <w:tc>
          <w:tcPr>
            <w:tcW w:w="1782" w:type="dxa"/>
          </w:tcPr>
          <w:p w14:paraId="7C78F45E" w14:textId="77777777" w:rsidR="00F324E0" w:rsidRPr="00F324E0" w:rsidRDefault="00F324E0" w:rsidP="00F324E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pPr>
            <w:r w:rsidRPr="00F324E0">
              <w:t>2000-2015</w:t>
            </w:r>
          </w:p>
        </w:tc>
      </w:tr>
      <w:tr w:rsidR="00F324E0" w:rsidRPr="00F324E0" w14:paraId="4988CF5F"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AF7EFF7" w14:textId="77777777" w:rsidR="00F324E0" w:rsidRPr="00F324E0" w:rsidRDefault="00F324E0" w:rsidP="00F324E0">
            <w:pPr>
              <w:autoSpaceDE w:val="0"/>
              <w:autoSpaceDN w:val="0"/>
              <w:adjustRightInd w:val="0"/>
              <w:spacing w:line="360" w:lineRule="auto"/>
            </w:pPr>
            <w:r w:rsidRPr="00F324E0">
              <w:t>Size</w:t>
            </w:r>
          </w:p>
        </w:tc>
        <w:tc>
          <w:tcPr>
            <w:tcW w:w="1782" w:type="dxa"/>
          </w:tcPr>
          <w:p w14:paraId="64BD8C8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0.3892</w:t>
            </w:r>
          </w:p>
          <w:p w14:paraId="56C500EA"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(0.0976)***</w:t>
            </w:r>
          </w:p>
        </w:tc>
        <w:tc>
          <w:tcPr>
            <w:tcW w:w="1782" w:type="dxa"/>
          </w:tcPr>
          <w:p w14:paraId="5EC10419"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0.6548</w:t>
            </w:r>
            <w:r w:rsidRPr="00F324E0">
              <w:br/>
              <w:t>(0.2301)***</w:t>
            </w:r>
          </w:p>
        </w:tc>
        <w:tc>
          <w:tcPr>
            <w:tcW w:w="1782" w:type="dxa"/>
          </w:tcPr>
          <w:p w14:paraId="2DC70CEC"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0.3323</w:t>
            </w:r>
          </w:p>
          <w:p w14:paraId="48478B6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(0.0790)***</w:t>
            </w:r>
          </w:p>
        </w:tc>
        <w:tc>
          <w:tcPr>
            <w:tcW w:w="1782" w:type="dxa"/>
          </w:tcPr>
          <w:p w14:paraId="7BBBEE2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0.3581</w:t>
            </w:r>
          </w:p>
          <w:p w14:paraId="73ACDC35"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(0.1276)***</w:t>
            </w:r>
          </w:p>
        </w:tc>
      </w:tr>
      <w:tr w:rsidR="00F324E0" w:rsidRPr="00F324E0" w14:paraId="6A9A9E25"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20883B91" w14:textId="77777777" w:rsidR="00F324E0" w:rsidRPr="00F324E0" w:rsidRDefault="00F324E0" w:rsidP="00F324E0">
            <w:pPr>
              <w:autoSpaceDE w:val="0"/>
              <w:autoSpaceDN w:val="0"/>
              <w:adjustRightInd w:val="0"/>
              <w:spacing w:line="360" w:lineRule="auto"/>
            </w:pPr>
            <w:r w:rsidRPr="00F324E0">
              <w:t>Headquarter</w:t>
            </w:r>
          </w:p>
        </w:tc>
        <w:tc>
          <w:tcPr>
            <w:tcW w:w="1782" w:type="dxa"/>
          </w:tcPr>
          <w:p w14:paraId="2561EB2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0.4070</w:t>
            </w:r>
          </w:p>
          <w:p w14:paraId="38877AA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(0.1916)**</w:t>
            </w:r>
          </w:p>
        </w:tc>
        <w:tc>
          <w:tcPr>
            <w:tcW w:w="1782" w:type="dxa"/>
          </w:tcPr>
          <w:p w14:paraId="4079550D"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0.7229</w:t>
            </w:r>
          </w:p>
          <w:p w14:paraId="09C09B4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(1.1876)</w:t>
            </w:r>
          </w:p>
        </w:tc>
        <w:tc>
          <w:tcPr>
            <w:tcW w:w="1782" w:type="dxa"/>
          </w:tcPr>
          <w:p w14:paraId="3D11DE8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0.1175</w:t>
            </w:r>
          </w:p>
          <w:p w14:paraId="7193359D"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(0.1370)</w:t>
            </w:r>
          </w:p>
        </w:tc>
        <w:tc>
          <w:tcPr>
            <w:tcW w:w="1782" w:type="dxa"/>
          </w:tcPr>
          <w:p w14:paraId="377CADF0"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0.8071</w:t>
            </w:r>
          </w:p>
          <w:p w14:paraId="4529AB3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(0.3982)**</w:t>
            </w:r>
          </w:p>
        </w:tc>
      </w:tr>
      <w:tr w:rsidR="00F324E0" w:rsidRPr="00F324E0" w14:paraId="4C359070"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8B1D59F" w14:textId="77777777" w:rsidR="00F324E0" w:rsidRPr="00F324E0" w:rsidRDefault="00F324E0" w:rsidP="00F324E0">
            <w:pPr>
              <w:autoSpaceDE w:val="0"/>
              <w:autoSpaceDN w:val="0"/>
              <w:adjustRightInd w:val="0"/>
              <w:spacing w:line="360" w:lineRule="auto"/>
            </w:pPr>
            <w:r w:rsidRPr="00F324E0">
              <w:t>Opacity</w:t>
            </w:r>
          </w:p>
        </w:tc>
        <w:tc>
          <w:tcPr>
            <w:tcW w:w="1782" w:type="dxa"/>
          </w:tcPr>
          <w:p w14:paraId="695D08F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-1.7974</w:t>
            </w:r>
          </w:p>
          <w:p w14:paraId="312E6551"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(1.4876)</w:t>
            </w:r>
          </w:p>
        </w:tc>
        <w:tc>
          <w:tcPr>
            <w:tcW w:w="1782" w:type="dxa"/>
          </w:tcPr>
          <w:p w14:paraId="5BF1AFFD"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-0.8681</w:t>
            </w:r>
          </w:p>
          <w:p w14:paraId="61F95566"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(10.5307)</w:t>
            </w:r>
          </w:p>
        </w:tc>
        <w:tc>
          <w:tcPr>
            <w:tcW w:w="1782" w:type="dxa"/>
          </w:tcPr>
          <w:p w14:paraId="354E17C0"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-1.2058</w:t>
            </w:r>
          </w:p>
          <w:p w14:paraId="0FF1F798"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(0.4669)***</w:t>
            </w:r>
          </w:p>
        </w:tc>
        <w:tc>
          <w:tcPr>
            <w:tcW w:w="1782" w:type="dxa"/>
          </w:tcPr>
          <w:p w14:paraId="50B449B3"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-1.8927</w:t>
            </w:r>
          </w:p>
          <w:p w14:paraId="2F7C3CCF"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(0.8216)**</w:t>
            </w:r>
          </w:p>
        </w:tc>
      </w:tr>
      <w:tr w:rsidR="00F324E0" w:rsidRPr="00F324E0" w14:paraId="67BC82C1"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3DF2FE37" w14:textId="77777777" w:rsidR="00F324E0" w:rsidRPr="00F324E0" w:rsidRDefault="00F324E0" w:rsidP="00F324E0">
            <w:pPr>
              <w:autoSpaceDE w:val="0"/>
              <w:autoSpaceDN w:val="0"/>
              <w:adjustRightInd w:val="0"/>
              <w:spacing w:line="360" w:lineRule="auto"/>
            </w:pPr>
            <w:r w:rsidRPr="00F324E0">
              <w:t>Slack</w:t>
            </w:r>
          </w:p>
        </w:tc>
        <w:tc>
          <w:tcPr>
            <w:tcW w:w="1782" w:type="dxa"/>
          </w:tcPr>
          <w:p w14:paraId="2E0F628B"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0.4183</w:t>
            </w:r>
          </w:p>
          <w:p w14:paraId="1F442AD1"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(0.4056)</w:t>
            </w:r>
          </w:p>
        </w:tc>
        <w:tc>
          <w:tcPr>
            <w:tcW w:w="1782" w:type="dxa"/>
          </w:tcPr>
          <w:p w14:paraId="152B4FDF"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-11.7669</w:t>
            </w:r>
          </w:p>
          <w:p w14:paraId="39A3DD7A"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(4.7955)**</w:t>
            </w:r>
          </w:p>
        </w:tc>
        <w:tc>
          <w:tcPr>
            <w:tcW w:w="1782" w:type="dxa"/>
          </w:tcPr>
          <w:p w14:paraId="5E746563"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-0.0994</w:t>
            </w:r>
          </w:p>
          <w:p w14:paraId="32627F87"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(0.4168)</w:t>
            </w:r>
          </w:p>
        </w:tc>
        <w:tc>
          <w:tcPr>
            <w:tcW w:w="1782" w:type="dxa"/>
          </w:tcPr>
          <w:p w14:paraId="07C31B7D"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-4.8562</w:t>
            </w:r>
          </w:p>
          <w:p w14:paraId="63023BC9"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(1.2188)***</w:t>
            </w:r>
          </w:p>
        </w:tc>
      </w:tr>
      <w:tr w:rsidR="00F324E0" w:rsidRPr="00F324E0" w14:paraId="2DC54098"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5F1262A" w14:textId="77777777" w:rsidR="00F324E0" w:rsidRPr="00F324E0" w:rsidRDefault="00F324E0" w:rsidP="00F324E0">
            <w:pPr>
              <w:autoSpaceDE w:val="0"/>
              <w:autoSpaceDN w:val="0"/>
              <w:adjustRightInd w:val="0"/>
              <w:spacing w:line="360" w:lineRule="auto"/>
            </w:pPr>
            <w:r w:rsidRPr="00F324E0">
              <w:t>Subsector</w:t>
            </w:r>
          </w:p>
        </w:tc>
        <w:tc>
          <w:tcPr>
            <w:tcW w:w="1782" w:type="dxa"/>
          </w:tcPr>
          <w:p w14:paraId="4F52035B"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0.7416</w:t>
            </w:r>
          </w:p>
          <w:p w14:paraId="18579BB1"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(0.3235)**</w:t>
            </w:r>
          </w:p>
        </w:tc>
        <w:tc>
          <w:tcPr>
            <w:tcW w:w="1782" w:type="dxa"/>
          </w:tcPr>
          <w:p w14:paraId="73FCA2C6"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0.6316</w:t>
            </w:r>
          </w:p>
          <w:p w14:paraId="3DFD7F1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(0.5204)</w:t>
            </w:r>
          </w:p>
        </w:tc>
        <w:tc>
          <w:tcPr>
            <w:tcW w:w="1782" w:type="dxa"/>
          </w:tcPr>
          <w:p w14:paraId="41016441"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0.6300</w:t>
            </w:r>
          </w:p>
          <w:p w14:paraId="6D6FF5B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(0.2994)**</w:t>
            </w:r>
          </w:p>
        </w:tc>
        <w:tc>
          <w:tcPr>
            <w:tcW w:w="1782" w:type="dxa"/>
          </w:tcPr>
          <w:p w14:paraId="7B32611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0.7900</w:t>
            </w:r>
          </w:p>
          <w:p w14:paraId="56C3BA0C"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(0.7055)</w:t>
            </w:r>
          </w:p>
        </w:tc>
      </w:tr>
      <w:tr w:rsidR="00F324E0" w:rsidRPr="00F324E0" w14:paraId="30C4B591" w14:textId="77777777" w:rsidTr="00B103CC">
        <w:tc>
          <w:tcPr>
            <w:cnfStyle w:val="001000000000" w:firstRow="0" w:lastRow="0" w:firstColumn="1" w:lastColumn="0" w:oddVBand="0" w:evenVBand="0" w:oddHBand="0" w:evenHBand="0" w:firstRowFirstColumn="0" w:firstRowLastColumn="0" w:lastRowFirstColumn="0" w:lastRowLastColumn="0"/>
            <w:tcW w:w="2448" w:type="dxa"/>
          </w:tcPr>
          <w:p w14:paraId="034BBFB8" w14:textId="77777777" w:rsidR="00F324E0" w:rsidRPr="00F324E0" w:rsidRDefault="00F324E0" w:rsidP="00F324E0">
            <w:pPr>
              <w:autoSpaceDE w:val="0"/>
              <w:autoSpaceDN w:val="0"/>
              <w:adjustRightInd w:val="0"/>
              <w:spacing w:line="360" w:lineRule="auto"/>
            </w:pPr>
            <w:r w:rsidRPr="00F324E0">
              <w:t>Constant</w:t>
            </w:r>
          </w:p>
        </w:tc>
        <w:tc>
          <w:tcPr>
            <w:tcW w:w="1782" w:type="dxa"/>
          </w:tcPr>
          <w:p w14:paraId="0C06A7AD"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-3.3608</w:t>
            </w:r>
          </w:p>
          <w:p w14:paraId="765B434E"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(0.7898)***</w:t>
            </w:r>
          </w:p>
        </w:tc>
        <w:tc>
          <w:tcPr>
            <w:tcW w:w="1782" w:type="dxa"/>
          </w:tcPr>
          <w:p w14:paraId="263205A8"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-4.9647</w:t>
            </w:r>
          </w:p>
          <w:p w14:paraId="680FD22C"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(1.9592)**</w:t>
            </w:r>
          </w:p>
        </w:tc>
        <w:tc>
          <w:tcPr>
            <w:tcW w:w="1782" w:type="dxa"/>
          </w:tcPr>
          <w:p w14:paraId="41FEE183"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-3.1175</w:t>
            </w:r>
          </w:p>
          <w:p w14:paraId="6A1E3E45"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(0.6746)***</w:t>
            </w:r>
          </w:p>
        </w:tc>
        <w:tc>
          <w:tcPr>
            <w:tcW w:w="1782" w:type="dxa"/>
          </w:tcPr>
          <w:p w14:paraId="2547DB8C"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-3.1420</w:t>
            </w:r>
          </w:p>
          <w:p w14:paraId="50BE54B6" w14:textId="77777777" w:rsidR="00F324E0" w:rsidRPr="00F324E0" w:rsidRDefault="00F324E0" w:rsidP="00F324E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324E0">
              <w:t>(1.3614)**</w:t>
            </w:r>
          </w:p>
        </w:tc>
      </w:tr>
      <w:tr w:rsidR="00F324E0" w:rsidRPr="00F324E0" w14:paraId="1A937F79" w14:textId="77777777" w:rsidTr="00B1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576414A" w14:textId="77777777" w:rsidR="00F324E0" w:rsidRPr="00F324E0" w:rsidRDefault="00F324E0" w:rsidP="00F324E0">
            <w:pPr>
              <w:autoSpaceDE w:val="0"/>
              <w:autoSpaceDN w:val="0"/>
              <w:adjustRightInd w:val="0"/>
              <w:spacing w:line="360" w:lineRule="auto"/>
            </w:pPr>
            <w:r w:rsidRPr="00F324E0">
              <w:t>Observations</w:t>
            </w:r>
          </w:p>
        </w:tc>
        <w:tc>
          <w:tcPr>
            <w:tcW w:w="1782" w:type="dxa"/>
          </w:tcPr>
          <w:p w14:paraId="24B35D8C"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439</w:t>
            </w:r>
          </w:p>
        </w:tc>
        <w:tc>
          <w:tcPr>
            <w:tcW w:w="1782" w:type="dxa"/>
          </w:tcPr>
          <w:p w14:paraId="1018770A"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68</w:t>
            </w:r>
          </w:p>
        </w:tc>
        <w:tc>
          <w:tcPr>
            <w:tcW w:w="1782" w:type="dxa"/>
          </w:tcPr>
          <w:p w14:paraId="159B706F"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539</w:t>
            </w:r>
          </w:p>
        </w:tc>
        <w:tc>
          <w:tcPr>
            <w:tcW w:w="1782" w:type="dxa"/>
          </w:tcPr>
          <w:p w14:paraId="073515D7" w14:textId="77777777" w:rsidR="00F324E0" w:rsidRPr="00F324E0" w:rsidRDefault="00F324E0" w:rsidP="00F324E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324E0">
              <w:t>984</w:t>
            </w:r>
          </w:p>
        </w:tc>
      </w:tr>
    </w:tbl>
    <w:p w14:paraId="278DF86F" w14:textId="77777777" w:rsidR="00F324E0" w:rsidRPr="00F324E0" w:rsidRDefault="00F324E0" w:rsidP="00F324E0">
      <w:pPr>
        <w:autoSpaceDE w:val="0"/>
        <w:autoSpaceDN w:val="0"/>
        <w:adjustRightInd w:val="0"/>
        <w:spacing w:line="360" w:lineRule="auto"/>
        <w:rPr>
          <w:rFonts w:eastAsia="Times New Roman"/>
          <w:b/>
          <w:bCs/>
          <w:color w:val="FF0000"/>
          <w:sz w:val="22"/>
          <w:szCs w:val="22"/>
        </w:rPr>
      </w:pPr>
    </w:p>
    <w:p w14:paraId="0C808C00" w14:textId="77777777" w:rsidR="00F324E0" w:rsidRPr="00F324E0" w:rsidRDefault="00F324E0" w:rsidP="00F324E0">
      <w:pPr>
        <w:autoSpaceDE w:val="0"/>
        <w:autoSpaceDN w:val="0"/>
        <w:adjustRightInd w:val="0"/>
        <w:jc w:val="both"/>
      </w:pPr>
      <w:r w:rsidRPr="00F324E0">
        <w:rPr>
          <w:rFonts w:eastAsia="Times New Roman"/>
          <w:b/>
          <w:bCs/>
          <w:sz w:val="20"/>
          <w:szCs w:val="20"/>
        </w:rPr>
        <w:t xml:space="preserve">Notes: </w:t>
      </w:r>
      <w:r w:rsidRPr="00F324E0">
        <w:rPr>
          <w:rFonts w:eastAsia="Times New Roman"/>
          <w:bCs/>
          <w:sz w:val="20"/>
          <w:szCs w:val="20"/>
        </w:rPr>
        <w:t xml:space="preserve">In Panel A, the dependent variable is Tobin’s Q. In Panel B, the dependent variable is self-insurance. </w:t>
      </w:r>
      <w:r w:rsidRPr="00F324E0">
        <w:rPr>
          <w:rFonts w:eastAsia="Times New Roman"/>
          <w:sz w:val="20"/>
          <w:szCs w:val="22"/>
        </w:rPr>
        <w:t xml:space="preserve">Tobin’s Q is used as a proxy for firm value and is calculated as ([Market value of equity + Book value of liabilities]/Book value of assets). Self-insurance is a dummy variable that equals 1 if the company self-insures for that year; otherwise it equals 0. Size is measured as the natural log of book value of total assets. ROA measures accounting performance and is equal to net income divided by total assets. Leverage is equal to the ratio of book value of long-term debt </w:t>
      </w:r>
      <w:r w:rsidRPr="00F324E0">
        <w:rPr>
          <w:rFonts w:eastAsia="Times New Roman"/>
          <w:sz w:val="20"/>
          <w:szCs w:val="22"/>
        </w:rPr>
        <w:lastRenderedPageBreak/>
        <w:t xml:space="preserve">divided by market value of equity. Inv_growth is computed as capital expenditure divided by total assets. Dividend dummy equals 1 if the company paid out dividend for that year; and equals 0 otherwise. Headquarter dummy equals 1 if the owner of the manufacturer is headquartered in California; otherwise it equals 0. Subsector dummy takes the value of 1 if the firm is </w:t>
      </w:r>
      <w:r w:rsidRPr="00F324E0">
        <w:rPr>
          <w:color w:val="000000"/>
          <w:sz w:val="20"/>
          <w:szCs w:val="20"/>
        </w:rPr>
        <w:t xml:space="preserve">affiliated with the production of wood, paper, beverage, and petroleum products. Opacity is measured as the ratio of intangible assets to total assets. Slack is computed as cash and short-term investment divided by total assets. Complexity dummy takes the value of 1 if </w:t>
      </w:r>
      <w:r w:rsidRPr="00F324E0">
        <w:rPr>
          <w:sz w:val="20"/>
          <w:szCs w:val="20"/>
        </w:rPr>
        <w:t xml:space="preserve">a firm has a SIC or NAICS code beyond manufacturing sector (NAICS 31-33 or SIC 20-39); otherwise it equals 0. </w:t>
      </w:r>
      <w:r w:rsidRPr="00F324E0">
        <w:rPr>
          <w:rFonts w:eastAsia="Times New Roman"/>
          <w:bCs/>
          <w:sz w:val="20"/>
          <w:szCs w:val="20"/>
        </w:rPr>
        <w:t xml:space="preserve">Year dummies are included in Q equation regression but not reported. Complexity is omitted in 1970-83 and 1984-85 regressions due to collinearity. Standard errors are adjusted for firm-level clustering and appear in brackets below each coefficient estimate. </w:t>
      </w:r>
      <w:r w:rsidRPr="00F324E0">
        <w:rPr>
          <w:rFonts w:eastAsia="Times New Roman"/>
          <w:sz w:val="20"/>
          <w:szCs w:val="22"/>
        </w:rPr>
        <w:t>***, ** and * denote statistical significance at the 1%, 5% and 10% levels, respectively.</w:t>
      </w:r>
    </w:p>
    <w:p w14:paraId="3A878F07" w14:textId="77777777" w:rsidR="00F324E0" w:rsidRPr="00F324E0" w:rsidRDefault="00F324E0" w:rsidP="00F324E0">
      <w:pPr>
        <w:autoSpaceDE w:val="0"/>
        <w:autoSpaceDN w:val="0"/>
        <w:adjustRightInd w:val="0"/>
        <w:contextualSpacing/>
        <w:rPr>
          <w:rFonts w:eastAsia="Times New Roman"/>
          <w:bCs/>
          <w:sz w:val="20"/>
          <w:szCs w:val="20"/>
        </w:rPr>
      </w:pPr>
    </w:p>
    <w:p w14:paraId="7D86CDC4" w14:textId="77777777" w:rsidR="00F324E0" w:rsidRPr="00F324E0" w:rsidRDefault="00F324E0" w:rsidP="00F324E0"/>
    <w:p w14:paraId="4E48C806" w14:textId="77777777" w:rsidR="00F324E0" w:rsidRDefault="00F324E0" w:rsidP="003C3F80">
      <w:pPr>
        <w:autoSpaceDE w:val="0"/>
        <w:autoSpaceDN w:val="0"/>
        <w:adjustRightInd w:val="0"/>
        <w:spacing w:line="360" w:lineRule="auto"/>
        <w:rPr>
          <w:rFonts w:eastAsia="Times New Roman"/>
          <w:b/>
          <w:bCs/>
          <w:color w:val="FF0000"/>
          <w:sz w:val="22"/>
          <w:szCs w:val="22"/>
        </w:rPr>
      </w:pPr>
    </w:p>
    <w:sectPr w:rsidR="00F324E0" w:rsidSect="00FD4BC3">
      <w:headerReference w:type="default" r:id="rId17"/>
      <w:footerReference w:type="even"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E505" w14:textId="77777777" w:rsidR="00167971" w:rsidRDefault="00167971" w:rsidP="003C3F80">
      <w:r>
        <w:separator/>
      </w:r>
    </w:p>
  </w:endnote>
  <w:endnote w:type="continuationSeparator" w:id="0">
    <w:p w14:paraId="08D42CC0" w14:textId="77777777" w:rsidR="00167971" w:rsidRDefault="00167971" w:rsidP="003C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Univer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D058" w14:textId="77777777" w:rsidR="00F324E0" w:rsidRDefault="00F3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2EA86B" w14:textId="77777777" w:rsidR="00F324E0" w:rsidRDefault="00F324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70876"/>
      <w:docPartObj>
        <w:docPartGallery w:val="Page Numbers (Bottom of Page)"/>
        <w:docPartUnique/>
      </w:docPartObj>
    </w:sdtPr>
    <w:sdtEndPr>
      <w:rPr>
        <w:noProof/>
      </w:rPr>
    </w:sdtEndPr>
    <w:sdtContent>
      <w:p w14:paraId="59128BD2" w14:textId="77777777" w:rsidR="00F324E0" w:rsidRDefault="00F324E0">
        <w:pPr>
          <w:pStyle w:val="Footer"/>
          <w:jc w:val="right"/>
        </w:pPr>
        <w:r>
          <w:fldChar w:fldCharType="begin"/>
        </w:r>
        <w:r>
          <w:instrText xml:space="preserve"> PAGE   \* MERGEFORMAT </w:instrText>
        </w:r>
        <w:r>
          <w:fldChar w:fldCharType="separate"/>
        </w:r>
        <w:r w:rsidR="00587F18">
          <w:rPr>
            <w:noProof/>
          </w:rPr>
          <w:t>16</w:t>
        </w:r>
        <w:r>
          <w:rPr>
            <w:noProof/>
          </w:rPr>
          <w:fldChar w:fldCharType="end"/>
        </w:r>
      </w:p>
    </w:sdtContent>
  </w:sdt>
  <w:p w14:paraId="378ADFF7" w14:textId="77777777" w:rsidR="00F324E0" w:rsidRDefault="00F324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88341"/>
      <w:docPartObj>
        <w:docPartGallery w:val="Page Numbers (Bottom of Page)"/>
        <w:docPartUnique/>
      </w:docPartObj>
    </w:sdtPr>
    <w:sdtEndPr>
      <w:rPr>
        <w:noProof/>
      </w:rPr>
    </w:sdtEndPr>
    <w:sdtContent>
      <w:p w14:paraId="654D0322" w14:textId="77777777" w:rsidR="00F324E0" w:rsidRDefault="00F324E0">
        <w:pPr>
          <w:pStyle w:val="Footer"/>
          <w:jc w:val="right"/>
        </w:pPr>
        <w:r>
          <w:fldChar w:fldCharType="begin"/>
        </w:r>
        <w:r>
          <w:instrText xml:space="preserve"> PAGE   \* MERGEFORMAT </w:instrText>
        </w:r>
        <w:r>
          <w:fldChar w:fldCharType="separate"/>
        </w:r>
        <w:r w:rsidR="00587F18">
          <w:rPr>
            <w:noProof/>
          </w:rPr>
          <w:t>1</w:t>
        </w:r>
        <w:r>
          <w:rPr>
            <w:noProof/>
          </w:rPr>
          <w:fldChar w:fldCharType="end"/>
        </w:r>
      </w:p>
    </w:sdtContent>
  </w:sdt>
  <w:p w14:paraId="567E2164" w14:textId="77777777" w:rsidR="00F324E0" w:rsidRDefault="00F324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E11A" w14:textId="77777777" w:rsidR="00EC4510" w:rsidRDefault="00EC4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4E5B04" w14:textId="77777777" w:rsidR="00EC4510" w:rsidRDefault="00EC451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91791"/>
      <w:docPartObj>
        <w:docPartGallery w:val="Page Numbers (Bottom of Page)"/>
        <w:docPartUnique/>
      </w:docPartObj>
    </w:sdtPr>
    <w:sdtEndPr>
      <w:rPr>
        <w:noProof/>
      </w:rPr>
    </w:sdtEndPr>
    <w:sdtContent>
      <w:p w14:paraId="4D8D5FBC" w14:textId="77777777" w:rsidR="00EC4510" w:rsidRDefault="00EC4510">
        <w:pPr>
          <w:pStyle w:val="Footer"/>
          <w:jc w:val="right"/>
        </w:pPr>
        <w:r>
          <w:fldChar w:fldCharType="begin"/>
        </w:r>
        <w:r>
          <w:instrText xml:space="preserve"> PAGE   \* MERGEFORMAT </w:instrText>
        </w:r>
        <w:r>
          <w:fldChar w:fldCharType="separate"/>
        </w:r>
        <w:r w:rsidR="00587F18">
          <w:rPr>
            <w:noProof/>
          </w:rPr>
          <w:t>19</w:t>
        </w:r>
        <w:r>
          <w:rPr>
            <w:noProof/>
          </w:rPr>
          <w:fldChar w:fldCharType="end"/>
        </w:r>
      </w:p>
    </w:sdtContent>
  </w:sdt>
  <w:p w14:paraId="439E96FF" w14:textId="77777777" w:rsidR="00EC4510" w:rsidRDefault="00EC451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87645"/>
      <w:docPartObj>
        <w:docPartGallery w:val="Page Numbers (Bottom of Page)"/>
        <w:docPartUnique/>
      </w:docPartObj>
    </w:sdtPr>
    <w:sdtEndPr>
      <w:rPr>
        <w:noProof/>
      </w:rPr>
    </w:sdtEndPr>
    <w:sdtContent>
      <w:p w14:paraId="298C9621" w14:textId="77777777" w:rsidR="00EC4510" w:rsidRDefault="00EC4510">
        <w:pPr>
          <w:pStyle w:val="Footer"/>
          <w:jc w:val="right"/>
        </w:pPr>
        <w:r>
          <w:fldChar w:fldCharType="begin"/>
        </w:r>
        <w:r>
          <w:instrText xml:space="preserve"> PAGE   \* MERGEFORMAT </w:instrText>
        </w:r>
        <w:r>
          <w:fldChar w:fldCharType="separate"/>
        </w:r>
        <w:r w:rsidR="00587F18">
          <w:rPr>
            <w:noProof/>
          </w:rPr>
          <w:t>17</w:t>
        </w:r>
        <w:r>
          <w:rPr>
            <w:noProof/>
          </w:rPr>
          <w:fldChar w:fldCharType="end"/>
        </w:r>
      </w:p>
    </w:sdtContent>
  </w:sdt>
  <w:p w14:paraId="116836CC" w14:textId="77777777" w:rsidR="00EC4510" w:rsidRDefault="00EC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9B4A" w14:textId="77777777" w:rsidR="00167971" w:rsidRDefault="00167971" w:rsidP="003C3F80">
      <w:r>
        <w:separator/>
      </w:r>
    </w:p>
  </w:footnote>
  <w:footnote w:type="continuationSeparator" w:id="0">
    <w:p w14:paraId="13E48081" w14:textId="77777777" w:rsidR="00167971" w:rsidRDefault="00167971" w:rsidP="003C3F80">
      <w:r>
        <w:continuationSeparator/>
      </w:r>
    </w:p>
  </w:footnote>
  <w:footnote w:id="1">
    <w:p w14:paraId="2AE8B93D" w14:textId="77777777" w:rsidR="00EC4510" w:rsidRPr="0058473F" w:rsidRDefault="00EC4510" w:rsidP="003C3F80">
      <w:pPr>
        <w:pStyle w:val="FootnoteText"/>
        <w:jc w:val="both"/>
      </w:pPr>
      <w:r w:rsidRPr="0058473F">
        <w:rPr>
          <w:rStyle w:val="FootnoteReference"/>
        </w:rPr>
        <w:footnoteRef/>
      </w:r>
      <w:r w:rsidRPr="0058473F">
        <w:t xml:space="preserve"> In the context of this paper, “market insurance” (or traditional insurance) means insurance purchased from private carriers or state insurance funds. The difference between self-insurance and market insurance has become blurred over the years because self-insurers buy excess insurance for risk beyond what they are prepared to retain and hence do not assume all the risk, and because large deductibles are available that in effect make employers self-insurers for the amount up to the deductible limit. Thus, there is no simple dichotomy between pure self-insurance and pure market insurance when it comes to risk retention. However, discrepancies still exist between self-insurance and market insurance. Each employer’s self-insurance program must be approved by the state authorities. There is no need for such permission if an employer purchases market insurance for WC losses. In addition, under a deductible policy, the insurance company controls claims, while under a self-insurance program, the self-insurer decides how to investigate claims and have better control over the litigation process. The term “risk-financing” is used interchangeably with “risk transfer” throughout this work.</w:t>
      </w:r>
    </w:p>
  </w:footnote>
  <w:footnote w:id="2">
    <w:p w14:paraId="3D17310D" w14:textId="77777777" w:rsidR="00EC4510" w:rsidRPr="0058473F" w:rsidRDefault="00EC4510" w:rsidP="00F44F7B">
      <w:pPr>
        <w:pStyle w:val="FootnoteText"/>
      </w:pPr>
      <w:r w:rsidRPr="0058473F">
        <w:rPr>
          <w:rStyle w:val="FootnoteReference"/>
        </w:rPr>
        <w:footnoteRef/>
      </w:r>
      <w:r w:rsidRPr="0058473F">
        <w:t xml:space="preserve"> </w:t>
      </w:r>
      <w:r w:rsidRPr="0058473F">
        <w:rPr>
          <w:rFonts w:eastAsiaTheme="minorEastAsia"/>
        </w:rPr>
        <w:t xml:space="preserve">Self-insurance Institute of America, </w:t>
      </w:r>
      <w:hyperlink r:id="rId1" w:history="1">
        <w:r w:rsidRPr="0058473F">
          <w:rPr>
            <w:rStyle w:val="Hyperlink"/>
            <w:rFonts w:eastAsiaTheme="minorEastAsia"/>
            <w:i/>
          </w:rPr>
          <w:t>http://www.siia.org/i4a/pages/Index.cfm?pageID=4547</w:t>
        </w:r>
      </w:hyperlink>
      <w:r w:rsidRPr="0058473F">
        <w:rPr>
          <w:rFonts w:eastAsiaTheme="minorEastAsia"/>
        </w:rPr>
        <w:t>.</w:t>
      </w:r>
    </w:p>
  </w:footnote>
  <w:footnote w:id="3">
    <w:p w14:paraId="3DC19C09" w14:textId="77777777" w:rsidR="00EC4510" w:rsidRPr="0058473F" w:rsidRDefault="00EC4510" w:rsidP="002309E2">
      <w:pPr>
        <w:pStyle w:val="FootnoteText"/>
        <w:jc w:val="both"/>
      </w:pPr>
      <w:r w:rsidRPr="0058473F">
        <w:rPr>
          <w:rStyle w:val="FootnoteReference"/>
        </w:rPr>
        <w:footnoteRef/>
      </w:r>
      <w:r w:rsidRPr="0058473F">
        <w:t xml:space="preserve"> </w:t>
      </w:r>
      <w:r w:rsidRPr="008778C3">
        <w:rPr>
          <w:color w:val="C00000"/>
        </w:rPr>
        <w:t xml:space="preserve">Vaughan (1997, p. 324) </w:t>
      </w:r>
      <w:r w:rsidRPr="0058473F">
        <w:t>addresses the fact that self-insurers can exercise a greater degree of discretion regarding the claims that are paid and those that are contested.</w:t>
      </w:r>
    </w:p>
  </w:footnote>
  <w:footnote w:id="4">
    <w:p w14:paraId="478BD6B7" w14:textId="77777777" w:rsidR="00EC4510" w:rsidRPr="0058473F" w:rsidRDefault="00EC4510" w:rsidP="00F70302">
      <w:pPr>
        <w:pStyle w:val="FootnoteText"/>
        <w:jc w:val="both"/>
      </w:pPr>
      <w:r w:rsidRPr="0058473F">
        <w:rPr>
          <w:rStyle w:val="FootnoteReference"/>
        </w:rPr>
        <w:footnoteRef/>
      </w:r>
      <w:r w:rsidRPr="0058473F">
        <w:t xml:space="preserve"> </w:t>
      </w:r>
      <w:r w:rsidRPr="008778C3">
        <w:rPr>
          <w:color w:val="C00000"/>
        </w:rPr>
        <w:t xml:space="preserve">Kwon and Grace (1996) </w:t>
      </w:r>
      <w:r w:rsidRPr="0058473F">
        <w:t xml:space="preserve">define dangerous businesses as those in the construction, manufacturing, and transportation industries. </w:t>
      </w:r>
      <w:r w:rsidRPr="008778C3">
        <w:rPr>
          <w:bCs/>
          <w:color w:val="C00000"/>
        </w:rPr>
        <w:t>Butler and Worrall (1991)</w:t>
      </w:r>
      <w:r w:rsidRPr="008778C3">
        <w:rPr>
          <w:color w:val="C00000"/>
        </w:rPr>
        <w:t xml:space="preserve"> </w:t>
      </w:r>
      <w:r w:rsidRPr="0058473F">
        <w:t>use a risky employment variable (i.e., the proportion of employment in manufacturing and construction) to control for workplace risk in their study on moral hazard in WC losses.</w:t>
      </w:r>
    </w:p>
  </w:footnote>
  <w:footnote w:id="5">
    <w:p w14:paraId="5AB91554" w14:textId="77777777" w:rsidR="00EC4510" w:rsidRPr="00AE0E98" w:rsidRDefault="00EC4510" w:rsidP="009377D5">
      <w:pPr>
        <w:pStyle w:val="FootnoteText"/>
        <w:jc w:val="both"/>
      </w:pPr>
      <w:r w:rsidRPr="00AE0E98">
        <w:rPr>
          <w:rStyle w:val="FootnoteReference"/>
        </w:rPr>
        <w:footnoteRef/>
      </w:r>
      <w:r w:rsidRPr="00AE0E98">
        <w:t xml:space="preserve"> The self-insurance status data on manufacturers w</w:t>
      </w:r>
      <w:r>
        <w:t xml:space="preserve">ere provided by Mr. </w:t>
      </w:r>
      <w:r w:rsidRPr="006F6691">
        <w:t>Jon Wroten</w:t>
      </w:r>
      <w:r>
        <w:t xml:space="preserve">, Chief of the </w:t>
      </w:r>
      <w:r w:rsidRPr="006F6691">
        <w:t>Office of Self-insurance Plans</w:t>
      </w:r>
      <w:r>
        <w:t xml:space="preserve">, on January 2, 2014. </w:t>
      </w:r>
    </w:p>
  </w:footnote>
  <w:footnote w:id="6">
    <w:p w14:paraId="01218862" w14:textId="52BACD7D" w:rsidR="001C33FC" w:rsidRDefault="001C33FC">
      <w:pPr>
        <w:pStyle w:val="FootnoteText"/>
      </w:pPr>
      <w:r>
        <w:rPr>
          <w:rStyle w:val="FootnoteReference"/>
        </w:rPr>
        <w:footnoteRef/>
      </w:r>
      <w:r>
        <w:t xml:space="preserve"> </w:t>
      </w:r>
      <w:r w:rsidRPr="001C33FC">
        <w:t>Source: Bureau of Labor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FA6F" w14:textId="77777777" w:rsidR="00F324E0" w:rsidRDefault="00F324E0">
    <w:pP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94F0" w14:textId="77777777" w:rsidR="00EC4510" w:rsidRDefault="00EC4510">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CA"/>
    <w:multiLevelType w:val="hybridMultilevel"/>
    <w:tmpl w:val="27067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75DF"/>
    <w:multiLevelType w:val="hybridMultilevel"/>
    <w:tmpl w:val="69D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07530"/>
    <w:multiLevelType w:val="hybridMultilevel"/>
    <w:tmpl w:val="148C80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CA4993"/>
    <w:multiLevelType w:val="hybridMultilevel"/>
    <w:tmpl w:val="8D7A2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E207B"/>
    <w:multiLevelType w:val="hybridMultilevel"/>
    <w:tmpl w:val="1B7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A31C5"/>
    <w:multiLevelType w:val="hybridMultilevel"/>
    <w:tmpl w:val="28EC72BC"/>
    <w:lvl w:ilvl="0" w:tplc="25F8F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516F2"/>
    <w:multiLevelType w:val="hybridMultilevel"/>
    <w:tmpl w:val="F62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67401"/>
    <w:multiLevelType w:val="hybridMultilevel"/>
    <w:tmpl w:val="303E0B28"/>
    <w:lvl w:ilvl="0" w:tplc="501A5150">
      <w:start w:val="1"/>
      <w:numFmt w:val="bullet"/>
      <w:lvlText w:val="•"/>
      <w:lvlJc w:val="left"/>
      <w:pPr>
        <w:tabs>
          <w:tab w:val="num" w:pos="720"/>
        </w:tabs>
        <w:ind w:left="720" w:hanging="360"/>
      </w:pPr>
      <w:rPr>
        <w:rFonts w:ascii="Times New Roman" w:hAnsi="Times New Roman" w:hint="default"/>
      </w:rPr>
    </w:lvl>
    <w:lvl w:ilvl="1" w:tplc="E23CBA76" w:tentative="1">
      <w:start w:val="1"/>
      <w:numFmt w:val="bullet"/>
      <w:lvlText w:val="•"/>
      <w:lvlJc w:val="left"/>
      <w:pPr>
        <w:tabs>
          <w:tab w:val="num" w:pos="1440"/>
        </w:tabs>
        <w:ind w:left="1440" w:hanging="360"/>
      </w:pPr>
      <w:rPr>
        <w:rFonts w:ascii="Times New Roman" w:hAnsi="Times New Roman" w:hint="default"/>
      </w:rPr>
    </w:lvl>
    <w:lvl w:ilvl="2" w:tplc="B4967804" w:tentative="1">
      <w:start w:val="1"/>
      <w:numFmt w:val="bullet"/>
      <w:lvlText w:val="•"/>
      <w:lvlJc w:val="left"/>
      <w:pPr>
        <w:tabs>
          <w:tab w:val="num" w:pos="2160"/>
        </w:tabs>
        <w:ind w:left="2160" w:hanging="360"/>
      </w:pPr>
      <w:rPr>
        <w:rFonts w:ascii="Times New Roman" w:hAnsi="Times New Roman" w:hint="default"/>
      </w:rPr>
    </w:lvl>
    <w:lvl w:ilvl="3" w:tplc="D6E00936" w:tentative="1">
      <w:start w:val="1"/>
      <w:numFmt w:val="bullet"/>
      <w:lvlText w:val="•"/>
      <w:lvlJc w:val="left"/>
      <w:pPr>
        <w:tabs>
          <w:tab w:val="num" w:pos="2880"/>
        </w:tabs>
        <w:ind w:left="2880" w:hanging="360"/>
      </w:pPr>
      <w:rPr>
        <w:rFonts w:ascii="Times New Roman" w:hAnsi="Times New Roman" w:hint="default"/>
      </w:rPr>
    </w:lvl>
    <w:lvl w:ilvl="4" w:tplc="C7D0FE02" w:tentative="1">
      <w:start w:val="1"/>
      <w:numFmt w:val="bullet"/>
      <w:lvlText w:val="•"/>
      <w:lvlJc w:val="left"/>
      <w:pPr>
        <w:tabs>
          <w:tab w:val="num" w:pos="3600"/>
        </w:tabs>
        <w:ind w:left="3600" w:hanging="360"/>
      </w:pPr>
      <w:rPr>
        <w:rFonts w:ascii="Times New Roman" w:hAnsi="Times New Roman" w:hint="default"/>
      </w:rPr>
    </w:lvl>
    <w:lvl w:ilvl="5" w:tplc="35AC4EEE" w:tentative="1">
      <w:start w:val="1"/>
      <w:numFmt w:val="bullet"/>
      <w:lvlText w:val="•"/>
      <w:lvlJc w:val="left"/>
      <w:pPr>
        <w:tabs>
          <w:tab w:val="num" w:pos="4320"/>
        </w:tabs>
        <w:ind w:left="4320" w:hanging="360"/>
      </w:pPr>
      <w:rPr>
        <w:rFonts w:ascii="Times New Roman" w:hAnsi="Times New Roman" w:hint="default"/>
      </w:rPr>
    </w:lvl>
    <w:lvl w:ilvl="6" w:tplc="7C1494F0" w:tentative="1">
      <w:start w:val="1"/>
      <w:numFmt w:val="bullet"/>
      <w:lvlText w:val="•"/>
      <w:lvlJc w:val="left"/>
      <w:pPr>
        <w:tabs>
          <w:tab w:val="num" w:pos="5040"/>
        </w:tabs>
        <w:ind w:left="5040" w:hanging="360"/>
      </w:pPr>
      <w:rPr>
        <w:rFonts w:ascii="Times New Roman" w:hAnsi="Times New Roman" w:hint="default"/>
      </w:rPr>
    </w:lvl>
    <w:lvl w:ilvl="7" w:tplc="4D762FDC" w:tentative="1">
      <w:start w:val="1"/>
      <w:numFmt w:val="bullet"/>
      <w:lvlText w:val="•"/>
      <w:lvlJc w:val="left"/>
      <w:pPr>
        <w:tabs>
          <w:tab w:val="num" w:pos="5760"/>
        </w:tabs>
        <w:ind w:left="5760" w:hanging="360"/>
      </w:pPr>
      <w:rPr>
        <w:rFonts w:ascii="Times New Roman" w:hAnsi="Times New Roman" w:hint="default"/>
      </w:rPr>
    </w:lvl>
    <w:lvl w:ilvl="8" w:tplc="6F464E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A22B78"/>
    <w:multiLevelType w:val="hybridMultilevel"/>
    <w:tmpl w:val="6B1C8440"/>
    <w:lvl w:ilvl="0" w:tplc="E3D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F70452"/>
    <w:multiLevelType w:val="hybridMultilevel"/>
    <w:tmpl w:val="B7CA2EC8"/>
    <w:lvl w:ilvl="0" w:tplc="CCD82E0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047BD"/>
    <w:multiLevelType w:val="hybridMultilevel"/>
    <w:tmpl w:val="C1A8BCF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85E0430"/>
    <w:multiLevelType w:val="hybridMultilevel"/>
    <w:tmpl w:val="8EF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6"/>
  </w:num>
  <w:num w:numId="6">
    <w:abstractNumId w:val="3"/>
  </w:num>
  <w:num w:numId="7">
    <w:abstractNumId w:val="1"/>
  </w:num>
  <w:num w:numId="8">
    <w:abstractNumId w:val="9"/>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3tTQxMzExtDAxMDRV0lEKTi0uzszPAykwNK8FACRz8LQtAAAA"/>
  </w:docVars>
  <w:rsids>
    <w:rsidRoot w:val="003C3F80"/>
    <w:rsid w:val="00001190"/>
    <w:rsid w:val="00001699"/>
    <w:rsid w:val="000032DE"/>
    <w:rsid w:val="00004172"/>
    <w:rsid w:val="000132A2"/>
    <w:rsid w:val="0001542E"/>
    <w:rsid w:val="0001608E"/>
    <w:rsid w:val="0002055D"/>
    <w:rsid w:val="00023A4E"/>
    <w:rsid w:val="0002493E"/>
    <w:rsid w:val="000252E4"/>
    <w:rsid w:val="0002563C"/>
    <w:rsid w:val="00045974"/>
    <w:rsid w:val="000553B0"/>
    <w:rsid w:val="000645C8"/>
    <w:rsid w:val="00075EE1"/>
    <w:rsid w:val="0008072B"/>
    <w:rsid w:val="00087B67"/>
    <w:rsid w:val="000952DF"/>
    <w:rsid w:val="000A1ECD"/>
    <w:rsid w:val="000A1FA5"/>
    <w:rsid w:val="000B02FF"/>
    <w:rsid w:val="000B175F"/>
    <w:rsid w:val="000C3773"/>
    <w:rsid w:val="000D2E22"/>
    <w:rsid w:val="000D6A7B"/>
    <w:rsid w:val="000E46E9"/>
    <w:rsid w:val="000E5EC8"/>
    <w:rsid w:val="000F2D49"/>
    <w:rsid w:val="000F3F7B"/>
    <w:rsid w:val="000F7999"/>
    <w:rsid w:val="00107139"/>
    <w:rsid w:val="001125EE"/>
    <w:rsid w:val="001129DE"/>
    <w:rsid w:val="001140F5"/>
    <w:rsid w:val="00114812"/>
    <w:rsid w:val="00123B76"/>
    <w:rsid w:val="001401F6"/>
    <w:rsid w:val="001403E6"/>
    <w:rsid w:val="00141574"/>
    <w:rsid w:val="001505F5"/>
    <w:rsid w:val="001618C5"/>
    <w:rsid w:val="001640A5"/>
    <w:rsid w:val="00164606"/>
    <w:rsid w:val="00167971"/>
    <w:rsid w:val="001706BF"/>
    <w:rsid w:val="001812A9"/>
    <w:rsid w:val="00182BCF"/>
    <w:rsid w:val="001958D2"/>
    <w:rsid w:val="001B28DD"/>
    <w:rsid w:val="001B34A8"/>
    <w:rsid w:val="001B3CE0"/>
    <w:rsid w:val="001C27DE"/>
    <w:rsid w:val="001C33FC"/>
    <w:rsid w:val="001D388F"/>
    <w:rsid w:val="001D4EE5"/>
    <w:rsid w:val="001D7EC5"/>
    <w:rsid w:val="001E0C5F"/>
    <w:rsid w:val="001E70C4"/>
    <w:rsid w:val="001F1E9C"/>
    <w:rsid w:val="001F2041"/>
    <w:rsid w:val="001F5B55"/>
    <w:rsid w:val="0020204E"/>
    <w:rsid w:val="00202C85"/>
    <w:rsid w:val="002070CC"/>
    <w:rsid w:val="00211783"/>
    <w:rsid w:val="00217393"/>
    <w:rsid w:val="00220CF1"/>
    <w:rsid w:val="002309E2"/>
    <w:rsid w:val="00240952"/>
    <w:rsid w:val="00241760"/>
    <w:rsid w:val="00242494"/>
    <w:rsid w:val="00247925"/>
    <w:rsid w:val="002529AA"/>
    <w:rsid w:val="0025524C"/>
    <w:rsid w:val="00265B01"/>
    <w:rsid w:val="002729B1"/>
    <w:rsid w:val="00281945"/>
    <w:rsid w:val="002834F1"/>
    <w:rsid w:val="00284A1D"/>
    <w:rsid w:val="00286482"/>
    <w:rsid w:val="00294BDC"/>
    <w:rsid w:val="00294ED4"/>
    <w:rsid w:val="0029633A"/>
    <w:rsid w:val="00297396"/>
    <w:rsid w:val="0029786F"/>
    <w:rsid w:val="002A0992"/>
    <w:rsid w:val="002A1412"/>
    <w:rsid w:val="002B5054"/>
    <w:rsid w:val="002B6FCB"/>
    <w:rsid w:val="002C4023"/>
    <w:rsid w:val="002C79B9"/>
    <w:rsid w:val="002D0DD7"/>
    <w:rsid w:val="002D7BB8"/>
    <w:rsid w:val="002E5D24"/>
    <w:rsid w:val="002E7403"/>
    <w:rsid w:val="002F046E"/>
    <w:rsid w:val="002F3D43"/>
    <w:rsid w:val="002F723D"/>
    <w:rsid w:val="00300DDC"/>
    <w:rsid w:val="00311E86"/>
    <w:rsid w:val="00312B1D"/>
    <w:rsid w:val="00322B9A"/>
    <w:rsid w:val="003230EC"/>
    <w:rsid w:val="003247F4"/>
    <w:rsid w:val="00326515"/>
    <w:rsid w:val="00335B98"/>
    <w:rsid w:val="00343DA2"/>
    <w:rsid w:val="00347ECB"/>
    <w:rsid w:val="00352A74"/>
    <w:rsid w:val="0035376C"/>
    <w:rsid w:val="003731AB"/>
    <w:rsid w:val="00374C5E"/>
    <w:rsid w:val="00396458"/>
    <w:rsid w:val="003A08FA"/>
    <w:rsid w:val="003A0C2E"/>
    <w:rsid w:val="003A1D3D"/>
    <w:rsid w:val="003A1F7A"/>
    <w:rsid w:val="003A283D"/>
    <w:rsid w:val="003A501D"/>
    <w:rsid w:val="003B6BF9"/>
    <w:rsid w:val="003C2B3E"/>
    <w:rsid w:val="003C3F80"/>
    <w:rsid w:val="003D18FD"/>
    <w:rsid w:val="003D33C1"/>
    <w:rsid w:val="003D3DBB"/>
    <w:rsid w:val="003D724E"/>
    <w:rsid w:val="003E735D"/>
    <w:rsid w:val="003F18DC"/>
    <w:rsid w:val="003F3743"/>
    <w:rsid w:val="003F694D"/>
    <w:rsid w:val="00400971"/>
    <w:rsid w:val="00403165"/>
    <w:rsid w:val="004040B7"/>
    <w:rsid w:val="00414733"/>
    <w:rsid w:val="004166F0"/>
    <w:rsid w:val="00420513"/>
    <w:rsid w:val="004208E3"/>
    <w:rsid w:val="004321B5"/>
    <w:rsid w:val="00437ED9"/>
    <w:rsid w:val="00443879"/>
    <w:rsid w:val="00443B4D"/>
    <w:rsid w:val="00451F96"/>
    <w:rsid w:val="00461FD3"/>
    <w:rsid w:val="00480BEB"/>
    <w:rsid w:val="00492050"/>
    <w:rsid w:val="0049308D"/>
    <w:rsid w:val="00494101"/>
    <w:rsid w:val="00497055"/>
    <w:rsid w:val="004A218F"/>
    <w:rsid w:val="004A30DC"/>
    <w:rsid w:val="004B125D"/>
    <w:rsid w:val="004B69FF"/>
    <w:rsid w:val="004C2A61"/>
    <w:rsid w:val="004C2C17"/>
    <w:rsid w:val="004C3F24"/>
    <w:rsid w:val="004C578A"/>
    <w:rsid w:val="004D085F"/>
    <w:rsid w:val="004E457E"/>
    <w:rsid w:val="004E58BC"/>
    <w:rsid w:val="00502EAA"/>
    <w:rsid w:val="00522146"/>
    <w:rsid w:val="0052662D"/>
    <w:rsid w:val="005336CB"/>
    <w:rsid w:val="00534C29"/>
    <w:rsid w:val="00541A40"/>
    <w:rsid w:val="00542619"/>
    <w:rsid w:val="00544DC7"/>
    <w:rsid w:val="00555E6C"/>
    <w:rsid w:val="005617D1"/>
    <w:rsid w:val="005633EB"/>
    <w:rsid w:val="005719C4"/>
    <w:rsid w:val="00572C73"/>
    <w:rsid w:val="0057402D"/>
    <w:rsid w:val="00582E84"/>
    <w:rsid w:val="0058473F"/>
    <w:rsid w:val="00587F18"/>
    <w:rsid w:val="0059782B"/>
    <w:rsid w:val="005B169E"/>
    <w:rsid w:val="005B46A9"/>
    <w:rsid w:val="005C1359"/>
    <w:rsid w:val="005C362F"/>
    <w:rsid w:val="005C3B0B"/>
    <w:rsid w:val="005C4753"/>
    <w:rsid w:val="005C489D"/>
    <w:rsid w:val="005C67CC"/>
    <w:rsid w:val="005C71A0"/>
    <w:rsid w:val="005D3909"/>
    <w:rsid w:val="005F31A4"/>
    <w:rsid w:val="00606036"/>
    <w:rsid w:val="00610033"/>
    <w:rsid w:val="00612C84"/>
    <w:rsid w:val="006130EE"/>
    <w:rsid w:val="006160A7"/>
    <w:rsid w:val="00616943"/>
    <w:rsid w:val="0061704D"/>
    <w:rsid w:val="00623041"/>
    <w:rsid w:val="006311E2"/>
    <w:rsid w:val="006365A7"/>
    <w:rsid w:val="00637512"/>
    <w:rsid w:val="006424EF"/>
    <w:rsid w:val="006434D5"/>
    <w:rsid w:val="00646027"/>
    <w:rsid w:val="0064676C"/>
    <w:rsid w:val="0065080C"/>
    <w:rsid w:val="00650B76"/>
    <w:rsid w:val="006535CF"/>
    <w:rsid w:val="00655404"/>
    <w:rsid w:val="00662B81"/>
    <w:rsid w:val="00667DAD"/>
    <w:rsid w:val="00672341"/>
    <w:rsid w:val="00673A15"/>
    <w:rsid w:val="00673ACE"/>
    <w:rsid w:val="00675C32"/>
    <w:rsid w:val="00694B1B"/>
    <w:rsid w:val="00695DB6"/>
    <w:rsid w:val="006A0B79"/>
    <w:rsid w:val="006A1F62"/>
    <w:rsid w:val="006A511D"/>
    <w:rsid w:val="006A6DD0"/>
    <w:rsid w:val="006A7AFA"/>
    <w:rsid w:val="006B3106"/>
    <w:rsid w:val="006B557D"/>
    <w:rsid w:val="006C3C69"/>
    <w:rsid w:val="006D19E5"/>
    <w:rsid w:val="006E1DBA"/>
    <w:rsid w:val="006F12A6"/>
    <w:rsid w:val="0070667A"/>
    <w:rsid w:val="007100F2"/>
    <w:rsid w:val="00713E95"/>
    <w:rsid w:val="007168FF"/>
    <w:rsid w:val="00721C9B"/>
    <w:rsid w:val="007231E4"/>
    <w:rsid w:val="00727D12"/>
    <w:rsid w:val="00733C89"/>
    <w:rsid w:val="00740473"/>
    <w:rsid w:val="00740D74"/>
    <w:rsid w:val="00741ACC"/>
    <w:rsid w:val="00754E58"/>
    <w:rsid w:val="007577C1"/>
    <w:rsid w:val="00760844"/>
    <w:rsid w:val="00760E05"/>
    <w:rsid w:val="00765230"/>
    <w:rsid w:val="007657CD"/>
    <w:rsid w:val="00767CAA"/>
    <w:rsid w:val="00772F0C"/>
    <w:rsid w:val="0077766B"/>
    <w:rsid w:val="0078226E"/>
    <w:rsid w:val="00782738"/>
    <w:rsid w:val="007833F6"/>
    <w:rsid w:val="00785785"/>
    <w:rsid w:val="00785AC8"/>
    <w:rsid w:val="00793839"/>
    <w:rsid w:val="00794131"/>
    <w:rsid w:val="007C16DF"/>
    <w:rsid w:val="007C7BF3"/>
    <w:rsid w:val="007C7D90"/>
    <w:rsid w:val="007D3D12"/>
    <w:rsid w:val="007D4037"/>
    <w:rsid w:val="007E397E"/>
    <w:rsid w:val="007E4A87"/>
    <w:rsid w:val="007E68EA"/>
    <w:rsid w:val="007E7F03"/>
    <w:rsid w:val="007F0489"/>
    <w:rsid w:val="007F0EFA"/>
    <w:rsid w:val="007F2F7A"/>
    <w:rsid w:val="007F4C67"/>
    <w:rsid w:val="00802634"/>
    <w:rsid w:val="00803CC8"/>
    <w:rsid w:val="008058AE"/>
    <w:rsid w:val="00806314"/>
    <w:rsid w:val="00807679"/>
    <w:rsid w:val="00815138"/>
    <w:rsid w:val="00826159"/>
    <w:rsid w:val="00826BFD"/>
    <w:rsid w:val="008301D3"/>
    <w:rsid w:val="00831F22"/>
    <w:rsid w:val="00833BEC"/>
    <w:rsid w:val="00835A73"/>
    <w:rsid w:val="00836FBF"/>
    <w:rsid w:val="00842789"/>
    <w:rsid w:val="0084540C"/>
    <w:rsid w:val="00846A3B"/>
    <w:rsid w:val="008550DD"/>
    <w:rsid w:val="00860D13"/>
    <w:rsid w:val="00866B8C"/>
    <w:rsid w:val="008701FF"/>
    <w:rsid w:val="00871E02"/>
    <w:rsid w:val="008724D4"/>
    <w:rsid w:val="00875A77"/>
    <w:rsid w:val="008778C3"/>
    <w:rsid w:val="0088011E"/>
    <w:rsid w:val="00882359"/>
    <w:rsid w:val="0088377D"/>
    <w:rsid w:val="00885B8F"/>
    <w:rsid w:val="0089095F"/>
    <w:rsid w:val="00891B6F"/>
    <w:rsid w:val="00897182"/>
    <w:rsid w:val="008A5C3E"/>
    <w:rsid w:val="008B0181"/>
    <w:rsid w:val="008B402A"/>
    <w:rsid w:val="008C1F74"/>
    <w:rsid w:val="008C279A"/>
    <w:rsid w:val="008C2D90"/>
    <w:rsid w:val="008C5EF6"/>
    <w:rsid w:val="008D01EB"/>
    <w:rsid w:val="008D25A5"/>
    <w:rsid w:val="008D5766"/>
    <w:rsid w:val="008E73D9"/>
    <w:rsid w:val="008F074E"/>
    <w:rsid w:val="008F1110"/>
    <w:rsid w:val="008F2A5F"/>
    <w:rsid w:val="008F4C4C"/>
    <w:rsid w:val="00903482"/>
    <w:rsid w:val="009058C6"/>
    <w:rsid w:val="00910B2F"/>
    <w:rsid w:val="00915438"/>
    <w:rsid w:val="00915C60"/>
    <w:rsid w:val="00916E46"/>
    <w:rsid w:val="009174B8"/>
    <w:rsid w:val="009236BF"/>
    <w:rsid w:val="00924E6B"/>
    <w:rsid w:val="00926501"/>
    <w:rsid w:val="00927C7F"/>
    <w:rsid w:val="00930DDF"/>
    <w:rsid w:val="009377D5"/>
    <w:rsid w:val="00943FF0"/>
    <w:rsid w:val="009548C5"/>
    <w:rsid w:val="00962A9A"/>
    <w:rsid w:val="0096398D"/>
    <w:rsid w:val="00966A4D"/>
    <w:rsid w:val="00970E28"/>
    <w:rsid w:val="00990E0F"/>
    <w:rsid w:val="00994862"/>
    <w:rsid w:val="009A36B7"/>
    <w:rsid w:val="009B4D49"/>
    <w:rsid w:val="009D50BB"/>
    <w:rsid w:val="009E3A36"/>
    <w:rsid w:val="009E40F3"/>
    <w:rsid w:val="009E4DEF"/>
    <w:rsid w:val="009E4F57"/>
    <w:rsid w:val="009F6CFE"/>
    <w:rsid w:val="009F6EF9"/>
    <w:rsid w:val="009F763C"/>
    <w:rsid w:val="00A020E1"/>
    <w:rsid w:val="00A062B1"/>
    <w:rsid w:val="00A07D80"/>
    <w:rsid w:val="00A11187"/>
    <w:rsid w:val="00A17842"/>
    <w:rsid w:val="00A33A76"/>
    <w:rsid w:val="00A33BA5"/>
    <w:rsid w:val="00A378AE"/>
    <w:rsid w:val="00A439DD"/>
    <w:rsid w:val="00A46467"/>
    <w:rsid w:val="00A51113"/>
    <w:rsid w:val="00A538AF"/>
    <w:rsid w:val="00A6194A"/>
    <w:rsid w:val="00A648AE"/>
    <w:rsid w:val="00A6676A"/>
    <w:rsid w:val="00A66F5D"/>
    <w:rsid w:val="00A70C61"/>
    <w:rsid w:val="00A82648"/>
    <w:rsid w:val="00A96D2F"/>
    <w:rsid w:val="00AA40E0"/>
    <w:rsid w:val="00AB31E5"/>
    <w:rsid w:val="00AB37B5"/>
    <w:rsid w:val="00AC047D"/>
    <w:rsid w:val="00AC31BA"/>
    <w:rsid w:val="00AC3B95"/>
    <w:rsid w:val="00AC6FDA"/>
    <w:rsid w:val="00AD5327"/>
    <w:rsid w:val="00AD6BFC"/>
    <w:rsid w:val="00AD75FD"/>
    <w:rsid w:val="00AE38A1"/>
    <w:rsid w:val="00AE7226"/>
    <w:rsid w:val="00B05F24"/>
    <w:rsid w:val="00B13CEF"/>
    <w:rsid w:val="00B20FD8"/>
    <w:rsid w:val="00B23DD9"/>
    <w:rsid w:val="00B30EDC"/>
    <w:rsid w:val="00B360B9"/>
    <w:rsid w:val="00B371AF"/>
    <w:rsid w:val="00B37EE1"/>
    <w:rsid w:val="00B450C3"/>
    <w:rsid w:val="00B46444"/>
    <w:rsid w:val="00B51118"/>
    <w:rsid w:val="00B55E74"/>
    <w:rsid w:val="00B577C8"/>
    <w:rsid w:val="00B6393E"/>
    <w:rsid w:val="00B772FE"/>
    <w:rsid w:val="00B86F93"/>
    <w:rsid w:val="00B9416F"/>
    <w:rsid w:val="00B974A7"/>
    <w:rsid w:val="00BB31CF"/>
    <w:rsid w:val="00BB4684"/>
    <w:rsid w:val="00BC734A"/>
    <w:rsid w:val="00BD1C5B"/>
    <w:rsid w:val="00BD4249"/>
    <w:rsid w:val="00BD5392"/>
    <w:rsid w:val="00BD56B9"/>
    <w:rsid w:val="00BE2CE9"/>
    <w:rsid w:val="00BE42FC"/>
    <w:rsid w:val="00BE4BB4"/>
    <w:rsid w:val="00BE5ECF"/>
    <w:rsid w:val="00BE609B"/>
    <w:rsid w:val="00BE66C6"/>
    <w:rsid w:val="00BE6B54"/>
    <w:rsid w:val="00BF035F"/>
    <w:rsid w:val="00BF1121"/>
    <w:rsid w:val="00BF5482"/>
    <w:rsid w:val="00C0185C"/>
    <w:rsid w:val="00C01FF0"/>
    <w:rsid w:val="00C123B5"/>
    <w:rsid w:val="00C14F47"/>
    <w:rsid w:val="00C15D04"/>
    <w:rsid w:val="00C20578"/>
    <w:rsid w:val="00C41366"/>
    <w:rsid w:val="00C4464C"/>
    <w:rsid w:val="00C4720F"/>
    <w:rsid w:val="00C51B01"/>
    <w:rsid w:val="00C5394F"/>
    <w:rsid w:val="00C62C68"/>
    <w:rsid w:val="00C6520A"/>
    <w:rsid w:val="00C67D47"/>
    <w:rsid w:val="00C70BAD"/>
    <w:rsid w:val="00C723E2"/>
    <w:rsid w:val="00C765DE"/>
    <w:rsid w:val="00C808A6"/>
    <w:rsid w:val="00C82225"/>
    <w:rsid w:val="00C83FB8"/>
    <w:rsid w:val="00C867C5"/>
    <w:rsid w:val="00C94943"/>
    <w:rsid w:val="00C97130"/>
    <w:rsid w:val="00C971BF"/>
    <w:rsid w:val="00CA511F"/>
    <w:rsid w:val="00CA5CB9"/>
    <w:rsid w:val="00CB34E6"/>
    <w:rsid w:val="00CB5C39"/>
    <w:rsid w:val="00CB6B74"/>
    <w:rsid w:val="00CB76D1"/>
    <w:rsid w:val="00CC4B06"/>
    <w:rsid w:val="00CD007C"/>
    <w:rsid w:val="00CD7334"/>
    <w:rsid w:val="00CE3965"/>
    <w:rsid w:val="00CE4469"/>
    <w:rsid w:val="00CE7DA0"/>
    <w:rsid w:val="00CF3ED1"/>
    <w:rsid w:val="00CF4E91"/>
    <w:rsid w:val="00D02DC9"/>
    <w:rsid w:val="00D132A2"/>
    <w:rsid w:val="00D215F3"/>
    <w:rsid w:val="00D21B88"/>
    <w:rsid w:val="00D2334D"/>
    <w:rsid w:val="00D3265B"/>
    <w:rsid w:val="00D33E8C"/>
    <w:rsid w:val="00D372C4"/>
    <w:rsid w:val="00D52187"/>
    <w:rsid w:val="00D56A05"/>
    <w:rsid w:val="00D60A39"/>
    <w:rsid w:val="00D61866"/>
    <w:rsid w:val="00D61FB3"/>
    <w:rsid w:val="00D62D7A"/>
    <w:rsid w:val="00D64262"/>
    <w:rsid w:val="00D67175"/>
    <w:rsid w:val="00D75ADC"/>
    <w:rsid w:val="00D80522"/>
    <w:rsid w:val="00D85FD2"/>
    <w:rsid w:val="00D877E4"/>
    <w:rsid w:val="00D87AA3"/>
    <w:rsid w:val="00D91575"/>
    <w:rsid w:val="00D96771"/>
    <w:rsid w:val="00D96AB9"/>
    <w:rsid w:val="00DA1D09"/>
    <w:rsid w:val="00DA57D6"/>
    <w:rsid w:val="00DA5921"/>
    <w:rsid w:val="00DA671D"/>
    <w:rsid w:val="00DA7987"/>
    <w:rsid w:val="00DA798B"/>
    <w:rsid w:val="00DB0433"/>
    <w:rsid w:val="00DB24B9"/>
    <w:rsid w:val="00DB5C72"/>
    <w:rsid w:val="00DC7676"/>
    <w:rsid w:val="00DD03A4"/>
    <w:rsid w:val="00DE1F03"/>
    <w:rsid w:val="00DE26D7"/>
    <w:rsid w:val="00DF6BB5"/>
    <w:rsid w:val="00E009B4"/>
    <w:rsid w:val="00E047C9"/>
    <w:rsid w:val="00E06342"/>
    <w:rsid w:val="00E12CE7"/>
    <w:rsid w:val="00E14A6D"/>
    <w:rsid w:val="00E151A0"/>
    <w:rsid w:val="00E15BA4"/>
    <w:rsid w:val="00E2378C"/>
    <w:rsid w:val="00E30D85"/>
    <w:rsid w:val="00E3251A"/>
    <w:rsid w:val="00E336B1"/>
    <w:rsid w:val="00E338A2"/>
    <w:rsid w:val="00E35BBC"/>
    <w:rsid w:val="00E43E1C"/>
    <w:rsid w:val="00E51687"/>
    <w:rsid w:val="00E52B25"/>
    <w:rsid w:val="00E537B3"/>
    <w:rsid w:val="00E544D8"/>
    <w:rsid w:val="00E5692D"/>
    <w:rsid w:val="00E572B4"/>
    <w:rsid w:val="00E61549"/>
    <w:rsid w:val="00E6466D"/>
    <w:rsid w:val="00E6520F"/>
    <w:rsid w:val="00E65AEA"/>
    <w:rsid w:val="00E6686A"/>
    <w:rsid w:val="00E72B02"/>
    <w:rsid w:val="00E80FF5"/>
    <w:rsid w:val="00E84032"/>
    <w:rsid w:val="00E85441"/>
    <w:rsid w:val="00E92201"/>
    <w:rsid w:val="00E95736"/>
    <w:rsid w:val="00E97738"/>
    <w:rsid w:val="00EA266B"/>
    <w:rsid w:val="00EA2DA6"/>
    <w:rsid w:val="00EA4603"/>
    <w:rsid w:val="00EA4987"/>
    <w:rsid w:val="00EC21CB"/>
    <w:rsid w:val="00EC4510"/>
    <w:rsid w:val="00ED0A53"/>
    <w:rsid w:val="00ED36E3"/>
    <w:rsid w:val="00ED3D3A"/>
    <w:rsid w:val="00ED76CF"/>
    <w:rsid w:val="00EE02C6"/>
    <w:rsid w:val="00EE71B3"/>
    <w:rsid w:val="00EF5315"/>
    <w:rsid w:val="00F00B99"/>
    <w:rsid w:val="00F02DC4"/>
    <w:rsid w:val="00F04F7F"/>
    <w:rsid w:val="00F1056D"/>
    <w:rsid w:val="00F129DB"/>
    <w:rsid w:val="00F15915"/>
    <w:rsid w:val="00F23363"/>
    <w:rsid w:val="00F324E0"/>
    <w:rsid w:val="00F3289A"/>
    <w:rsid w:val="00F34333"/>
    <w:rsid w:val="00F37752"/>
    <w:rsid w:val="00F43F9E"/>
    <w:rsid w:val="00F4472E"/>
    <w:rsid w:val="00F44E07"/>
    <w:rsid w:val="00F44F7B"/>
    <w:rsid w:val="00F46BFA"/>
    <w:rsid w:val="00F46F9D"/>
    <w:rsid w:val="00F502D5"/>
    <w:rsid w:val="00F51AD1"/>
    <w:rsid w:val="00F6177C"/>
    <w:rsid w:val="00F628C2"/>
    <w:rsid w:val="00F62B48"/>
    <w:rsid w:val="00F66D8F"/>
    <w:rsid w:val="00F70302"/>
    <w:rsid w:val="00F76708"/>
    <w:rsid w:val="00F809C4"/>
    <w:rsid w:val="00F810A7"/>
    <w:rsid w:val="00F842BB"/>
    <w:rsid w:val="00F9052C"/>
    <w:rsid w:val="00F97FE1"/>
    <w:rsid w:val="00FA2435"/>
    <w:rsid w:val="00FA487D"/>
    <w:rsid w:val="00FA52D7"/>
    <w:rsid w:val="00FB2E44"/>
    <w:rsid w:val="00FC4DC2"/>
    <w:rsid w:val="00FD0B1F"/>
    <w:rsid w:val="00FD4A24"/>
    <w:rsid w:val="00FD4BC3"/>
    <w:rsid w:val="00FE0E7B"/>
    <w:rsid w:val="00FE2D12"/>
    <w:rsid w:val="00FE5758"/>
    <w:rsid w:val="00FF1A12"/>
    <w:rsid w:val="00FF21B9"/>
  </w:rsids>
  <m:mathPr>
    <m:mathFont m:val="Cambria Math"/>
    <m:brkBin m:val="before"/>
    <m:brkBinSub m:val="--"/>
    <m:smallFrac m:val="0"/>
    <m:dispDef/>
    <m:lMargin m:val="0"/>
    <m:rMargin m:val="0"/>
    <m:defJc m:val="centerGroup"/>
    <m:wrapIndent m:val="1440"/>
    <m:intLim m:val="subSup"/>
    <m:naryLim m:val="undOvr"/>
  </m:mathPr>
  <w:themeFontLang w:val="en-US" w:eastAsia="zh-TW"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80"/>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3C3F80"/>
    <w:pPr>
      <w:keepNext/>
      <w:autoSpaceDE w:val="0"/>
      <w:autoSpaceDN w:val="0"/>
      <w:adjustRightInd w:val="0"/>
      <w:outlineLvl w:val="0"/>
    </w:pPr>
    <w:rPr>
      <w:rFonts w:ascii="Verdana" w:eastAsia="Times New Roman" w:hAnsi="Arial"/>
      <w:b/>
      <w:bCs/>
      <w:color w:val="000000"/>
      <w:lang w:eastAsia="en-US"/>
    </w:rPr>
  </w:style>
  <w:style w:type="paragraph" w:styleId="Heading2">
    <w:name w:val="heading 2"/>
    <w:basedOn w:val="Normal"/>
    <w:next w:val="Normal"/>
    <w:link w:val="Heading2Char"/>
    <w:uiPriority w:val="99"/>
    <w:qFormat/>
    <w:rsid w:val="003C3F80"/>
    <w:pPr>
      <w:keepNext/>
      <w:autoSpaceDE w:val="0"/>
      <w:autoSpaceDN w:val="0"/>
      <w:adjustRightInd w:val="0"/>
      <w:jc w:val="center"/>
      <w:outlineLvl w:val="1"/>
    </w:pPr>
    <w:rPr>
      <w:rFonts w:ascii="Verdana" w:eastAsia="Times New Roman" w:hAnsi="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F80"/>
    <w:rPr>
      <w:rFonts w:ascii="Verdana" w:eastAsia="Times New Roman" w:hAnsi="Arial" w:cs="Times New Roman"/>
      <w:b/>
      <w:bCs/>
      <w:color w:val="000000"/>
      <w:sz w:val="24"/>
      <w:szCs w:val="24"/>
      <w:lang w:eastAsia="en-US"/>
    </w:rPr>
  </w:style>
  <w:style w:type="character" w:customStyle="1" w:styleId="Heading2Char">
    <w:name w:val="Heading 2 Char"/>
    <w:basedOn w:val="DefaultParagraphFont"/>
    <w:link w:val="Heading2"/>
    <w:uiPriority w:val="99"/>
    <w:rsid w:val="003C3F80"/>
    <w:rPr>
      <w:rFonts w:ascii="Verdana" w:eastAsia="Times New Roman" w:hAnsi="Arial" w:cs="Times New Roman"/>
      <w:b/>
      <w:bCs/>
      <w:color w:val="000000"/>
      <w:sz w:val="24"/>
      <w:szCs w:val="24"/>
      <w:lang w:eastAsia="en-US"/>
    </w:rPr>
  </w:style>
  <w:style w:type="paragraph" w:styleId="Footer">
    <w:name w:val="footer"/>
    <w:basedOn w:val="Normal"/>
    <w:link w:val="FooterChar"/>
    <w:uiPriority w:val="99"/>
    <w:rsid w:val="003C3F80"/>
    <w:pPr>
      <w:tabs>
        <w:tab w:val="center" w:pos="4320"/>
        <w:tab w:val="right" w:pos="8640"/>
      </w:tabs>
    </w:pPr>
  </w:style>
  <w:style w:type="character" w:customStyle="1" w:styleId="FooterChar">
    <w:name w:val="Footer Char"/>
    <w:basedOn w:val="DefaultParagraphFont"/>
    <w:link w:val="Footer"/>
    <w:uiPriority w:val="99"/>
    <w:rsid w:val="003C3F80"/>
    <w:rPr>
      <w:rFonts w:ascii="Times New Roman" w:eastAsia="PMingLiU" w:hAnsi="Times New Roman" w:cs="Times New Roman"/>
      <w:sz w:val="24"/>
      <w:szCs w:val="24"/>
    </w:rPr>
  </w:style>
  <w:style w:type="character" w:styleId="PageNumber">
    <w:name w:val="page number"/>
    <w:basedOn w:val="DefaultParagraphFont"/>
    <w:uiPriority w:val="99"/>
    <w:rsid w:val="003C3F80"/>
    <w:rPr>
      <w:rFonts w:cs="Times New Roman"/>
    </w:rPr>
  </w:style>
  <w:style w:type="paragraph" w:styleId="Header">
    <w:name w:val="header"/>
    <w:basedOn w:val="Normal"/>
    <w:link w:val="HeaderChar"/>
    <w:uiPriority w:val="99"/>
    <w:rsid w:val="003C3F80"/>
    <w:pPr>
      <w:tabs>
        <w:tab w:val="center" w:pos="4320"/>
        <w:tab w:val="right" w:pos="8640"/>
      </w:tabs>
    </w:pPr>
  </w:style>
  <w:style w:type="character" w:customStyle="1" w:styleId="HeaderChar">
    <w:name w:val="Header Char"/>
    <w:basedOn w:val="DefaultParagraphFont"/>
    <w:link w:val="Header"/>
    <w:uiPriority w:val="99"/>
    <w:rsid w:val="003C3F80"/>
    <w:rPr>
      <w:rFonts w:ascii="Times New Roman" w:eastAsia="PMingLiU" w:hAnsi="Times New Roman" w:cs="Times New Roman"/>
      <w:sz w:val="24"/>
      <w:szCs w:val="24"/>
    </w:rPr>
  </w:style>
  <w:style w:type="character" w:customStyle="1" w:styleId="medium-normal1">
    <w:name w:val="medium-normal1"/>
    <w:basedOn w:val="DefaultParagraphFont"/>
    <w:uiPriority w:val="99"/>
    <w:rsid w:val="003C3F80"/>
    <w:rPr>
      <w:rFonts w:ascii="Arial" w:hAnsi="Arial" w:cs="Arial"/>
      <w:sz w:val="20"/>
      <w:szCs w:val="20"/>
    </w:rPr>
  </w:style>
  <w:style w:type="character" w:styleId="Emphasis">
    <w:name w:val="Emphasis"/>
    <w:basedOn w:val="DefaultParagraphFont"/>
    <w:uiPriority w:val="99"/>
    <w:qFormat/>
    <w:rsid w:val="003C3F80"/>
    <w:rPr>
      <w:rFonts w:cs="Times New Roman"/>
      <w:i/>
      <w:iCs/>
    </w:rPr>
  </w:style>
  <w:style w:type="character" w:styleId="HTMLAcronym">
    <w:name w:val="HTML Acronym"/>
    <w:basedOn w:val="DefaultParagraphFont"/>
    <w:uiPriority w:val="99"/>
    <w:rsid w:val="003C3F80"/>
    <w:rPr>
      <w:rFonts w:cs="Times New Roman"/>
    </w:rPr>
  </w:style>
  <w:style w:type="paragraph" w:styleId="FootnoteText">
    <w:name w:val="footnote text"/>
    <w:basedOn w:val="Normal"/>
    <w:link w:val="FootnoteTextChar"/>
    <w:uiPriority w:val="99"/>
    <w:semiHidden/>
    <w:rsid w:val="003C3F80"/>
    <w:pPr>
      <w:widowControl w:val="0"/>
    </w:pPr>
    <w:rPr>
      <w:kern w:val="2"/>
      <w:sz w:val="20"/>
      <w:szCs w:val="20"/>
    </w:rPr>
  </w:style>
  <w:style w:type="character" w:customStyle="1" w:styleId="FootnoteTextChar">
    <w:name w:val="Footnote Text Char"/>
    <w:basedOn w:val="DefaultParagraphFont"/>
    <w:link w:val="FootnoteText"/>
    <w:uiPriority w:val="99"/>
    <w:semiHidden/>
    <w:rsid w:val="003C3F80"/>
    <w:rPr>
      <w:rFonts w:ascii="Times New Roman" w:eastAsia="PMingLiU" w:hAnsi="Times New Roman" w:cs="Times New Roman"/>
      <w:kern w:val="2"/>
      <w:sz w:val="20"/>
      <w:szCs w:val="20"/>
    </w:rPr>
  </w:style>
  <w:style w:type="character" w:styleId="FootnoteReference">
    <w:name w:val="footnote reference"/>
    <w:basedOn w:val="DefaultParagraphFont"/>
    <w:uiPriority w:val="99"/>
    <w:semiHidden/>
    <w:rsid w:val="003C3F80"/>
    <w:rPr>
      <w:rFonts w:cs="Times New Roman"/>
      <w:vertAlign w:val="superscript"/>
    </w:rPr>
  </w:style>
  <w:style w:type="character" w:styleId="Hyperlink">
    <w:name w:val="Hyperlink"/>
    <w:basedOn w:val="DefaultParagraphFont"/>
    <w:uiPriority w:val="99"/>
    <w:rsid w:val="003C3F80"/>
    <w:rPr>
      <w:rFonts w:cs="Times New Roman"/>
      <w:color w:val="0033FF"/>
      <w:u w:val="single"/>
    </w:rPr>
  </w:style>
  <w:style w:type="character" w:styleId="CommentReference">
    <w:name w:val="annotation reference"/>
    <w:basedOn w:val="DefaultParagraphFont"/>
    <w:uiPriority w:val="99"/>
    <w:semiHidden/>
    <w:rsid w:val="003C3F80"/>
    <w:rPr>
      <w:rFonts w:cs="Times New Roman"/>
      <w:sz w:val="16"/>
      <w:szCs w:val="16"/>
    </w:rPr>
  </w:style>
  <w:style w:type="paragraph" w:styleId="CommentText">
    <w:name w:val="annotation text"/>
    <w:basedOn w:val="Normal"/>
    <w:link w:val="CommentTextChar"/>
    <w:uiPriority w:val="99"/>
    <w:semiHidden/>
    <w:rsid w:val="003C3F80"/>
    <w:rPr>
      <w:sz w:val="20"/>
      <w:szCs w:val="20"/>
    </w:rPr>
  </w:style>
  <w:style w:type="character" w:customStyle="1" w:styleId="CommentTextChar">
    <w:name w:val="Comment Text Char"/>
    <w:basedOn w:val="DefaultParagraphFont"/>
    <w:link w:val="CommentText"/>
    <w:uiPriority w:val="99"/>
    <w:semiHidden/>
    <w:rsid w:val="003C3F80"/>
    <w:rPr>
      <w:rFonts w:ascii="Times New Roman" w:eastAsia="PMingLiU" w:hAnsi="Times New Roman" w:cs="Times New Roman"/>
      <w:sz w:val="20"/>
      <w:szCs w:val="20"/>
    </w:rPr>
  </w:style>
  <w:style w:type="paragraph" w:customStyle="1" w:styleId="1">
    <w:name w:val="註解主旨1"/>
    <w:basedOn w:val="CommentText"/>
    <w:next w:val="CommentText"/>
    <w:uiPriority w:val="99"/>
    <w:semiHidden/>
    <w:rsid w:val="003C3F80"/>
    <w:rPr>
      <w:b/>
      <w:bCs/>
    </w:rPr>
  </w:style>
  <w:style w:type="paragraph" w:customStyle="1" w:styleId="10">
    <w:name w:val="註解方塊文字1"/>
    <w:basedOn w:val="Normal"/>
    <w:uiPriority w:val="99"/>
    <w:semiHidden/>
    <w:rsid w:val="003C3F80"/>
    <w:rPr>
      <w:rFonts w:ascii="PMingLiU" w:eastAsia="Times New Roman"/>
      <w:sz w:val="18"/>
      <w:szCs w:val="18"/>
    </w:rPr>
  </w:style>
  <w:style w:type="paragraph" w:styleId="NormalWeb">
    <w:name w:val="Normal (Web)"/>
    <w:basedOn w:val="Normal"/>
    <w:uiPriority w:val="99"/>
    <w:rsid w:val="003C3F80"/>
    <w:pPr>
      <w:spacing w:before="100" w:beforeAutospacing="1" w:after="100" w:afterAutospacing="1"/>
    </w:pPr>
  </w:style>
  <w:style w:type="paragraph" w:styleId="HTMLPreformatted">
    <w:name w:val="HTML Preformatted"/>
    <w:basedOn w:val="Normal"/>
    <w:link w:val="HTMLPreformattedChar"/>
    <w:uiPriority w:val="99"/>
    <w:rsid w:val="003C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C3F80"/>
    <w:rPr>
      <w:rFonts w:ascii="Courier New" w:eastAsia="PMingLiU" w:hAnsi="Courier New" w:cs="Courier New"/>
      <w:sz w:val="24"/>
      <w:szCs w:val="24"/>
    </w:rPr>
  </w:style>
  <w:style w:type="character" w:styleId="FollowedHyperlink">
    <w:name w:val="FollowedHyperlink"/>
    <w:basedOn w:val="DefaultParagraphFont"/>
    <w:uiPriority w:val="99"/>
    <w:rsid w:val="003C3F80"/>
    <w:rPr>
      <w:rFonts w:cs="Times New Roman"/>
      <w:color w:val="800080"/>
      <w:u w:val="single"/>
    </w:rPr>
  </w:style>
  <w:style w:type="character" w:customStyle="1" w:styleId="bf">
    <w:name w:val="bf"/>
    <w:basedOn w:val="DefaultParagraphFont"/>
    <w:uiPriority w:val="99"/>
    <w:rsid w:val="003C3F80"/>
    <w:rPr>
      <w:rFonts w:cs="Times New Roman"/>
    </w:rPr>
  </w:style>
  <w:style w:type="character" w:customStyle="1" w:styleId="hit">
    <w:name w:val="hit"/>
    <w:basedOn w:val="DefaultParagraphFont"/>
    <w:uiPriority w:val="99"/>
    <w:rsid w:val="003C3F80"/>
    <w:rPr>
      <w:rFonts w:cs="Times New Roman"/>
    </w:rPr>
  </w:style>
  <w:style w:type="character" w:customStyle="1" w:styleId="pit">
    <w:name w:val="pit"/>
    <w:basedOn w:val="DefaultParagraphFont"/>
    <w:uiPriority w:val="99"/>
    <w:rsid w:val="003C3F80"/>
    <w:rPr>
      <w:rFonts w:cs="Times New Roman"/>
    </w:rPr>
  </w:style>
  <w:style w:type="character" w:styleId="Strong">
    <w:name w:val="Strong"/>
    <w:basedOn w:val="DefaultParagraphFont"/>
    <w:uiPriority w:val="22"/>
    <w:qFormat/>
    <w:rsid w:val="003C3F80"/>
    <w:rPr>
      <w:rFonts w:cs="Times New Roman"/>
      <w:b/>
      <w:bCs/>
    </w:rPr>
  </w:style>
  <w:style w:type="paragraph" w:styleId="E-mailSignature">
    <w:name w:val="E-mail Signature"/>
    <w:basedOn w:val="Normal"/>
    <w:link w:val="E-mailSignatureChar"/>
    <w:uiPriority w:val="99"/>
    <w:rsid w:val="003C3F80"/>
  </w:style>
  <w:style w:type="character" w:customStyle="1" w:styleId="E-mailSignatureChar">
    <w:name w:val="E-mail Signature Char"/>
    <w:basedOn w:val="DefaultParagraphFont"/>
    <w:link w:val="E-mailSignature"/>
    <w:uiPriority w:val="99"/>
    <w:rsid w:val="003C3F80"/>
    <w:rPr>
      <w:rFonts w:ascii="Times New Roman" w:eastAsia="PMingLiU" w:hAnsi="Times New Roman" w:cs="Times New Roman"/>
      <w:sz w:val="24"/>
      <w:szCs w:val="24"/>
    </w:rPr>
  </w:style>
  <w:style w:type="paragraph" w:customStyle="1" w:styleId="BalloonText1">
    <w:name w:val="Balloon Text1"/>
    <w:basedOn w:val="Normal"/>
    <w:uiPriority w:val="99"/>
    <w:rsid w:val="003C3F80"/>
    <w:rPr>
      <w:rFonts w:ascii="Tahoma" w:hAnsi="Tahoma" w:cs="Tahoma"/>
      <w:sz w:val="16"/>
      <w:szCs w:val="16"/>
    </w:rPr>
  </w:style>
  <w:style w:type="character" w:customStyle="1" w:styleId="medium-font1">
    <w:name w:val="medium-font1"/>
    <w:basedOn w:val="DefaultParagraphFont"/>
    <w:uiPriority w:val="99"/>
    <w:rsid w:val="003C3F80"/>
    <w:rPr>
      <w:rFonts w:cs="Times New Roman"/>
      <w:sz w:val="19"/>
      <w:szCs w:val="19"/>
    </w:rPr>
  </w:style>
  <w:style w:type="character" w:customStyle="1" w:styleId="medium-font">
    <w:name w:val="medium-font"/>
    <w:basedOn w:val="DefaultParagraphFont"/>
    <w:uiPriority w:val="99"/>
    <w:rsid w:val="003C3F80"/>
    <w:rPr>
      <w:rFonts w:cs="Times New Roman"/>
    </w:rPr>
  </w:style>
  <w:style w:type="character" w:customStyle="1" w:styleId="add-to-folder">
    <w:name w:val="add-to-folder"/>
    <w:basedOn w:val="DefaultParagraphFont"/>
    <w:uiPriority w:val="99"/>
    <w:rsid w:val="003C3F80"/>
    <w:rPr>
      <w:rFonts w:cs="Times New Roman"/>
    </w:rPr>
  </w:style>
  <w:style w:type="character" w:styleId="HTMLCite">
    <w:name w:val="HTML Cite"/>
    <w:basedOn w:val="DefaultParagraphFont"/>
    <w:uiPriority w:val="99"/>
    <w:rsid w:val="003C3F80"/>
    <w:rPr>
      <w:rFonts w:cs="Times New Roman"/>
      <w:i/>
      <w:iCs/>
    </w:rPr>
  </w:style>
  <w:style w:type="character" w:customStyle="1" w:styleId="BalloonTextChar">
    <w:name w:val="Balloon Text Char"/>
    <w:basedOn w:val="DefaultParagraphFont"/>
    <w:uiPriority w:val="99"/>
    <w:rsid w:val="003C3F80"/>
    <w:rPr>
      <w:rFonts w:ascii="Tahoma" w:hAnsi="Tahoma" w:cs="Tahoma"/>
      <w:sz w:val="16"/>
      <w:szCs w:val="16"/>
      <w:lang w:eastAsia="zh-TW"/>
    </w:rPr>
  </w:style>
  <w:style w:type="paragraph" w:customStyle="1" w:styleId="CommentSubject1">
    <w:name w:val="Comment Subject1"/>
    <w:basedOn w:val="CommentText"/>
    <w:next w:val="CommentText"/>
    <w:uiPriority w:val="99"/>
    <w:semiHidden/>
    <w:rsid w:val="003C3F80"/>
    <w:rPr>
      <w:b/>
      <w:bCs/>
    </w:rPr>
  </w:style>
  <w:style w:type="paragraph" w:styleId="BalloonText">
    <w:name w:val="Balloon Text"/>
    <w:basedOn w:val="Normal"/>
    <w:link w:val="BalloonTextChar1"/>
    <w:uiPriority w:val="99"/>
    <w:rsid w:val="003C3F80"/>
    <w:rPr>
      <w:rFonts w:ascii="Tahoma" w:hAnsi="Tahoma" w:cs="Tahoma"/>
      <w:sz w:val="16"/>
      <w:szCs w:val="16"/>
    </w:rPr>
  </w:style>
  <w:style w:type="character" w:customStyle="1" w:styleId="BalloonTextChar1">
    <w:name w:val="Balloon Text Char1"/>
    <w:basedOn w:val="DefaultParagraphFont"/>
    <w:link w:val="BalloonText"/>
    <w:uiPriority w:val="99"/>
    <w:rsid w:val="003C3F80"/>
    <w:rPr>
      <w:rFonts w:ascii="Tahoma" w:eastAsia="PMingLiU" w:hAnsi="Tahoma" w:cs="Tahoma"/>
      <w:sz w:val="16"/>
      <w:szCs w:val="16"/>
    </w:rPr>
  </w:style>
  <w:style w:type="paragraph" w:styleId="CommentSubject">
    <w:name w:val="annotation subject"/>
    <w:basedOn w:val="CommentText"/>
    <w:next w:val="CommentText"/>
    <w:link w:val="CommentSubjectChar"/>
    <w:uiPriority w:val="99"/>
    <w:semiHidden/>
    <w:rsid w:val="003C3F80"/>
    <w:rPr>
      <w:b/>
      <w:bCs/>
    </w:rPr>
  </w:style>
  <w:style w:type="character" w:customStyle="1" w:styleId="CommentSubjectChar">
    <w:name w:val="Comment Subject Char"/>
    <w:basedOn w:val="CommentTextChar"/>
    <w:link w:val="CommentSubject"/>
    <w:uiPriority w:val="99"/>
    <w:semiHidden/>
    <w:rsid w:val="003C3F80"/>
    <w:rPr>
      <w:rFonts w:ascii="Times New Roman" w:eastAsia="PMingLiU" w:hAnsi="Times New Roman" w:cs="Times New Roman"/>
      <w:b/>
      <w:bCs/>
      <w:sz w:val="20"/>
      <w:szCs w:val="20"/>
    </w:rPr>
  </w:style>
  <w:style w:type="paragraph" w:styleId="Date">
    <w:name w:val="Date"/>
    <w:basedOn w:val="Normal"/>
    <w:next w:val="Normal"/>
    <w:link w:val="DateChar"/>
    <w:uiPriority w:val="99"/>
    <w:rsid w:val="003C3F80"/>
  </w:style>
  <w:style w:type="character" w:customStyle="1" w:styleId="DateChar">
    <w:name w:val="Date Char"/>
    <w:basedOn w:val="DefaultParagraphFont"/>
    <w:link w:val="Date"/>
    <w:uiPriority w:val="99"/>
    <w:rsid w:val="003C3F80"/>
    <w:rPr>
      <w:rFonts w:ascii="Times New Roman" w:eastAsia="PMingLiU" w:hAnsi="Times New Roman" w:cs="Times New Roman"/>
      <w:sz w:val="24"/>
      <w:szCs w:val="24"/>
    </w:rPr>
  </w:style>
  <w:style w:type="paragraph" w:customStyle="1" w:styleId="DefaultText">
    <w:name w:val="Default Text"/>
    <w:basedOn w:val="Normal"/>
    <w:uiPriority w:val="99"/>
    <w:rsid w:val="003C3F80"/>
    <w:pPr>
      <w:overflowPunct w:val="0"/>
      <w:autoSpaceDE w:val="0"/>
      <w:autoSpaceDN w:val="0"/>
      <w:adjustRightInd w:val="0"/>
      <w:textAlignment w:val="baseline"/>
    </w:pPr>
    <w:rPr>
      <w:rFonts w:eastAsia="Times New Roman"/>
      <w:szCs w:val="20"/>
      <w:lang w:eastAsia="en-US"/>
    </w:rPr>
  </w:style>
  <w:style w:type="paragraph" w:customStyle="1" w:styleId="style1">
    <w:name w:val="style1"/>
    <w:basedOn w:val="Normal"/>
    <w:uiPriority w:val="99"/>
    <w:rsid w:val="003C3F80"/>
    <w:pPr>
      <w:spacing w:before="100" w:beforeAutospacing="1" w:after="100" w:afterAutospacing="1"/>
    </w:pPr>
    <w:rPr>
      <w:rFonts w:ascii="Verdana" w:hAnsi="Verdana"/>
    </w:rPr>
  </w:style>
  <w:style w:type="paragraph" w:customStyle="1" w:styleId="Default">
    <w:name w:val="Default"/>
    <w:uiPriority w:val="99"/>
    <w:rsid w:val="003C3F80"/>
    <w:pPr>
      <w:autoSpaceDE w:val="0"/>
      <w:autoSpaceDN w:val="0"/>
      <w:adjustRightInd w:val="0"/>
      <w:spacing w:after="0" w:line="240" w:lineRule="auto"/>
    </w:pPr>
    <w:rPr>
      <w:rFonts w:ascii="Code" w:eastAsia="PMingLiU" w:hAnsi="Code" w:cs="Code"/>
      <w:color w:val="000000"/>
      <w:sz w:val="24"/>
      <w:szCs w:val="24"/>
    </w:rPr>
  </w:style>
  <w:style w:type="character" w:customStyle="1" w:styleId="illustration1">
    <w:name w:val="illustration1"/>
    <w:basedOn w:val="DefaultParagraphFont"/>
    <w:uiPriority w:val="99"/>
    <w:rsid w:val="003C3F80"/>
    <w:rPr>
      <w:rFonts w:cs="Times New Roman"/>
      <w:i/>
      <w:iCs/>
      <w:color w:val="226699"/>
    </w:rPr>
  </w:style>
  <w:style w:type="paragraph" w:styleId="EndnoteText">
    <w:name w:val="endnote text"/>
    <w:basedOn w:val="Normal"/>
    <w:link w:val="EndnoteTextChar"/>
    <w:uiPriority w:val="99"/>
    <w:rsid w:val="003C3F80"/>
    <w:rPr>
      <w:sz w:val="20"/>
      <w:szCs w:val="20"/>
    </w:rPr>
  </w:style>
  <w:style w:type="character" w:customStyle="1" w:styleId="EndnoteTextChar">
    <w:name w:val="Endnote Text Char"/>
    <w:basedOn w:val="DefaultParagraphFont"/>
    <w:link w:val="EndnoteText"/>
    <w:uiPriority w:val="99"/>
    <w:rsid w:val="003C3F80"/>
    <w:rPr>
      <w:rFonts w:ascii="Times New Roman" w:eastAsia="PMingLiU" w:hAnsi="Times New Roman" w:cs="Times New Roman"/>
      <w:sz w:val="20"/>
      <w:szCs w:val="20"/>
    </w:rPr>
  </w:style>
  <w:style w:type="character" w:styleId="EndnoteReference">
    <w:name w:val="endnote reference"/>
    <w:basedOn w:val="DefaultParagraphFont"/>
    <w:uiPriority w:val="99"/>
    <w:rsid w:val="003C3F80"/>
    <w:rPr>
      <w:rFonts w:cs="Times New Roman"/>
      <w:vertAlign w:val="superscript"/>
    </w:rPr>
  </w:style>
  <w:style w:type="paragraph" w:styleId="ListParagraph">
    <w:name w:val="List Paragraph"/>
    <w:basedOn w:val="Normal"/>
    <w:uiPriority w:val="34"/>
    <w:qFormat/>
    <w:rsid w:val="003C3F80"/>
    <w:pPr>
      <w:ind w:left="720"/>
      <w:contextualSpacing/>
    </w:pPr>
  </w:style>
  <w:style w:type="character" w:customStyle="1" w:styleId="title-link-wrapper1">
    <w:name w:val="title-link-wrapper1"/>
    <w:basedOn w:val="DefaultParagraphFont"/>
    <w:uiPriority w:val="99"/>
    <w:rsid w:val="003C3F80"/>
    <w:rPr>
      <w:rFonts w:cs="Times New Roman"/>
    </w:rPr>
  </w:style>
  <w:style w:type="character" w:customStyle="1" w:styleId="title-link-wrapper">
    <w:name w:val="title-link-wrapper"/>
    <w:basedOn w:val="DefaultParagraphFont"/>
    <w:uiPriority w:val="99"/>
    <w:rsid w:val="003C3F80"/>
    <w:rPr>
      <w:rFonts w:cs="Times New Roman"/>
    </w:rPr>
  </w:style>
  <w:style w:type="character" w:customStyle="1" w:styleId="hidden2">
    <w:name w:val="hidden2"/>
    <w:basedOn w:val="DefaultParagraphFont"/>
    <w:uiPriority w:val="99"/>
    <w:rsid w:val="003C3F80"/>
    <w:rPr>
      <w:rFonts w:cs="Times New Roman"/>
    </w:rPr>
  </w:style>
  <w:style w:type="paragraph" w:styleId="Revision">
    <w:name w:val="Revision"/>
    <w:hidden/>
    <w:uiPriority w:val="99"/>
    <w:semiHidden/>
    <w:rsid w:val="003C3F80"/>
    <w:pPr>
      <w:spacing w:after="0" w:line="240" w:lineRule="auto"/>
    </w:pPr>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151A0"/>
    <w:rPr>
      <w:color w:val="808080"/>
    </w:rPr>
  </w:style>
  <w:style w:type="table" w:styleId="LightShading-Accent4">
    <w:name w:val="Light Shading Accent 4"/>
    <w:basedOn w:val="TableNormal"/>
    <w:uiPriority w:val="60"/>
    <w:rsid w:val="00D61FB3"/>
    <w:pPr>
      <w:spacing w:after="0" w:line="240" w:lineRule="auto"/>
      <w:jc w:val="center"/>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F324E0"/>
    <w:pPr>
      <w:spacing w:after="0" w:line="240" w:lineRule="auto"/>
    </w:pPr>
    <w:rPr>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80"/>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3C3F80"/>
    <w:pPr>
      <w:keepNext/>
      <w:autoSpaceDE w:val="0"/>
      <w:autoSpaceDN w:val="0"/>
      <w:adjustRightInd w:val="0"/>
      <w:outlineLvl w:val="0"/>
    </w:pPr>
    <w:rPr>
      <w:rFonts w:ascii="Verdana" w:eastAsia="Times New Roman" w:hAnsi="Arial"/>
      <w:b/>
      <w:bCs/>
      <w:color w:val="000000"/>
      <w:lang w:eastAsia="en-US"/>
    </w:rPr>
  </w:style>
  <w:style w:type="paragraph" w:styleId="Heading2">
    <w:name w:val="heading 2"/>
    <w:basedOn w:val="Normal"/>
    <w:next w:val="Normal"/>
    <w:link w:val="Heading2Char"/>
    <w:uiPriority w:val="99"/>
    <w:qFormat/>
    <w:rsid w:val="003C3F80"/>
    <w:pPr>
      <w:keepNext/>
      <w:autoSpaceDE w:val="0"/>
      <w:autoSpaceDN w:val="0"/>
      <w:adjustRightInd w:val="0"/>
      <w:jc w:val="center"/>
      <w:outlineLvl w:val="1"/>
    </w:pPr>
    <w:rPr>
      <w:rFonts w:ascii="Verdana" w:eastAsia="Times New Roman" w:hAnsi="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F80"/>
    <w:rPr>
      <w:rFonts w:ascii="Verdana" w:eastAsia="Times New Roman" w:hAnsi="Arial" w:cs="Times New Roman"/>
      <w:b/>
      <w:bCs/>
      <w:color w:val="000000"/>
      <w:sz w:val="24"/>
      <w:szCs w:val="24"/>
      <w:lang w:eastAsia="en-US"/>
    </w:rPr>
  </w:style>
  <w:style w:type="character" w:customStyle="1" w:styleId="Heading2Char">
    <w:name w:val="Heading 2 Char"/>
    <w:basedOn w:val="DefaultParagraphFont"/>
    <w:link w:val="Heading2"/>
    <w:uiPriority w:val="99"/>
    <w:rsid w:val="003C3F80"/>
    <w:rPr>
      <w:rFonts w:ascii="Verdana" w:eastAsia="Times New Roman" w:hAnsi="Arial" w:cs="Times New Roman"/>
      <w:b/>
      <w:bCs/>
      <w:color w:val="000000"/>
      <w:sz w:val="24"/>
      <w:szCs w:val="24"/>
      <w:lang w:eastAsia="en-US"/>
    </w:rPr>
  </w:style>
  <w:style w:type="paragraph" w:styleId="Footer">
    <w:name w:val="footer"/>
    <w:basedOn w:val="Normal"/>
    <w:link w:val="FooterChar"/>
    <w:uiPriority w:val="99"/>
    <w:rsid w:val="003C3F80"/>
    <w:pPr>
      <w:tabs>
        <w:tab w:val="center" w:pos="4320"/>
        <w:tab w:val="right" w:pos="8640"/>
      </w:tabs>
    </w:pPr>
  </w:style>
  <w:style w:type="character" w:customStyle="1" w:styleId="FooterChar">
    <w:name w:val="Footer Char"/>
    <w:basedOn w:val="DefaultParagraphFont"/>
    <w:link w:val="Footer"/>
    <w:uiPriority w:val="99"/>
    <w:rsid w:val="003C3F80"/>
    <w:rPr>
      <w:rFonts w:ascii="Times New Roman" w:eastAsia="PMingLiU" w:hAnsi="Times New Roman" w:cs="Times New Roman"/>
      <w:sz w:val="24"/>
      <w:szCs w:val="24"/>
    </w:rPr>
  </w:style>
  <w:style w:type="character" w:styleId="PageNumber">
    <w:name w:val="page number"/>
    <w:basedOn w:val="DefaultParagraphFont"/>
    <w:uiPriority w:val="99"/>
    <w:rsid w:val="003C3F80"/>
    <w:rPr>
      <w:rFonts w:cs="Times New Roman"/>
    </w:rPr>
  </w:style>
  <w:style w:type="paragraph" w:styleId="Header">
    <w:name w:val="header"/>
    <w:basedOn w:val="Normal"/>
    <w:link w:val="HeaderChar"/>
    <w:uiPriority w:val="99"/>
    <w:rsid w:val="003C3F80"/>
    <w:pPr>
      <w:tabs>
        <w:tab w:val="center" w:pos="4320"/>
        <w:tab w:val="right" w:pos="8640"/>
      </w:tabs>
    </w:pPr>
  </w:style>
  <w:style w:type="character" w:customStyle="1" w:styleId="HeaderChar">
    <w:name w:val="Header Char"/>
    <w:basedOn w:val="DefaultParagraphFont"/>
    <w:link w:val="Header"/>
    <w:uiPriority w:val="99"/>
    <w:rsid w:val="003C3F80"/>
    <w:rPr>
      <w:rFonts w:ascii="Times New Roman" w:eastAsia="PMingLiU" w:hAnsi="Times New Roman" w:cs="Times New Roman"/>
      <w:sz w:val="24"/>
      <w:szCs w:val="24"/>
    </w:rPr>
  </w:style>
  <w:style w:type="character" w:customStyle="1" w:styleId="medium-normal1">
    <w:name w:val="medium-normal1"/>
    <w:basedOn w:val="DefaultParagraphFont"/>
    <w:uiPriority w:val="99"/>
    <w:rsid w:val="003C3F80"/>
    <w:rPr>
      <w:rFonts w:ascii="Arial" w:hAnsi="Arial" w:cs="Arial"/>
      <w:sz w:val="20"/>
      <w:szCs w:val="20"/>
    </w:rPr>
  </w:style>
  <w:style w:type="character" w:styleId="Emphasis">
    <w:name w:val="Emphasis"/>
    <w:basedOn w:val="DefaultParagraphFont"/>
    <w:uiPriority w:val="99"/>
    <w:qFormat/>
    <w:rsid w:val="003C3F80"/>
    <w:rPr>
      <w:rFonts w:cs="Times New Roman"/>
      <w:i/>
      <w:iCs/>
    </w:rPr>
  </w:style>
  <w:style w:type="character" w:styleId="HTMLAcronym">
    <w:name w:val="HTML Acronym"/>
    <w:basedOn w:val="DefaultParagraphFont"/>
    <w:uiPriority w:val="99"/>
    <w:rsid w:val="003C3F80"/>
    <w:rPr>
      <w:rFonts w:cs="Times New Roman"/>
    </w:rPr>
  </w:style>
  <w:style w:type="paragraph" w:styleId="FootnoteText">
    <w:name w:val="footnote text"/>
    <w:basedOn w:val="Normal"/>
    <w:link w:val="FootnoteTextChar"/>
    <w:uiPriority w:val="99"/>
    <w:semiHidden/>
    <w:rsid w:val="003C3F80"/>
    <w:pPr>
      <w:widowControl w:val="0"/>
    </w:pPr>
    <w:rPr>
      <w:kern w:val="2"/>
      <w:sz w:val="20"/>
      <w:szCs w:val="20"/>
    </w:rPr>
  </w:style>
  <w:style w:type="character" w:customStyle="1" w:styleId="FootnoteTextChar">
    <w:name w:val="Footnote Text Char"/>
    <w:basedOn w:val="DefaultParagraphFont"/>
    <w:link w:val="FootnoteText"/>
    <w:uiPriority w:val="99"/>
    <w:semiHidden/>
    <w:rsid w:val="003C3F80"/>
    <w:rPr>
      <w:rFonts w:ascii="Times New Roman" w:eastAsia="PMingLiU" w:hAnsi="Times New Roman" w:cs="Times New Roman"/>
      <w:kern w:val="2"/>
      <w:sz w:val="20"/>
      <w:szCs w:val="20"/>
    </w:rPr>
  </w:style>
  <w:style w:type="character" w:styleId="FootnoteReference">
    <w:name w:val="footnote reference"/>
    <w:basedOn w:val="DefaultParagraphFont"/>
    <w:uiPriority w:val="99"/>
    <w:semiHidden/>
    <w:rsid w:val="003C3F80"/>
    <w:rPr>
      <w:rFonts w:cs="Times New Roman"/>
      <w:vertAlign w:val="superscript"/>
    </w:rPr>
  </w:style>
  <w:style w:type="character" w:styleId="Hyperlink">
    <w:name w:val="Hyperlink"/>
    <w:basedOn w:val="DefaultParagraphFont"/>
    <w:uiPriority w:val="99"/>
    <w:rsid w:val="003C3F80"/>
    <w:rPr>
      <w:rFonts w:cs="Times New Roman"/>
      <w:color w:val="0033FF"/>
      <w:u w:val="single"/>
    </w:rPr>
  </w:style>
  <w:style w:type="character" w:styleId="CommentReference">
    <w:name w:val="annotation reference"/>
    <w:basedOn w:val="DefaultParagraphFont"/>
    <w:uiPriority w:val="99"/>
    <w:semiHidden/>
    <w:rsid w:val="003C3F80"/>
    <w:rPr>
      <w:rFonts w:cs="Times New Roman"/>
      <w:sz w:val="16"/>
      <w:szCs w:val="16"/>
    </w:rPr>
  </w:style>
  <w:style w:type="paragraph" w:styleId="CommentText">
    <w:name w:val="annotation text"/>
    <w:basedOn w:val="Normal"/>
    <w:link w:val="CommentTextChar"/>
    <w:uiPriority w:val="99"/>
    <w:semiHidden/>
    <w:rsid w:val="003C3F80"/>
    <w:rPr>
      <w:sz w:val="20"/>
      <w:szCs w:val="20"/>
    </w:rPr>
  </w:style>
  <w:style w:type="character" w:customStyle="1" w:styleId="CommentTextChar">
    <w:name w:val="Comment Text Char"/>
    <w:basedOn w:val="DefaultParagraphFont"/>
    <w:link w:val="CommentText"/>
    <w:uiPriority w:val="99"/>
    <w:semiHidden/>
    <w:rsid w:val="003C3F80"/>
    <w:rPr>
      <w:rFonts w:ascii="Times New Roman" w:eastAsia="PMingLiU" w:hAnsi="Times New Roman" w:cs="Times New Roman"/>
      <w:sz w:val="20"/>
      <w:szCs w:val="20"/>
    </w:rPr>
  </w:style>
  <w:style w:type="paragraph" w:customStyle="1" w:styleId="1">
    <w:name w:val="註解主旨1"/>
    <w:basedOn w:val="CommentText"/>
    <w:next w:val="CommentText"/>
    <w:uiPriority w:val="99"/>
    <w:semiHidden/>
    <w:rsid w:val="003C3F80"/>
    <w:rPr>
      <w:b/>
      <w:bCs/>
    </w:rPr>
  </w:style>
  <w:style w:type="paragraph" w:customStyle="1" w:styleId="10">
    <w:name w:val="註解方塊文字1"/>
    <w:basedOn w:val="Normal"/>
    <w:uiPriority w:val="99"/>
    <w:semiHidden/>
    <w:rsid w:val="003C3F80"/>
    <w:rPr>
      <w:rFonts w:ascii="PMingLiU" w:eastAsia="Times New Roman"/>
      <w:sz w:val="18"/>
      <w:szCs w:val="18"/>
    </w:rPr>
  </w:style>
  <w:style w:type="paragraph" w:styleId="NormalWeb">
    <w:name w:val="Normal (Web)"/>
    <w:basedOn w:val="Normal"/>
    <w:uiPriority w:val="99"/>
    <w:rsid w:val="003C3F80"/>
    <w:pPr>
      <w:spacing w:before="100" w:beforeAutospacing="1" w:after="100" w:afterAutospacing="1"/>
    </w:pPr>
  </w:style>
  <w:style w:type="paragraph" w:styleId="HTMLPreformatted">
    <w:name w:val="HTML Preformatted"/>
    <w:basedOn w:val="Normal"/>
    <w:link w:val="HTMLPreformattedChar"/>
    <w:uiPriority w:val="99"/>
    <w:rsid w:val="003C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C3F80"/>
    <w:rPr>
      <w:rFonts w:ascii="Courier New" w:eastAsia="PMingLiU" w:hAnsi="Courier New" w:cs="Courier New"/>
      <w:sz w:val="24"/>
      <w:szCs w:val="24"/>
    </w:rPr>
  </w:style>
  <w:style w:type="character" w:styleId="FollowedHyperlink">
    <w:name w:val="FollowedHyperlink"/>
    <w:basedOn w:val="DefaultParagraphFont"/>
    <w:uiPriority w:val="99"/>
    <w:rsid w:val="003C3F80"/>
    <w:rPr>
      <w:rFonts w:cs="Times New Roman"/>
      <w:color w:val="800080"/>
      <w:u w:val="single"/>
    </w:rPr>
  </w:style>
  <w:style w:type="character" w:customStyle="1" w:styleId="bf">
    <w:name w:val="bf"/>
    <w:basedOn w:val="DefaultParagraphFont"/>
    <w:uiPriority w:val="99"/>
    <w:rsid w:val="003C3F80"/>
    <w:rPr>
      <w:rFonts w:cs="Times New Roman"/>
    </w:rPr>
  </w:style>
  <w:style w:type="character" w:customStyle="1" w:styleId="hit">
    <w:name w:val="hit"/>
    <w:basedOn w:val="DefaultParagraphFont"/>
    <w:uiPriority w:val="99"/>
    <w:rsid w:val="003C3F80"/>
    <w:rPr>
      <w:rFonts w:cs="Times New Roman"/>
    </w:rPr>
  </w:style>
  <w:style w:type="character" w:customStyle="1" w:styleId="pit">
    <w:name w:val="pit"/>
    <w:basedOn w:val="DefaultParagraphFont"/>
    <w:uiPriority w:val="99"/>
    <w:rsid w:val="003C3F80"/>
    <w:rPr>
      <w:rFonts w:cs="Times New Roman"/>
    </w:rPr>
  </w:style>
  <w:style w:type="character" w:styleId="Strong">
    <w:name w:val="Strong"/>
    <w:basedOn w:val="DefaultParagraphFont"/>
    <w:uiPriority w:val="22"/>
    <w:qFormat/>
    <w:rsid w:val="003C3F80"/>
    <w:rPr>
      <w:rFonts w:cs="Times New Roman"/>
      <w:b/>
      <w:bCs/>
    </w:rPr>
  </w:style>
  <w:style w:type="paragraph" w:styleId="E-mailSignature">
    <w:name w:val="E-mail Signature"/>
    <w:basedOn w:val="Normal"/>
    <w:link w:val="E-mailSignatureChar"/>
    <w:uiPriority w:val="99"/>
    <w:rsid w:val="003C3F80"/>
  </w:style>
  <w:style w:type="character" w:customStyle="1" w:styleId="E-mailSignatureChar">
    <w:name w:val="E-mail Signature Char"/>
    <w:basedOn w:val="DefaultParagraphFont"/>
    <w:link w:val="E-mailSignature"/>
    <w:uiPriority w:val="99"/>
    <w:rsid w:val="003C3F80"/>
    <w:rPr>
      <w:rFonts w:ascii="Times New Roman" w:eastAsia="PMingLiU" w:hAnsi="Times New Roman" w:cs="Times New Roman"/>
      <w:sz w:val="24"/>
      <w:szCs w:val="24"/>
    </w:rPr>
  </w:style>
  <w:style w:type="paragraph" w:customStyle="1" w:styleId="BalloonText1">
    <w:name w:val="Balloon Text1"/>
    <w:basedOn w:val="Normal"/>
    <w:uiPriority w:val="99"/>
    <w:rsid w:val="003C3F80"/>
    <w:rPr>
      <w:rFonts w:ascii="Tahoma" w:hAnsi="Tahoma" w:cs="Tahoma"/>
      <w:sz w:val="16"/>
      <w:szCs w:val="16"/>
    </w:rPr>
  </w:style>
  <w:style w:type="character" w:customStyle="1" w:styleId="medium-font1">
    <w:name w:val="medium-font1"/>
    <w:basedOn w:val="DefaultParagraphFont"/>
    <w:uiPriority w:val="99"/>
    <w:rsid w:val="003C3F80"/>
    <w:rPr>
      <w:rFonts w:cs="Times New Roman"/>
      <w:sz w:val="19"/>
      <w:szCs w:val="19"/>
    </w:rPr>
  </w:style>
  <w:style w:type="character" w:customStyle="1" w:styleId="medium-font">
    <w:name w:val="medium-font"/>
    <w:basedOn w:val="DefaultParagraphFont"/>
    <w:uiPriority w:val="99"/>
    <w:rsid w:val="003C3F80"/>
    <w:rPr>
      <w:rFonts w:cs="Times New Roman"/>
    </w:rPr>
  </w:style>
  <w:style w:type="character" w:customStyle="1" w:styleId="add-to-folder">
    <w:name w:val="add-to-folder"/>
    <w:basedOn w:val="DefaultParagraphFont"/>
    <w:uiPriority w:val="99"/>
    <w:rsid w:val="003C3F80"/>
    <w:rPr>
      <w:rFonts w:cs="Times New Roman"/>
    </w:rPr>
  </w:style>
  <w:style w:type="character" w:styleId="HTMLCite">
    <w:name w:val="HTML Cite"/>
    <w:basedOn w:val="DefaultParagraphFont"/>
    <w:uiPriority w:val="99"/>
    <w:rsid w:val="003C3F80"/>
    <w:rPr>
      <w:rFonts w:cs="Times New Roman"/>
      <w:i/>
      <w:iCs/>
    </w:rPr>
  </w:style>
  <w:style w:type="character" w:customStyle="1" w:styleId="BalloonTextChar">
    <w:name w:val="Balloon Text Char"/>
    <w:basedOn w:val="DefaultParagraphFont"/>
    <w:uiPriority w:val="99"/>
    <w:rsid w:val="003C3F80"/>
    <w:rPr>
      <w:rFonts w:ascii="Tahoma" w:hAnsi="Tahoma" w:cs="Tahoma"/>
      <w:sz w:val="16"/>
      <w:szCs w:val="16"/>
      <w:lang w:eastAsia="zh-TW"/>
    </w:rPr>
  </w:style>
  <w:style w:type="paragraph" w:customStyle="1" w:styleId="CommentSubject1">
    <w:name w:val="Comment Subject1"/>
    <w:basedOn w:val="CommentText"/>
    <w:next w:val="CommentText"/>
    <w:uiPriority w:val="99"/>
    <w:semiHidden/>
    <w:rsid w:val="003C3F80"/>
    <w:rPr>
      <w:b/>
      <w:bCs/>
    </w:rPr>
  </w:style>
  <w:style w:type="paragraph" w:styleId="BalloonText">
    <w:name w:val="Balloon Text"/>
    <w:basedOn w:val="Normal"/>
    <w:link w:val="BalloonTextChar1"/>
    <w:uiPriority w:val="99"/>
    <w:rsid w:val="003C3F80"/>
    <w:rPr>
      <w:rFonts w:ascii="Tahoma" w:hAnsi="Tahoma" w:cs="Tahoma"/>
      <w:sz w:val="16"/>
      <w:szCs w:val="16"/>
    </w:rPr>
  </w:style>
  <w:style w:type="character" w:customStyle="1" w:styleId="BalloonTextChar1">
    <w:name w:val="Balloon Text Char1"/>
    <w:basedOn w:val="DefaultParagraphFont"/>
    <w:link w:val="BalloonText"/>
    <w:uiPriority w:val="99"/>
    <w:rsid w:val="003C3F80"/>
    <w:rPr>
      <w:rFonts w:ascii="Tahoma" w:eastAsia="PMingLiU" w:hAnsi="Tahoma" w:cs="Tahoma"/>
      <w:sz w:val="16"/>
      <w:szCs w:val="16"/>
    </w:rPr>
  </w:style>
  <w:style w:type="paragraph" w:styleId="CommentSubject">
    <w:name w:val="annotation subject"/>
    <w:basedOn w:val="CommentText"/>
    <w:next w:val="CommentText"/>
    <w:link w:val="CommentSubjectChar"/>
    <w:uiPriority w:val="99"/>
    <w:semiHidden/>
    <w:rsid w:val="003C3F80"/>
    <w:rPr>
      <w:b/>
      <w:bCs/>
    </w:rPr>
  </w:style>
  <w:style w:type="character" w:customStyle="1" w:styleId="CommentSubjectChar">
    <w:name w:val="Comment Subject Char"/>
    <w:basedOn w:val="CommentTextChar"/>
    <w:link w:val="CommentSubject"/>
    <w:uiPriority w:val="99"/>
    <w:semiHidden/>
    <w:rsid w:val="003C3F80"/>
    <w:rPr>
      <w:rFonts w:ascii="Times New Roman" w:eastAsia="PMingLiU" w:hAnsi="Times New Roman" w:cs="Times New Roman"/>
      <w:b/>
      <w:bCs/>
      <w:sz w:val="20"/>
      <w:szCs w:val="20"/>
    </w:rPr>
  </w:style>
  <w:style w:type="paragraph" w:styleId="Date">
    <w:name w:val="Date"/>
    <w:basedOn w:val="Normal"/>
    <w:next w:val="Normal"/>
    <w:link w:val="DateChar"/>
    <w:uiPriority w:val="99"/>
    <w:rsid w:val="003C3F80"/>
  </w:style>
  <w:style w:type="character" w:customStyle="1" w:styleId="DateChar">
    <w:name w:val="Date Char"/>
    <w:basedOn w:val="DefaultParagraphFont"/>
    <w:link w:val="Date"/>
    <w:uiPriority w:val="99"/>
    <w:rsid w:val="003C3F80"/>
    <w:rPr>
      <w:rFonts w:ascii="Times New Roman" w:eastAsia="PMingLiU" w:hAnsi="Times New Roman" w:cs="Times New Roman"/>
      <w:sz w:val="24"/>
      <w:szCs w:val="24"/>
    </w:rPr>
  </w:style>
  <w:style w:type="paragraph" w:customStyle="1" w:styleId="DefaultText">
    <w:name w:val="Default Text"/>
    <w:basedOn w:val="Normal"/>
    <w:uiPriority w:val="99"/>
    <w:rsid w:val="003C3F80"/>
    <w:pPr>
      <w:overflowPunct w:val="0"/>
      <w:autoSpaceDE w:val="0"/>
      <w:autoSpaceDN w:val="0"/>
      <w:adjustRightInd w:val="0"/>
      <w:textAlignment w:val="baseline"/>
    </w:pPr>
    <w:rPr>
      <w:rFonts w:eastAsia="Times New Roman"/>
      <w:szCs w:val="20"/>
      <w:lang w:eastAsia="en-US"/>
    </w:rPr>
  </w:style>
  <w:style w:type="paragraph" w:customStyle="1" w:styleId="style1">
    <w:name w:val="style1"/>
    <w:basedOn w:val="Normal"/>
    <w:uiPriority w:val="99"/>
    <w:rsid w:val="003C3F80"/>
    <w:pPr>
      <w:spacing w:before="100" w:beforeAutospacing="1" w:after="100" w:afterAutospacing="1"/>
    </w:pPr>
    <w:rPr>
      <w:rFonts w:ascii="Verdana" w:hAnsi="Verdana"/>
    </w:rPr>
  </w:style>
  <w:style w:type="paragraph" w:customStyle="1" w:styleId="Default">
    <w:name w:val="Default"/>
    <w:uiPriority w:val="99"/>
    <w:rsid w:val="003C3F80"/>
    <w:pPr>
      <w:autoSpaceDE w:val="0"/>
      <w:autoSpaceDN w:val="0"/>
      <w:adjustRightInd w:val="0"/>
      <w:spacing w:after="0" w:line="240" w:lineRule="auto"/>
    </w:pPr>
    <w:rPr>
      <w:rFonts w:ascii="Code" w:eastAsia="PMingLiU" w:hAnsi="Code" w:cs="Code"/>
      <w:color w:val="000000"/>
      <w:sz w:val="24"/>
      <w:szCs w:val="24"/>
    </w:rPr>
  </w:style>
  <w:style w:type="character" w:customStyle="1" w:styleId="illustration1">
    <w:name w:val="illustration1"/>
    <w:basedOn w:val="DefaultParagraphFont"/>
    <w:uiPriority w:val="99"/>
    <w:rsid w:val="003C3F80"/>
    <w:rPr>
      <w:rFonts w:cs="Times New Roman"/>
      <w:i/>
      <w:iCs/>
      <w:color w:val="226699"/>
    </w:rPr>
  </w:style>
  <w:style w:type="paragraph" w:styleId="EndnoteText">
    <w:name w:val="endnote text"/>
    <w:basedOn w:val="Normal"/>
    <w:link w:val="EndnoteTextChar"/>
    <w:uiPriority w:val="99"/>
    <w:rsid w:val="003C3F80"/>
    <w:rPr>
      <w:sz w:val="20"/>
      <w:szCs w:val="20"/>
    </w:rPr>
  </w:style>
  <w:style w:type="character" w:customStyle="1" w:styleId="EndnoteTextChar">
    <w:name w:val="Endnote Text Char"/>
    <w:basedOn w:val="DefaultParagraphFont"/>
    <w:link w:val="EndnoteText"/>
    <w:uiPriority w:val="99"/>
    <w:rsid w:val="003C3F80"/>
    <w:rPr>
      <w:rFonts w:ascii="Times New Roman" w:eastAsia="PMingLiU" w:hAnsi="Times New Roman" w:cs="Times New Roman"/>
      <w:sz w:val="20"/>
      <w:szCs w:val="20"/>
    </w:rPr>
  </w:style>
  <w:style w:type="character" w:styleId="EndnoteReference">
    <w:name w:val="endnote reference"/>
    <w:basedOn w:val="DefaultParagraphFont"/>
    <w:uiPriority w:val="99"/>
    <w:rsid w:val="003C3F80"/>
    <w:rPr>
      <w:rFonts w:cs="Times New Roman"/>
      <w:vertAlign w:val="superscript"/>
    </w:rPr>
  </w:style>
  <w:style w:type="paragraph" w:styleId="ListParagraph">
    <w:name w:val="List Paragraph"/>
    <w:basedOn w:val="Normal"/>
    <w:uiPriority w:val="34"/>
    <w:qFormat/>
    <w:rsid w:val="003C3F80"/>
    <w:pPr>
      <w:ind w:left="720"/>
      <w:contextualSpacing/>
    </w:pPr>
  </w:style>
  <w:style w:type="character" w:customStyle="1" w:styleId="title-link-wrapper1">
    <w:name w:val="title-link-wrapper1"/>
    <w:basedOn w:val="DefaultParagraphFont"/>
    <w:uiPriority w:val="99"/>
    <w:rsid w:val="003C3F80"/>
    <w:rPr>
      <w:rFonts w:cs="Times New Roman"/>
    </w:rPr>
  </w:style>
  <w:style w:type="character" w:customStyle="1" w:styleId="title-link-wrapper">
    <w:name w:val="title-link-wrapper"/>
    <w:basedOn w:val="DefaultParagraphFont"/>
    <w:uiPriority w:val="99"/>
    <w:rsid w:val="003C3F80"/>
    <w:rPr>
      <w:rFonts w:cs="Times New Roman"/>
    </w:rPr>
  </w:style>
  <w:style w:type="character" w:customStyle="1" w:styleId="hidden2">
    <w:name w:val="hidden2"/>
    <w:basedOn w:val="DefaultParagraphFont"/>
    <w:uiPriority w:val="99"/>
    <w:rsid w:val="003C3F80"/>
    <w:rPr>
      <w:rFonts w:cs="Times New Roman"/>
    </w:rPr>
  </w:style>
  <w:style w:type="paragraph" w:styleId="Revision">
    <w:name w:val="Revision"/>
    <w:hidden/>
    <w:uiPriority w:val="99"/>
    <w:semiHidden/>
    <w:rsid w:val="003C3F80"/>
    <w:pPr>
      <w:spacing w:after="0" w:line="240" w:lineRule="auto"/>
    </w:pPr>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151A0"/>
    <w:rPr>
      <w:color w:val="808080"/>
    </w:rPr>
  </w:style>
  <w:style w:type="table" w:styleId="LightShading-Accent4">
    <w:name w:val="Light Shading Accent 4"/>
    <w:basedOn w:val="TableNormal"/>
    <w:uiPriority w:val="60"/>
    <w:rsid w:val="00D61FB3"/>
    <w:pPr>
      <w:spacing w:after="0" w:line="240" w:lineRule="auto"/>
      <w:jc w:val="center"/>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F324E0"/>
    <w:pPr>
      <w:spacing w:after="0" w:line="240" w:lineRule="auto"/>
    </w:pPr>
    <w:rPr>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8270">
      <w:bodyDiv w:val="1"/>
      <w:marLeft w:val="0"/>
      <w:marRight w:val="0"/>
      <w:marTop w:val="0"/>
      <w:marBottom w:val="0"/>
      <w:divBdr>
        <w:top w:val="none" w:sz="0" w:space="0" w:color="auto"/>
        <w:left w:val="none" w:sz="0" w:space="0" w:color="auto"/>
        <w:bottom w:val="none" w:sz="0" w:space="0" w:color="auto"/>
        <w:right w:val="none" w:sz="0" w:space="0" w:color="auto"/>
      </w:divBdr>
    </w:div>
    <w:div w:id="801732618">
      <w:bodyDiv w:val="1"/>
      <w:marLeft w:val="0"/>
      <w:marRight w:val="0"/>
      <w:marTop w:val="0"/>
      <w:marBottom w:val="0"/>
      <w:divBdr>
        <w:top w:val="none" w:sz="0" w:space="0" w:color="auto"/>
        <w:left w:val="none" w:sz="0" w:space="0" w:color="auto"/>
        <w:bottom w:val="none" w:sz="0" w:space="0" w:color="auto"/>
        <w:right w:val="none" w:sz="0" w:space="0" w:color="auto"/>
      </w:divBdr>
    </w:div>
    <w:div w:id="1124692489">
      <w:bodyDiv w:val="1"/>
      <w:marLeft w:val="0"/>
      <w:marRight w:val="0"/>
      <w:marTop w:val="0"/>
      <w:marBottom w:val="0"/>
      <w:divBdr>
        <w:top w:val="none" w:sz="0" w:space="0" w:color="auto"/>
        <w:left w:val="none" w:sz="0" w:space="0" w:color="auto"/>
        <w:bottom w:val="none" w:sz="0" w:space="0" w:color="auto"/>
        <w:right w:val="none" w:sz="0" w:space="0" w:color="auto"/>
      </w:divBdr>
    </w:div>
    <w:div w:id="1340236607">
      <w:bodyDiv w:val="1"/>
      <w:marLeft w:val="0"/>
      <w:marRight w:val="0"/>
      <w:marTop w:val="0"/>
      <w:marBottom w:val="0"/>
      <w:divBdr>
        <w:top w:val="none" w:sz="0" w:space="0" w:color="auto"/>
        <w:left w:val="none" w:sz="0" w:space="0" w:color="auto"/>
        <w:bottom w:val="none" w:sz="0" w:space="0" w:color="auto"/>
        <w:right w:val="none" w:sz="0" w:space="0" w:color="auto"/>
      </w:divBdr>
    </w:div>
    <w:div w:id="1352993903">
      <w:bodyDiv w:val="1"/>
      <w:marLeft w:val="0"/>
      <w:marRight w:val="0"/>
      <w:marTop w:val="0"/>
      <w:marBottom w:val="0"/>
      <w:divBdr>
        <w:top w:val="none" w:sz="0" w:space="0" w:color="auto"/>
        <w:left w:val="none" w:sz="0" w:space="0" w:color="auto"/>
        <w:bottom w:val="none" w:sz="0" w:space="0" w:color="auto"/>
        <w:right w:val="none" w:sz="0" w:space="0" w:color="auto"/>
      </w:divBdr>
      <w:divsChild>
        <w:div w:id="1316647682">
          <w:marLeft w:val="720"/>
          <w:marRight w:val="0"/>
          <w:marTop w:val="134"/>
          <w:marBottom w:val="0"/>
          <w:divBdr>
            <w:top w:val="none" w:sz="0" w:space="0" w:color="auto"/>
            <w:left w:val="none" w:sz="0" w:space="0" w:color="auto"/>
            <w:bottom w:val="none" w:sz="0" w:space="0" w:color="auto"/>
            <w:right w:val="none" w:sz="0" w:space="0" w:color="auto"/>
          </w:divBdr>
        </w:div>
      </w:divsChild>
    </w:div>
    <w:div w:id="17349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dx.doi.org/10.2139/ssrn.2438884"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srn.com/abstract=2438884" TargetMode="Externa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ia.org/i4a/pages/Index.cfm?pageID=4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B788-43E6-43F8-9A75-DD03EBA7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7274</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Edith Nicodemus</cp:lastModifiedBy>
  <cp:revision>2</cp:revision>
  <cp:lastPrinted>2017-01-24T00:24:00Z</cp:lastPrinted>
  <dcterms:created xsi:type="dcterms:W3CDTF">2017-06-29T01:43:00Z</dcterms:created>
  <dcterms:modified xsi:type="dcterms:W3CDTF">2017-06-29T01:43:00Z</dcterms:modified>
</cp:coreProperties>
</file>